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03A0" w14:textId="0DD58B87" w:rsidR="00DD13B5" w:rsidRDefault="00DD13B5"/>
    <w:p w14:paraId="7D056157" w14:textId="51EA5B73" w:rsidR="00DD13B5" w:rsidRDefault="00154B6F" w:rsidP="003E7F1E">
      <w:pPr>
        <w:jc w:val="center"/>
      </w:pPr>
      <w:r>
        <w:rPr>
          <w:noProof/>
        </w:rPr>
        <w:drawing>
          <wp:inline distT="0" distB="0" distL="0" distR="0" wp14:anchorId="26C33A7F" wp14:editId="2AA7ED4F">
            <wp:extent cx="4799330" cy="29705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BF41" w14:textId="3EF50B76" w:rsidR="00DD13B5" w:rsidRDefault="00DD13B5"/>
    <w:p w14:paraId="74E1F43B" w14:textId="77777777" w:rsidR="00A7167C" w:rsidRPr="00060D9C" w:rsidRDefault="00A7167C" w:rsidP="00A7167C">
      <w:pPr>
        <w:pStyle w:val="EndNoteBibliography"/>
        <w:spacing w:line="480" w:lineRule="auto"/>
        <w:ind w:leftChars="67" w:left="141" w:rightChars="123" w:right="258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Fig. S1. Time-kill assay of COG1410 against 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M. tuberculosis</w:t>
      </w:r>
      <w:r>
        <w:rPr>
          <w:rFonts w:ascii="Times New Roman" w:hAnsi="Times New Roman"/>
          <w:b/>
          <w:bCs/>
          <w:sz w:val="21"/>
          <w:szCs w:val="21"/>
        </w:rPr>
        <w:t xml:space="preserve"> H37Rv. </w:t>
      </w:r>
      <w:bookmarkStart w:id="0" w:name="_Hlk128990767"/>
      <w:r>
        <w:rPr>
          <w:rFonts w:ascii="Times New Roman" w:hAnsi="Times New Roman"/>
          <w:sz w:val="21"/>
          <w:szCs w:val="21"/>
        </w:rPr>
        <w:t xml:space="preserve">The antimicrobial activity of COG1410 (16 </w:t>
      </w:r>
      <w:proofErr w:type="spellStart"/>
      <w:r>
        <w:rPr>
          <w:rFonts w:ascii="Times New Roman" w:hAnsi="Times New Roman"/>
          <w:sz w:val="21"/>
          <w:szCs w:val="21"/>
        </w:rPr>
        <w:t>μg</w:t>
      </w:r>
      <w:proofErr w:type="spellEnd"/>
      <w:r>
        <w:rPr>
          <w:rFonts w:ascii="Times New Roman" w:hAnsi="Times New Roman"/>
          <w:sz w:val="21"/>
          <w:szCs w:val="21"/>
        </w:rPr>
        <w:t xml:space="preserve">/ml) and Rifampicin (RFP, 0.25 </w:t>
      </w:r>
      <w:proofErr w:type="spellStart"/>
      <w:r>
        <w:rPr>
          <w:rFonts w:ascii="Times New Roman" w:hAnsi="Times New Roman"/>
          <w:sz w:val="21"/>
          <w:szCs w:val="21"/>
        </w:rPr>
        <w:t>μg</w:t>
      </w:r>
      <w:proofErr w:type="spellEnd"/>
      <w:r>
        <w:rPr>
          <w:rFonts w:ascii="Times New Roman" w:hAnsi="Times New Roman"/>
          <w:sz w:val="21"/>
          <w:szCs w:val="21"/>
        </w:rPr>
        <w:t xml:space="preserve">/ml) were determined at different time points. </w:t>
      </w:r>
      <w:bookmarkEnd w:id="0"/>
    </w:p>
    <w:p w14:paraId="4062A7BB" w14:textId="66FF94FD" w:rsidR="00DD13B5" w:rsidRPr="00A7167C" w:rsidRDefault="00DD13B5"/>
    <w:p w14:paraId="76039A2E" w14:textId="033EC29D" w:rsidR="00A7167C" w:rsidRDefault="00A7167C"/>
    <w:p w14:paraId="19BCA3BB" w14:textId="77777777" w:rsidR="00A7167C" w:rsidRDefault="00A7167C">
      <w:pPr>
        <w:rPr>
          <w:rFonts w:hint="eastAsia"/>
        </w:rPr>
      </w:pPr>
    </w:p>
    <w:p w14:paraId="12154802" w14:textId="5578301A" w:rsidR="00DD13B5" w:rsidRDefault="00DD13B5"/>
    <w:p w14:paraId="10DCE1BA" w14:textId="77777777" w:rsidR="00DD13B5" w:rsidRDefault="00DD13B5" w:rsidP="00DD13B5">
      <w:pPr>
        <w:pStyle w:val="1"/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able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1. Minimal inhibitory concentrations of COG1410 against </w:t>
      </w:r>
      <w:r>
        <w:rPr>
          <w:rFonts w:hint="eastAsia"/>
          <w:b/>
          <w:bCs/>
          <w:i/>
          <w:iCs/>
        </w:rPr>
        <w:t>M</w:t>
      </w:r>
      <w:r>
        <w:rPr>
          <w:b/>
          <w:bCs/>
          <w:i/>
          <w:iCs/>
        </w:rPr>
        <w:t>. tuberculosis</w:t>
      </w:r>
      <w:r>
        <w:rPr>
          <w:b/>
          <w:bCs/>
        </w:rPr>
        <w:t xml:space="preserve"> and some NTM strains.</w:t>
      </w:r>
    </w:p>
    <w:p w14:paraId="2BE89C63" w14:textId="294B7DD1" w:rsidR="00DD13B5" w:rsidRPr="00060D9C" w:rsidRDefault="00DD13B5" w:rsidP="00DD13B5">
      <w:r>
        <w:rPr>
          <w:rFonts w:hint="eastAsia"/>
        </w:rPr>
        <w:t xml:space="preserve"> </w:t>
      </w:r>
    </w:p>
    <w:tbl>
      <w:tblPr>
        <w:tblStyle w:val="6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103"/>
        <w:gridCol w:w="2203"/>
      </w:tblGrid>
      <w:tr w:rsidR="00DD13B5" w14:paraId="07191A8A" w14:textId="77777777" w:rsidTr="003E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15C4586F" w14:textId="77777777" w:rsidR="00DD13B5" w:rsidRDefault="00DD13B5" w:rsidP="00DD1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Strains</w:t>
            </w:r>
          </w:p>
        </w:tc>
        <w:tc>
          <w:tcPr>
            <w:tcW w:w="132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28816554" w14:textId="77777777" w:rsidR="00DD13B5" w:rsidRDefault="00DD13B5" w:rsidP="00DD1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MIC (μg/ml)</w:t>
            </w:r>
          </w:p>
        </w:tc>
      </w:tr>
      <w:tr w:rsidR="00DD13B5" w14:paraId="319A77ED" w14:textId="77777777" w:rsidTr="003E7F1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91BDD7F" w14:textId="77777777" w:rsidR="00DD13B5" w:rsidRDefault="00DD13B5" w:rsidP="00DD13B5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M. tuberculosis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H37Rv</w:t>
            </w:r>
          </w:p>
        </w:tc>
        <w:tc>
          <w:tcPr>
            <w:tcW w:w="132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D0D4845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  <w:tr w:rsidR="00DD13B5" w14:paraId="4E8E55F7" w14:textId="77777777" w:rsidTr="00DD13B5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7987E" w14:textId="77777777" w:rsidR="00DD13B5" w:rsidRDefault="00DD13B5" w:rsidP="00DD1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MDR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M. tuberculosis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8-57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1C1A2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  <w:tr w:rsidR="00DD13B5" w14:paraId="3EE5A3A5" w14:textId="77777777" w:rsidTr="00DD13B5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4D725" w14:textId="77777777" w:rsidR="00DD13B5" w:rsidRDefault="00DD13B5" w:rsidP="00DD13B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M. abscess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19977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E8E4C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  <w:tr w:rsidR="00DD13B5" w14:paraId="1175537C" w14:textId="77777777" w:rsidTr="00DD13B5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3C6F6" w14:textId="77777777" w:rsidR="00DD13B5" w:rsidRDefault="00DD13B5" w:rsidP="00DD13B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MDR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M. abscess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9-56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492ED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  <w:tr w:rsidR="00DD13B5" w14:paraId="4D1A3BEF" w14:textId="77777777" w:rsidTr="00DD13B5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0772A" w14:textId="77777777" w:rsidR="00DD13B5" w:rsidRDefault="00DD13B5" w:rsidP="00DD13B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MDR M. intracellular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8-70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86C29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  <w:tr w:rsidR="00DD13B5" w14:paraId="434C4485" w14:textId="77777777" w:rsidTr="003E7F1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27A0DE7" w14:textId="77777777" w:rsidR="00DD13B5" w:rsidRDefault="00DD13B5" w:rsidP="00DD13B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MDR M. avium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8-18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F7414BC" w14:textId="77777777" w:rsidR="00DD13B5" w:rsidRDefault="00DD13B5" w:rsidP="00DD1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&gt;128</w:t>
            </w:r>
          </w:p>
        </w:tc>
      </w:tr>
    </w:tbl>
    <w:p w14:paraId="1A53CF63" w14:textId="46848382" w:rsidR="00DD13B5" w:rsidRDefault="00DD13B5"/>
    <w:p w14:paraId="64B5FFD8" w14:textId="48220B69" w:rsidR="00DD13B5" w:rsidRDefault="00DD13B5"/>
    <w:p w14:paraId="5D1C8493" w14:textId="2A16D58B" w:rsidR="00DD13B5" w:rsidRDefault="00DD13B5"/>
    <w:p w14:paraId="490AFCAE" w14:textId="458C681E" w:rsidR="00DD13B5" w:rsidRDefault="00DD13B5"/>
    <w:p w14:paraId="3B976A1D" w14:textId="17BE7F8C" w:rsidR="00DD13B5" w:rsidRDefault="00DD13B5"/>
    <w:p w14:paraId="022FEAAA" w14:textId="6F2912F6" w:rsidR="00060D9C" w:rsidRDefault="00060D9C"/>
    <w:p w14:paraId="15C96B18" w14:textId="77777777" w:rsidR="00495F01" w:rsidRDefault="00495F01"/>
    <w:p w14:paraId="510E3671" w14:textId="77777777" w:rsidR="00060D9C" w:rsidRDefault="00060D9C"/>
    <w:p w14:paraId="2E24C9A9" w14:textId="3ACEA5D7" w:rsidR="00DD13B5" w:rsidRDefault="00DD13B5" w:rsidP="00DD13B5">
      <w:pPr>
        <w:pStyle w:val="1"/>
        <w:rPr>
          <w:b/>
          <w:bCs/>
          <w:i/>
          <w:i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able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2. Antimicrobial activity of combination of COG1410 with antibiotics against </w:t>
      </w:r>
      <w:r>
        <w:rPr>
          <w:rFonts w:hint="eastAsia"/>
          <w:b/>
          <w:bCs/>
          <w:i/>
          <w:iCs/>
        </w:rPr>
        <w:t>M</w:t>
      </w:r>
      <w:r>
        <w:rPr>
          <w:b/>
          <w:bCs/>
          <w:i/>
          <w:iCs/>
        </w:rPr>
        <w:t>. tuberculosis</w:t>
      </w:r>
      <w:r>
        <w:rPr>
          <w:b/>
          <w:bCs/>
        </w:rPr>
        <w:t xml:space="preserve"> H37Rv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and MDR</w:t>
      </w:r>
      <w:r>
        <w:rPr>
          <w:b/>
          <w:bCs/>
          <w:i/>
          <w:iCs/>
        </w:rPr>
        <w:t xml:space="preserve"> M. abscess </w:t>
      </w:r>
      <w:r>
        <w:rPr>
          <w:b/>
          <w:bCs/>
        </w:rPr>
        <w:t>9-56</w:t>
      </w:r>
      <w:r>
        <w:rPr>
          <w:b/>
          <w:bCs/>
          <w:i/>
          <w:iCs/>
        </w:rPr>
        <w:t>.</w:t>
      </w:r>
    </w:p>
    <w:p w14:paraId="24BCF1A3" w14:textId="77777777" w:rsidR="00DD13B5" w:rsidRDefault="00DD13B5" w:rsidP="00DD13B5">
      <w:pPr>
        <w:pStyle w:val="1"/>
        <w:rPr>
          <w:b/>
          <w:bCs/>
        </w:rPr>
      </w:pPr>
    </w:p>
    <w:tbl>
      <w:tblPr>
        <w:tblpPr w:leftFromText="180" w:rightFromText="180" w:vertAnchor="page" w:horzAnchor="margin" w:tblpY="2529"/>
        <w:tblW w:w="0" w:type="auto"/>
        <w:tblLook w:val="04A0" w:firstRow="1" w:lastRow="0" w:firstColumn="1" w:lastColumn="0" w:noHBand="0" w:noVBand="1"/>
      </w:tblPr>
      <w:tblGrid>
        <w:gridCol w:w="1558"/>
        <w:gridCol w:w="2268"/>
        <w:gridCol w:w="1118"/>
        <w:gridCol w:w="1212"/>
        <w:gridCol w:w="1112"/>
        <w:gridCol w:w="1038"/>
      </w:tblGrid>
      <w:tr w:rsidR="00060D9C" w:rsidRPr="00060D9C" w14:paraId="22CCD096" w14:textId="77777777" w:rsidTr="00917B52">
        <w:tc>
          <w:tcPr>
            <w:tcW w:w="157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1D7F2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D</w:t>
            </w:r>
            <w:r w:rsidRPr="00060D9C">
              <w:rPr>
                <w:rFonts w:ascii="Times New Roman" w:hAnsi="Times New Roman" w:hint="eastAsia"/>
                <w:szCs w:val="21"/>
              </w:rPr>
              <w:t>rug</w:t>
            </w:r>
            <w:r w:rsidRPr="00060D9C">
              <w:rPr>
                <w:rFonts w:ascii="Times New Roman" w:hAnsi="Times New Roman"/>
                <w:szCs w:val="21"/>
              </w:rPr>
              <w:t xml:space="preserve"> combination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BA3138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Strains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A318D52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MIC (μg/mL)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0743C0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F</w:t>
            </w:r>
            <w:r w:rsidRPr="00060D9C">
              <w:rPr>
                <w:rFonts w:ascii="Times New Roman" w:hAnsi="Times New Roman"/>
                <w:szCs w:val="21"/>
              </w:rPr>
              <w:t>IC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BF0919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F</w:t>
            </w:r>
            <w:r w:rsidRPr="00060D9C">
              <w:rPr>
                <w:rFonts w:ascii="Times New Roman" w:hAnsi="Times New Roman"/>
                <w:szCs w:val="21"/>
              </w:rPr>
              <w:t>ICI</w:t>
            </w:r>
          </w:p>
        </w:tc>
      </w:tr>
      <w:tr w:rsidR="00060D9C" w:rsidRPr="00060D9C" w14:paraId="7E53F986" w14:textId="77777777" w:rsidTr="00060D9C">
        <w:tc>
          <w:tcPr>
            <w:tcW w:w="15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6ACF6E" w14:textId="77777777" w:rsidR="00060D9C" w:rsidRPr="00060D9C" w:rsidRDefault="00060D9C" w:rsidP="00060D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A466A1" w14:textId="77777777" w:rsidR="00060D9C" w:rsidRPr="00060D9C" w:rsidRDefault="00060D9C" w:rsidP="00060D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22D1E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A</w:t>
            </w:r>
            <w:r w:rsidRPr="00060D9C">
              <w:rPr>
                <w:rFonts w:ascii="Times New Roman" w:hAnsi="Times New Roman"/>
                <w:szCs w:val="21"/>
              </w:rPr>
              <w:t>lone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9B0B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</w:t>
            </w:r>
            <w:r w:rsidRPr="00060D9C">
              <w:rPr>
                <w:rFonts w:ascii="Times New Roman" w:hAnsi="Times New Roman"/>
                <w:szCs w:val="21"/>
              </w:rPr>
              <w:t>ombined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C3324" w14:textId="77777777" w:rsidR="00060D9C" w:rsidRPr="00060D9C" w:rsidRDefault="00060D9C" w:rsidP="00060D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52D8CC" w14:textId="77777777" w:rsidR="00060D9C" w:rsidRPr="00060D9C" w:rsidRDefault="00060D9C" w:rsidP="00060D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07B9C461" w14:textId="77777777" w:rsidTr="00060D9C">
        <w:tc>
          <w:tcPr>
            <w:tcW w:w="1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988DB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Rifampicin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5810E5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H37Rv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0F818F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0.25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A2B0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0.25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0C05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5EE66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1D618CAA" w14:textId="77777777" w:rsidTr="00060D9C"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713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COG</w:t>
            </w:r>
            <w:r w:rsidRPr="00060D9C">
              <w:rPr>
                <w:rFonts w:ascii="Times New Roman" w:hAnsi="Times New Roman"/>
                <w:szCs w:val="21"/>
              </w:rPr>
              <w:t>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980D3F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0CDD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7788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8228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120BC" w14:textId="77777777" w:rsidR="00060D9C" w:rsidRPr="00060D9C" w:rsidRDefault="00060D9C" w:rsidP="00060D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60E5F17F" w14:textId="77777777" w:rsidTr="00060D9C"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</w:tcPr>
          <w:p w14:paraId="425E0A5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Ethambutol</w:t>
            </w:r>
          </w:p>
        </w:tc>
        <w:tc>
          <w:tcPr>
            <w:tcW w:w="2364" w:type="dxa"/>
            <w:vMerge w:val="restart"/>
            <w:tcBorders>
              <w:left w:val="nil"/>
              <w:right w:val="nil"/>
            </w:tcBorders>
          </w:tcPr>
          <w:p w14:paraId="2CC03288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H37Rv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</w:tcPr>
          <w:p w14:paraId="645F4D5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</w:t>
            </w:r>
            <w:r w:rsidRPr="00060D9C">
              <w:rPr>
                <w:rFonts w:ascii="Times New Roman" w:hAnsi="Times New Roman"/>
                <w:szCs w:val="21"/>
              </w:rPr>
              <w:t>.5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</w:tcPr>
          <w:p w14:paraId="3726FCD0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nil"/>
            </w:tcBorders>
          </w:tcPr>
          <w:p w14:paraId="6DBD9B3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87D2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38DAA28A" w14:textId="77777777" w:rsidTr="00060D9C">
        <w:tc>
          <w:tcPr>
            <w:tcW w:w="1577" w:type="dxa"/>
            <w:tcBorders>
              <w:left w:val="nil"/>
              <w:bottom w:val="single" w:sz="4" w:space="0" w:color="auto"/>
              <w:right w:val="nil"/>
            </w:tcBorders>
          </w:tcPr>
          <w:p w14:paraId="706E750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COG</w:t>
            </w:r>
            <w:r w:rsidRPr="00060D9C">
              <w:rPr>
                <w:rFonts w:ascii="Times New Roman" w:hAnsi="Times New Roman"/>
                <w:szCs w:val="21"/>
              </w:rPr>
              <w:t>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8D140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</w:tcPr>
          <w:p w14:paraId="3745C262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</w:tcPr>
          <w:p w14:paraId="0A3EF6C8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</w:tcPr>
          <w:p w14:paraId="2C8E0D9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0ABC61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40389F0A" w14:textId="77777777" w:rsidTr="00060D9C"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</w:tcPr>
          <w:p w14:paraId="369A6798" w14:textId="7455B99C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</w:t>
            </w:r>
            <w:r w:rsidRPr="00060D9C">
              <w:rPr>
                <w:rFonts w:ascii="Times New Roman" w:hAnsi="Times New Roman" w:hint="eastAsia"/>
                <w:szCs w:val="21"/>
              </w:rPr>
              <w:t>soniazid</w:t>
            </w:r>
          </w:p>
        </w:tc>
        <w:tc>
          <w:tcPr>
            <w:tcW w:w="2364" w:type="dxa"/>
            <w:vMerge w:val="restart"/>
            <w:tcBorders>
              <w:left w:val="nil"/>
              <w:right w:val="nil"/>
            </w:tcBorders>
          </w:tcPr>
          <w:p w14:paraId="5C84F56E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H37Rv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</w:tcPr>
          <w:p w14:paraId="73C8542D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0.25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</w:tcPr>
          <w:p w14:paraId="67522CA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0.25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nil"/>
            </w:tcBorders>
          </w:tcPr>
          <w:p w14:paraId="568892B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1FE6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7CD7FE1C" w14:textId="77777777" w:rsidTr="00060D9C">
        <w:tc>
          <w:tcPr>
            <w:tcW w:w="1577" w:type="dxa"/>
            <w:tcBorders>
              <w:left w:val="nil"/>
              <w:bottom w:val="single" w:sz="4" w:space="0" w:color="auto"/>
              <w:right w:val="nil"/>
            </w:tcBorders>
          </w:tcPr>
          <w:p w14:paraId="573A074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COG1410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35A43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</w:tcPr>
          <w:p w14:paraId="6CEA2DD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</w:tcPr>
          <w:p w14:paraId="6EECA89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</w:tcPr>
          <w:p w14:paraId="080C272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461672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7969FBC9" w14:textId="77777777" w:rsidTr="00060D9C"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</w:tcPr>
          <w:p w14:paraId="053C6B3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Amikacin</w:t>
            </w:r>
          </w:p>
        </w:tc>
        <w:tc>
          <w:tcPr>
            <w:tcW w:w="2364" w:type="dxa"/>
            <w:vMerge w:val="restart"/>
            <w:tcBorders>
              <w:left w:val="nil"/>
              <w:right w:val="nil"/>
            </w:tcBorders>
          </w:tcPr>
          <w:p w14:paraId="79E8E36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H37Rv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</w:tcPr>
          <w:p w14:paraId="7668035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</w:tcPr>
          <w:p w14:paraId="0F55DBD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0</w:t>
            </w:r>
            <w:r w:rsidRPr="00060D9C">
              <w:rPr>
                <w:rFonts w:ascii="Times New Roman" w:hAnsi="Times New Roman"/>
                <w:szCs w:val="21"/>
              </w:rPr>
              <w:t>.5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nil"/>
            </w:tcBorders>
          </w:tcPr>
          <w:p w14:paraId="6BDF342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CE0715D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21550CD2" w14:textId="77777777" w:rsidTr="00060D9C">
        <w:tc>
          <w:tcPr>
            <w:tcW w:w="1577" w:type="dxa"/>
            <w:tcBorders>
              <w:left w:val="nil"/>
              <w:bottom w:val="single" w:sz="4" w:space="0" w:color="auto"/>
              <w:right w:val="nil"/>
            </w:tcBorders>
          </w:tcPr>
          <w:p w14:paraId="71ED49B9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COG</w:t>
            </w:r>
            <w:r w:rsidRPr="00060D9C">
              <w:rPr>
                <w:rFonts w:ascii="Times New Roman" w:hAnsi="Times New Roman"/>
                <w:szCs w:val="21"/>
              </w:rPr>
              <w:t>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323A3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</w:tcPr>
          <w:p w14:paraId="1CF01B2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</w:tcPr>
          <w:p w14:paraId="424DC84F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</w:tcPr>
          <w:p w14:paraId="3D0A5A30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nil"/>
              <w:right w:val="nil"/>
            </w:tcBorders>
          </w:tcPr>
          <w:p w14:paraId="5132B4F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250F1285" w14:textId="77777777" w:rsidTr="00917B52"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9AAC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Kanamycin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7789F7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MAB 9-56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B04B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05120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E308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236A2C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37B221F1" w14:textId="77777777" w:rsidTr="00060D9C"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63F9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COG1410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01BA46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4016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6642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DB5C9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33DD00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3A1146F7" w14:textId="77777777" w:rsidTr="00060D9C"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CE55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Cefoxitin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A86ABFF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MAB 9-56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11F5E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D28C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2F72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1411D64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092AAFDE" w14:textId="77777777" w:rsidTr="00060D9C"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C5011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</w:t>
            </w:r>
            <w:r w:rsidRPr="00060D9C">
              <w:rPr>
                <w:rFonts w:ascii="Times New Roman" w:hAnsi="Times New Roman"/>
                <w:szCs w:val="21"/>
              </w:rPr>
              <w:t>OG1410</w:t>
            </w: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F8756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D4A29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2DB0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9E7CD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1AE5CCB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0D9C" w:rsidRPr="00060D9C" w14:paraId="59D57FA1" w14:textId="77777777" w:rsidTr="00060D9C"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97C23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/>
                <w:szCs w:val="21"/>
              </w:rPr>
              <w:t>Linezolid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20C362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MAB 9-56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6AEDD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F4AA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08205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D58FC57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060D9C" w:rsidRPr="00060D9C" w14:paraId="6E66D60A" w14:textId="77777777" w:rsidTr="00060D9C"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8E1E39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COG</w:t>
            </w:r>
            <w:r w:rsidRPr="00060D9C">
              <w:rPr>
                <w:rFonts w:ascii="Times New Roman" w:hAnsi="Times New Roman"/>
                <w:szCs w:val="21"/>
              </w:rPr>
              <w:t>1410</w:t>
            </w:r>
          </w:p>
        </w:tc>
        <w:tc>
          <w:tcPr>
            <w:tcW w:w="236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D2A6FA2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098EA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B2F06A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&gt;128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BDF87C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60D9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6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2F28F0E" w14:textId="77777777" w:rsidR="00060D9C" w:rsidRPr="00060D9C" w:rsidRDefault="00060D9C" w:rsidP="00060D9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7DDE959" w14:textId="77777777" w:rsidR="00DD13B5" w:rsidRDefault="00DD13B5" w:rsidP="00DD13B5">
      <w:pPr>
        <w:rPr>
          <w:szCs w:val="21"/>
        </w:rPr>
      </w:pPr>
      <w:r>
        <w:rPr>
          <w:rFonts w:hint="eastAsia"/>
        </w:rPr>
        <w:t xml:space="preserve"> </w:t>
      </w:r>
    </w:p>
    <w:p w14:paraId="663FA65B" w14:textId="77777777" w:rsidR="00DD13B5" w:rsidRPr="00DD13B5" w:rsidRDefault="00DD13B5"/>
    <w:sectPr w:rsidR="00DD13B5" w:rsidRPr="00DD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4E16" w14:textId="77777777" w:rsidR="00E964F7" w:rsidRDefault="00E964F7" w:rsidP="00154B6F">
      <w:r>
        <w:separator/>
      </w:r>
    </w:p>
  </w:endnote>
  <w:endnote w:type="continuationSeparator" w:id="0">
    <w:p w14:paraId="5633798E" w14:textId="77777777" w:rsidR="00E964F7" w:rsidRDefault="00E964F7" w:rsidP="001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54F7" w14:textId="77777777" w:rsidR="00E964F7" w:rsidRDefault="00E964F7" w:rsidP="00154B6F">
      <w:r>
        <w:separator/>
      </w:r>
    </w:p>
  </w:footnote>
  <w:footnote w:type="continuationSeparator" w:id="0">
    <w:p w14:paraId="3DD7C628" w14:textId="77777777" w:rsidR="00E964F7" w:rsidRDefault="00E964F7" w:rsidP="0015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5"/>
    <w:rsid w:val="00060D9C"/>
    <w:rsid w:val="00154B6F"/>
    <w:rsid w:val="003E7F1E"/>
    <w:rsid w:val="00495F01"/>
    <w:rsid w:val="006B1B79"/>
    <w:rsid w:val="00A37969"/>
    <w:rsid w:val="00A7167C"/>
    <w:rsid w:val="00DD13B5"/>
    <w:rsid w:val="00E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863B"/>
  <w15:chartTrackingRefBased/>
  <w15:docId w15:val="{9226DCA4-CDAF-4171-A7D9-4CF9316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B5"/>
    <w:pPr>
      <w:widowControl w:val="0"/>
      <w:jc w:val="both"/>
    </w:pPr>
    <w:rPr>
      <w:rFonts w:ascii="等线" w:eastAsia="等线" w:hAnsi="等线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DD13B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D13B5"/>
    <w:rPr>
      <w:rFonts w:ascii="等线" w:eastAsia="等线" w:hAnsi="等线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D13B5"/>
    <w:rPr>
      <w:sz w:val="21"/>
      <w:szCs w:val="21"/>
    </w:rPr>
  </w:style>
  <w:style w:type="paragraph" w:customStyle="1" w:styleId="EndNoteBibliography">
    <w:name w:val="EndNote Bibliography"/>
    <w:basedOn w:val="Normal"/>
    <w:link w:val="EndNoteBibliography0"/>
    <w:qFormat/>
    <w:rsid w:val="00DD13B5"/>
    <w:rPr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DD13B5"/>
    <w:rPr>
      <w:rFonts w:ascii="等线" w:eastAsia="等线" w:hAnsi="等线" w:cs="Times New Roman"/>
      <w:sz w:val="20"/>
    </w:rPr>
  </w:style>
  <w:style w:type="paragraph" w:customStyle="1" w:styleId="1">
    <w:name w:val="正文1"/>
    <w:basedOn w:val="Normal"/>
    <w:rsid w:val="00DD13B5"/>
    <w:pPr>
      <w:widowControl/>
    </w:pPr>
    <w:rPr>
      <w:rFonts w:ascii="Times New Roman" w:eastAsia="宋体" w:hAnsi="Times New Roman"/>
      <w:szCs w:val="21"/>
    </w:rPr>
  </w:style>
  <w:style w:type="table" w:customStyle="1" w:styleId="61">
    <w:name w:val="清单表 6 彩色1"/>
    <w:basedOn w:val="TableNormal"/>
    <w:rsid w:val="00DD13B5"/>
    <w:rPr>
      <w:rFonts w:ascii="Times New Roman" w:eastAsia="Times New Roman" w:hAnsi="Times New Roman" w:cs="Times New Roman"/>
      <w:color w:val="000000"/>
      <w:kern w:val="0"/>
      <w:sz w:val="20"/>
      <w:szCs w:val="20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Times New Roman" w:hAnsi="Times New Roman" w:cs="Times New Roman" w:hint="default"/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15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4B6F"/>
    <w:rPr>
      <w:rFonts w:ascii="等线" w:eastAsia="等线" w:hAnsi="等线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4B6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17358067870 zhaoyanyan</dc:creator>
  <cp:keywords/>
  <dc:description/>
  <cp:lastModifiedBy>weichennannan2017@163.com</cp:lastModifiedBy>
  <cp:revision>6</cp:revision>
  <dcterms:created xsi:type="dcterms:W3CDTF">2023-03-16T04:35:00Z</dcterms:created>
  <dcterms:modified xsi:type="dcterms:W3CDTF">2023-03-16T13:23:00Z</dcterms:modified>
</cp:coreProperties>
</file>