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D3C23" w14:textId="53EEFA30" w:rsidR="00D64D1B" w:rsidRDefault="00D64D1B" w:rsidP="00D64D1B">
      <w:pPr>
        <w:ind w:firstLine="0"/>
        <w:jc w:val="center"/>
      </w:pPr>
      <w:r>
        <w:t>Supplementary Materials</w:t>
      </w:r>
    </w:p>
    <w:p w14:paraId="383758E6" w14:textId="1C0897C3" w:rsidR="002604E5" w:rsidRDefault="002604E5" w:rsidP="002604E5">
      <w:pPr>
        <w:ind w:firstLine="0"/>
        <w:jc w:val="center"/>
      </w:pPr>
      <w:r>
        <w:t xml:space="preserve">Associations between thinner retinal neuronal layers and suboptimal </w:t>
      </w:r>
      <w:r w:rsidR="001743EC">
        <w:t xml:space="preserve">brain structural integrity in </w:t>
      </w:r>
      <w:r w:rsidR="00311489">
        <w:t xml:space="preserve">a </w:t>
      </w:r>
      <w:r w:rsidR="001743EC">
        <w:t>middle-age</w:t>
      </w:r>
      <w:r w:rsidR="00311489">
        <w:t>d cohort</w:t>
      </w:r>
    </w:p>
    <w:p w14:paraId="42D59BE8" w14:textId="465AC241" w:rsidR="00D64D1B" w:rsidRDefault="00D64D1B" w:rsidP="00D64D1B">
      <w:pPr>
        <w:spacing w:line="240" w:lineRule="auto"/>
        <w:ind w:firstLine="0"/>
        <w:jc w:val="center"/>
        <w:rPr>
          <w:vertAlign w:val="superscript"/>
        </w:rPr>
      </w:pPr>
      <w:r>
        <w:t>Ashleigh Barrett-Young, Wickliffe C. Abraham, Carol Y. Cheung, Jesse Gale, Sean Hogan, David Ireland, Ross Keenan,</w:t>
      </w:r>
      <w:r w:rsidRPr="009D0B22">
        <w:t xml:space="preserve"> </w:t>
      </w:r>
      <w:r>
        <w:t>Annchen R. Knodt, Tracy R. Melzer, Terrie E. Moffitt</w:t>
      </w:r>
      <w:r w:rsidR="00311489">
        <w:t>,</w:t>
      </w:r>
      <w:r>
        <w:t xml:space="preserve"> Sandhya Ramrakha, Yih Chung Tham, Graham A. Wilson, Tien Yin Wong, Ahmad. R. Hariri, &amp; Richie Poulton</w:t>
      </w:r>
    </w:p>
    <w:p w14:paraId="5EA5044F" w14:textId="1200D8C9" w:rsidR="00104FAC" w:rsidRPr="00121F98" w:rsidRDefault="00104FAC">
      <w:pPr>
        <w:rPr>
          <w:b/>
        </w:rPr>
      </w:pPr>
    </w:p>
    <w:p w14:paraId="45894639" w14:textId="4DDB70C8" w:rsidR="00D64D1B" w:rsidRDefault="00121F98" w:rsidP="00121F98">
      <w:pPr>
        <w:ind w:firstLine="0"/>
        <w:rPr>
          <w:b/>
        </w:rPr>
      </w:pPr>
      <w:r w:rsidRPr="00121F98">
        <w:rPr>
          <w:b/>
        </w:rPr>
        <w:t>Magnetic resonance imaging</w:t>
      </w:r>
      <w:bookmarkStart w:id="0" w:name="_GoBack"/>
      <w:bookmarkEnd w:id="0"/>
    </w:p>
    <w:p w14:paraId="2C2C9E93" w14:textId="146C8F75" w:rsidR="008B454E" w:rsidRDefault="008B454E" w:rsidP="008B454E">
      <w:r w:rsidRPr="008B454E">
        <w:rPr>
          <w:b/>
          <w:i/>
        </w:rPr>
        <w:t>Procedure</w:t>
      </w:r>
      <w:r>
        <w:rPr>
          <w:b/>
        </w:rPr>
        <w:t xml:space="preserve">. </w:t>
      </w:r>
      <w:r w:rsidR="0056221A" w:rsidRPr="00591D13">
        <w:t xml:space="preserve">Study members were scanned using a </w:t>
      </w:r>
      <w:r w:rsidR="0056221A">
        <w:t>MAGNETOM</w:t>
      </w:r>
      <w:r w:rsidR="0056221A" w:rsidRPr="00591D13">
        <w:t xml:space="preserve"> Skyra 3T scanner (Siemens Heal</w:t>
      </w:r>
      <w:r w:rsidR="0056221A">
        <w:t>thcare, Erlangen, Germany</w:t>
      </w:r>
      <w:r w:rsidR="0056221A" w:rsidRPr="00591D13">
        <w:t xml:space="preserve">) </w:t>
      </w:r>
      <w:r w:rsidR="0056221A">
        <w:t xml:space="preserve">equipped </w:t>
      </w:r>
      <w:r w:rsidR="0056221A" w:rsidRPr="00591D13">
        <w:t>with a 64-channel head and neck coil</w:t>
      </w:r>
      <w:r w:rsidR="0056221A">
        <w:t xml:space="preserve"> (due to head size constraints, seven participants were scanned with a 20-channel head/neck coil) at the Pacific Radiology Group imaging centre in Dunedin, New Zealand, between </w:t>
      </w:r>
      <w:r w:rsidR="0056221A" w:rsidRPr="00FC362F">
        <w:t xml:space="preserve">August 2016 and </w:t>
      </w:r>
      <w:r w:rsidR="0056221A">
        <w:t>April</w:t>
      </w:r>
      <w:r w:rsidR="0056221A" w:rsidRPr="00FC362F">
        <w:t xml:space="preserve"> 2019</w:t>
      </w:r>
      <w:r w:rsidR="0056221A">
        <w:t xml:space="preserve">. </w:t>
      </w:r>
      <w:r w:rsidR="0056221A" w:rsidRPr="00591D13">
        <w:t>High resolution T1-weighted images, three-dimensional fluid-attenuated inversion recovery (FLAIR) images, and a gradient</w:t>
      </w:r>
      <w:r w:rsidR="0056221A">
        <w:t xml:space="preserve"> echo field map were obtained. Structural MRI data were analysed using the Human Connectome Project (HCP) minimal preprocessing pipeline.</w:t>
      </w:r>
      <w:r w:rsidR="0056221A" w:rsidRPr="00C542BA">
        <w:fldChar w:fldCharType="begin"/>
      </w:r>
      <w:r w:rsidR="0056221A">
        <w:instrText xml:space="preserve"> ADDIN ZOTERO_ITEM CSL_CITATION {"citationID":"Fw9Fm0Hj","properties":{"formattedCitation":"\\super 40\\nosupersub{}","plainCitation":"40","noteIndex":0},"citationItems":[{"id":3589,"uris":["http://zotero.org/users/5096375/items/G4ES6SA4"],"itemData":{"id":3589,"type":"article-journal","abstract":"The Human Connectome Project (HCP) faces the challenging task of bringing multiple magnetic resonance imaging (MRI) modalities together in a common automated preprocessing framework across a large cohort of subjects. The MRI data acquired by the HCP differ in many ways from data acquired on conventional 3 Tesla scanners and often require newly developed preprocessing methods. We describe the minimal preprocessing pipelines for structural, functional, and diffusion MRI that were developed by the HCP to accomplish many low level tasks, including spatial artifact/distortion removal, surface generation, cross-modal registration, and alignment to standard space. These pipelines are specially designed to capitalize on the high quality data offered by the HCP. The final standard space makes use of a recently introduced CIFTI file format and the associated grayordinate spatial coordinate system. This allows for combined cortical surface and subcortical volume analyses while reducing the storage and processing requirements for high spatial and temporal resolution data. Here, we provide the minimum image acquisition requirements for the HCP minimal preprocessing pipelines and additional advice for investigators interested in replicating the HCP's acquisition protocols or using these pipelines. Finally, we discuss some potential future improvements to the pipelines.","container-title":"NeuroImage","DOI":"10.1016/j.neuroimage.2013.04.127","ISSN":"1095-9572","journalAbbreviation":"Neuroimage","language":"eng","note":"PMID: 23668970\nPMCID: PMC3720813","page":"105-124","source":"PubMed","title":"The minimal preprocessing pipelines for the Human Connectome Project","volume":"80","author":[{"family":"Glasser","given":"Matthew F."},{"family":"Sotiropoulos","given":"Stamatios N."},{"family":"Wilson","given":"J. Anthony"},{"family":"Coalson","given":"Timothy S."},{"family":"Fischl","given":"Bruce"},{"family":"Andersson","given":"Jesper L."},{"family":"Xu","given":"Junqian"},{"family":"Jbabdi","given":"Saad"},{"family":"Webster","given":"Matthew"},{"family":"Polimeni","given":"Jonathan R."},{"family":"Van Essen","given":"David C."},{"family":"Jenkinson","given":"Mark"},{"literal":"WU-Minn HCP Consortium"}],"issued":{"date-parts":[["2013",10,15]]}}}],"schema":"https://github.com/citation-style-language/schema/raw/master/csl-citation.json"} </w:instrText>
      </w:r>
      <w:r w:rsidR="0056221A" w:rsidRPr="00C542BA">
        <w:fldChar w:fldCharType="separate"/>
      </w:r>
      <w:r w:rsidR="0056221A" w:rsidRPr="00CA1FD5">
        <w:rPr>
          <w:szCs w:val="24"/>
          <w:vertAlign w:val="superscript"/>
        </w:rPr>
        <w:t>40</w:t>
      </w:r>
      <w:r w:rsidR="0056221A" w:rsidRPr="00C542BA">
        <w:fldChar w:fldCharType="end"/>
      </w:r>
      <w:r w:rsidR="0056221A">
        <w:t xml:space="preserve"> Outputs of the preprocessing pipeline were visually checked for accurate surface generation by examining each participant’s myelin map, pial surface, and white matter boundaries. Study personnel who processed the MRI images were masked to participants’ retinal measurements. </w:t>
      </w:r>
      <w:r>
        <w:t>Of the 875 S</w:t>
      </w:r>
      <w:r w:rsidRPr="00D34ED7">
        <w:t xml:space="preserve">tudy members for whom </w:t>
      </w:r>
      <w:r>
        <w:t xml:space="preserve">structural MRI </w:t>
      </w:r>
      <w:r w:rsidRPr="00D34ED7">
        <w:t>data were available, 4 were excluded due to major incidental findings or previous injuries (e.g., large tumours or extensive damage to the brain/skull), 9 due to</w:t>
      </w:r>
      <w:r>
        <w:t xml:space="preserve"> missing FLAIR or field map scans, and 1 due to poor surface mapping, yielding 861 datasets for analyses.</w:t>
      </w:r>
      <w:r w:rsidRPr="008B454E">
        <w:t xml:space="preserve"> </w:t>
      </w:r>
      <w:r>
        <w:t>Additionally, white matter hyperintensities measurements were removed from the dataset for 3 SMs due to multiple sclerosis and 6 Study members due to inaccurate labelling or low-quality data, yielding 852 datasets for WMH analysis.</w:t>
      </w:r>
    </w:p>
    <w:p w14:paraId="044BB0FB" w14:textId="77777777" w:rsidR="0056221A" w:rsidRDefault="0056221A" w:rsidP="008B454E">
      <w:pPr>
        <w:rPr>
          <w:b/>
          <w:sz w:val="22"/>
        </w:rPr>
      </w:pPr>
      <w:bookmarkStart w:id="1" w:name="_Toc111043614"/>
      <w:r w:rsidRPr="00CA1FD5">
        <w:rPr>
          <w:rStyle w:val="Heading3Char"/>
          <w:i/>
        </w:rPr>
        <w:lastRenderedPageBreak/>
        <w:t>Image acquisition parameters</w:t>
      </w:r>
      <w:r>
        <w:rPr>
          <w:rStyle w:val="Heading3Char"/>
        </w:rPr>
        <w:t>.</w:t>
      </w:r>
      <w:bookmarkEnd w:id="1"/>
      <w:r>
        <w:rPr>
          <w:b/>
        </w:rPr>
        <w:t xml:space="preserve"> </w:t>
      </w:r>
      <w:r>
        <w:t>High resolution T1-weighted images were obtained using an MP-RAGE sequence with the following parameters: TR=2400 ms; TE=1.98 ms; 208 sagittal slices; flip angle, 9°; FOV, 224mm; matrix=256×256; slice thickness=0.9mm with no gap (voxel size 0.9×0.875×0.875mm); and total scan time=6 min 52 sec. 3D fluid-attenuated inversion recovery (FLAIR) images were obtained with the following parameters: TR=8000ms; TE=399ms; 160 sagittal slices; FOV=240mm; matrix=232×256; slice thickness=1.2mm (voxel size 0.9×0.9×1.2mm); and total scan time=5 min 38 sec. Additionally, a gradient echo field map was acquired with the following parameters: TR=712ms; TE=4.92 and 7.38ms; 72 axial slices; FOV=200mm; matrix=100×100; slice thickness=2.0mm (voxel size 2mm isotropic); and total scan time=2 min 25 sec.</w:t>
      </w:r>
    </w:p>
    <w:p w14:paraId="66D14348" w14:textId="4DD4DEB8" w:rsidR="0056221A" w:rsidRDefault="0056221A" w:rsidP="008B454E">
      <w:bookmarkStart w:id="2" w:name="_Toc111043615"/>
      <w:r w:rsidRPr="00CA1FD5">
        <w:rPr>
          <w:rStyle w:val="Heading3Char"/>
          <w:i/>
        </w:rPr>
        <w:t>Image processing</w:t>
      </w:r>
      <w:r w:rsidRPr="00AD4793">
        <w:rPr>
          <w:rStyle w:val="Heading3Char"/>
        </w:rPr>
        <w:t>.</w:t>
      </w:r>
      <w:bookmarkEnd w:id="2"/>
      <w:r w:rsidRPr="00AD4793">
        <w:rPr>
          <w:b/>
        </w:rPr>
        <w:t xml:space="preserve"> </w:t>
      </w:r>
      <w:r>
        <w:t xml:space="preserve">Structural MRI data were analyzed using the Human Connectome Project (HCP) minimal preprocessing pipeline as extensively detailed </w:t>
      </w:r>
      <w:r w:rsidRPr="00D34ED7">
        <w:t>elsewhere</w:t>
      </w:r>
      <w:r>
        <w:t>.</w:t>
      </w:r>
      <w:r w:rsidRPr="00D34ED7">
        <w:fldChar w:fldCharType="begin"/>
      </w:r>
      <w:r>
        <w:instrText xml:space="preserve"> ADDIN ZOTERO_ITEM CSL_CITATION {"citationID":"iolC82r3","properties":{"formattedCitation":"\\super 40\\nosupersub{}","plainCitation":"40","noteIndex":0},"citationItems":[{"id":3589,"uris":["http://zotero.org/users/5096375/items/G4ES6SA4"],"itemData":{"id":3589,"type":"article-journal","abstract":"The Human Connectome Project (HCP) faces the challenging task of bringing multiple magnetic resonance imaging (MRI) modalities together in a common automated preprocessing framework across a large cohort of subjects. The MRI data acquired by the HCP differ in many ways from data acquired on conventional 3 Tesla scanners and often require newly developed preprocessing methods. We describe the minimal preprocessing pipelines for structural, functional, and diffusion MRI that were developed by the HCP to accomplish many low level tasks, including spatial artifact/distortion removal, surface generation, cross-modal registration, and alignment to standard space. These pipelines are specially designed to capitalize on the high quality data offered by the HCP. The final standard space makes use of a recently introduced CIFTI file format and the associated grayordinate spatial coordinate system. This allows for combined cortical surface and subcortical volume analyses while reducing the storage and processing requirements for high spatial and temporal resolution data. Here, we provide the minimum image acquisition requirements for the HCP minimal preprocessing pipelines and additional advice for investigators interested in replicating the HCP's acquisition protocols or using these pipelines. Finally, we discuss some potential future improvements to the pipelines.","container-title":"NeuroImage","DOI":"10.1016/j.neuroimage.2013.04.127","ISSN":"1095-9572","journalAbbreviation":"Neuroimage","language":"eng","note":"PMID: 23668970\nPMCID: PMC3720813","page":"105-124","source":"PubMed","title":"The minimal preprocessing pipelines for the Human Connectome Project","volume":"80","author":[{"family":"Glasser","given":"Matthew F."},{"family":"Sotiropoulos","given":"Stamatios N."},{"family":"Wilson","given":"J. Anthony"},{"family":"Coalson","given":"Timothy S."},{"family":"Fischl","given":"Bruce"},{"family":"Andersson","given":"Jesper L."},{"family":"Xu","given":"Junqian"},{"family":"Jbabdi","given":"Saad"},{"family":"Webster","given":"Matthew"},{"family":"Polimeni","given":"Jonathan R."},{"family":"Van Essen","given":"David C."},{"family":"Jenkinson","given":"Mark"},{"literal":"WU-Minn HCP Consortium"}],"issued":{"date-parts":[["2013",10,15]]}}}],"schema":"https://github.com/citation-style-language/schema/raw/master/csl-citation.json"} </w:instrText>
      </w:r>
      <w:r w:rsidRPr="00D34ED7">
        <w:fldChar w:fldCharType="separate"/>
      </w:r>
      <w:r w:rsidRPr="00CA1FD5">
        <w:rPr>
          <w:szCs w:val="24"/>
          <w:vertAlign w:val="superscript"/>
        </w:rPr>
        <w:t>40</w:t>
      </w:r>
      <w:r w:rsidRPr="00D34ED7">
        <w:fldChar w:fldCharType="end"/>
      </w:r>
      <w:r w:rsidRPr="00D34ED7">
        <w:t xml:space="preserve"> Briefly, T1-weighted and FLAIR images were processed through the PreFreeSurfer, FreeSurfer, and PostFreeSurfer pipelines. T1-weighted and FLAIR images were corrected for readout distortion using the gradient echo field map, coregistered, brain-extracted, and aligned together in the native T1 space using boundary-based registration</w:t>
      </w:r>
      <w:r>
        <w:t>.</w:t>
      </w:r>
      <w:r w:rsidRPr="00D34ED7">
        <w:fldChar w:fldCharType="begin"/>
      </w:r>
      <w:r>
        <w:instrText xml:space="preserve"> ADDIN ZOTERO_ITEM CSL_CITATION {"citationID":"5n88AW2X","properties":{"formattedCitation":"\\super 44\\nosupersub{}","plainCitation":"44","noteIndex":0},"citationItems":[{"id":4605,"uris":["http://zotero.org/users/5096375/items/UQIVHY8Z"],"itemData":{"id":4605,"type":"article-journal","abstract":"The fine spatial scales of the structures in the human brain represent an enormous challenge to the successful integration of information from different images for both within- and between-subject analysis. While many algorithms to register image pairs from the same subject exist, visual inspection shows that their accuracy and robustness to be suspect, particularly when there are strong intensity gradients and/or only part of the brain is imaged. This paper introduces a new algorithm called Boundary-Based Registration, or BBR. The novelty of BBR is that it treats the two images very differently. The reference image must be of sufficient resolution and quality to extract surfaces that separate tissue types. The input image is then aligned to the reference by maximizing the intensity gradient across tissue boundaries. Several lower quality images can be aligned through their alignment with the reference. Visual inspection and fMRI results show that BBR is more accurate than correlation ratio or normalized mutual information and is considerably more robust to even strong intensity inhomogeneities. BBR also excels at aligning partial-brain images to whole-brain images, a domain in which existing registration algorithms frequently fail. Even in the limit of registering a single slice, we show the BBR results to be robust and accurate.","container-title":"NeuroImage","DOI":"10.1016/j.neuroimage.2009.06.060","ISSN":"1095-9572","issue":"1","journalAbbreviation":"Neuroimage","language":"eng","note":"PMID: 19573611\nPMCID: PMC2733527","page":"63-72","source":"PubMed","title":"Accurate and robust brain image alignment using boundary-based registration","volume":"48","author":[{"family":"Greve","given":"Douglas N."},{"family":"Fischl","given":"Bruce"}],"issued":{"date-parts":[["2009",10,15]]}}}],"schema":"https://github.com/citation-style-language/schema/raw/master/csl-citation.json"} </w:instrText>
      </w:r>
      <w:r w:rsidRPr="00D34ED7">
        <w:fldChar w:fldCharType="separate"/>
      </w:r>
      <w:r w:rsidRPr="00CA1FD5">
        <w:rPr>
          <w:szCs w:val="24"/>
          <w:vertAlign w:val="superscript"/>
        </w:rPr>
        <w:t>44</w:t>
      </w:r>
      <w:r w:rsidRPr="00D34ED7">
        <w:fldChar w:fldCharType="end"/>
      </w:r>
      <w:r w:rsidRPr="00D34ED7">
        <w:t xml:space="preserve"> Images were then processed with a custom FreeSurfer recon-all pipeline that is optimized for structural MRI with higher resolution than 1 mm isotropic. Finally, recon-all output were converted into CIFTI format and registered to common 32k_FS_LR mesh using MSM-sulc</w:t>
      </w:r>
      <w:r>
        <w:t>.</w:t>
      </w:r>
      <w:r w:rsidRPr="00D34ED7">
        <w:fldChar w:fldCharType="begin"/>
      </w:r>
      <w:r>
        <w:instrText xml:space="preserve"> ADDIN ZOTERO_ITEM CSL_CITATION {"citationID":"uQMycqw4","properties":{"formattedCitation":"\\super 45\\nosupersub{}","plainCitation":"45","noteIndex":0},"citationItems":[{"id":4608,"uris":["http://zotero.org/users/5096375/items/3X4FEXTJ"],"itemData":{"id":4608,"type":"article-journal","abstract":"Surface-based cortical registration methods that are driven by geometrical features, such as folding, provide sub-optimal alignment of many functional areas due to variable correlation between cortical folding patterns and function. This has led to the proposal of new registration methods using features derived from functional and diffusion imaging. However, as yet there is no consensus over the best set of features for optimal alignment of brain function. In this paper we demonstrate the utility of a new Multimodal Surface Matching (MSM) algorithm capable of driving alignment using a wide variety of descriptors of brain architecture, function and connectivity. The versatility of the framework originates from adapting the discrete Markov Random Field (MRF) registration method to surface alignment. This has the benefit of being very flexible in the choice of a similarity measure and relatively insensitive to local minima. The method offers significant flexibility in the choice of feature set, and we demonstrate the advantages of this by performing registrations using univariate descriptors of surface curvature and myelination, multivariate feature sets derived from resting fMRI, and multimodal descriptors of surface curvature and myelination. We compare the results with two state of the art surface registration methods that use geometric features: FreeSurfer and Spherical Demons. In the future, the MSM technique will allow explorations into the best combinations of features and alignment strategies for inter-subject alignment of cortical functional areas for a wide range of neuroimaging data sets.","container-title":"NeuroImage","DOI":"10.1016/j.neuroimage.2014.05.069","ISSN":"1095-9572","journalAbbreviation":"Neuroimage","language":"eng","note":"PMID: 24939340\nPMCID: PMC4190319","page":"414-426","source":"PubMed","title":"MSM: a new flexible framework for Multimodal Surface Matching","title-short":"MSM","volume":"100","author":[{"family":"Robinson","given":"Emma C."},{"family":"Jbabdi","given":"Saad"},{"family":"Glasser","given":"Matthew F."},{"family":"Andersson","given":"Jesper"},{"family":"Burgess","given":"Gregory C."},{"family":"Harms","given":"Michael P."},{"family":"Smith","given":"Stephen M."},{"family":"Van Essen","given":"David C."},{"family":"Jenkinson","given":"Mark"}],"issued":{"date-parts":[["2014",10,15]]}}}],"schema":"https://github.com/citation-style-language/schema/raw/master/csl-citation.json"} </w:instrText>
      </w:r>
      <w:r w:rsidRPr="00D34ED7">
        <w:fldChar w:fldCharType="separate"/>
      </w:r>
      <w:r w:rsidRPr="00CA1FD5">
        <w:rPr>
          <w:szCs w:val="24"/>
          <w:vertAlign w:val="superscript"/>
        </w:rPr>
        <w:t>45</w:t>
      </w:r>
      <w:r w:rsidRPr="00D34ED7">
        <w:fldChar w:fldCharType="end"/>
      </w:r>
    </w:p>
    <w:p w14:paraId="7A71142E" w14:textId="3640FDAB" w:rsidR="00121F98" w:rsidRPr="00121F98" w:rsidRDefault="00121F98" w:rsidP="00121F98">
      <w:pPr>
        <w:rPr>
          <w:b/>
          <w:i/>
        </w:rPr>
      </w:pPr>
      <w:r w:rsidRPr="00121F98">
        <w:rPr>
          <w:b/>
          <w:i/>
        </w:rPr>
        <w:t>Brain Age Gap Estimate.</w:t>
      </w:r>
      <w:r w:rsidRPr="00121F98">
        <w:t xml:space="preserve"> </w:t>
      </w:r>
      <w:r>
        <w:t>The brain Age Gap Estimate (b</w:t>
      </w:r>
      <w:r w:rsidRPr="00591D13">
        <w:t>rainAGE</w:t>
      </w:r>
      <w:r>
        <w:t>;</w:t>
      </w:r>
      <w:r w:rsidRPr="00817438">
        <w:t xml:space="preserve"> </w:t>
      </w:r>
      <w:r>
        <w:t>ICC for test-retest reliability=.81)</w:t>
      </w:r>
      <w:r w:rsidRPr="00591D13">
        <w:t xml:space="preserve"> is a score that represents the </w:t>
      </w:r>
      <w:r>
        <w:t>difference, or gap, between a person’s chronological age and their estimated age based on multiple measures of brain structure including cortical thickness, surface area, and volume of subcortical grey matter, white matter, and cerebrospinal fluid.</w:t>
      </w:r>
      <w:r>
        <w:fldChar w:fldCharType="begin"/>
      </w:r>
      <w:r>
        <w:instrText xml:space="preserve"> ADDIN ZOTERO_ITEM CSL_CITATION {"citationID":"cC12ja4w","properties":{"formattedCitation":"\\super 35\\nosupersub{}","plainCitation":"35","noteIndex":0},"citationItems":[{"id":10,"uris":["http://zotero.org/users/5096375/items/MVXF2NYE"],"itemData":{"id":10,"type":"article-journal","abstract":"The disparity between the chronological age of an individual and their brain-age measured based on biological information has the potential to offer clinically relevant biomarkers of neurological syndromes that emerge late in the lifespan. While prior brain-age prediction studies have relied exclusively on either structural or functional brain data, here we investigate how multimodal brain-imaging data improves age prediction. Using cortical anatomy and whole-brain functional connectivity on a large adult lifespan sample (N=2354, age 19-82), we found that multimodal data improves brain-based age prediction, resulting in a mean absolute prediction error of 4.29 years. Furthermore, we found that the discrepancy between predicted age and chronological age captures cognitive impairment. Importantly, the brain-age measure was robust to confounding effects: head motion did not drive brain-based age prediction and our models generalized reasonably to an independent dataset acquired at a different site (N=475). Generalization performance was increased by training models on a larger and more heterogeneous dataset. The robustness of multimodal brain-age prediction to confounds, generalizability across sites, and sensitivity to clinically-relevant impairments, suggests promising future application to the early prediction of neurocognitive disorders.","container-title":"NeuroImage","DOI":"10.1016/j.neuroimage.2016.11.005","ISSN":"1095-9572","journalAbbreviation":"Neuroimage","language":"eng","note":"PMID: 27890805","page":"179-188","source":"PubMed","title":"Predicting brain-age from multimodal imaging data captures cognitive impairment","volume":"148","author":[{"family":"Liem","given":"Franziskus"},{"family":"Varoquaux","given":"Gaël"},{"family":"Kynast","given":"Jana"},{"family":"Beyer","given":"Frauke"},{"family":"Kharabian Masouleh","given":"Shahrzad"},{"family":"Huntenburg","given":"Julia M."},{"family":"Lampe","given":"Leonie"},{"family":"Rahim","given":"Mehdi"},{"family":"Abraham","given":"Alexandre"},{"family":"Craddock","given":"R. Cameron"},{"family":"Riedel-Heller","given":"Steffi"},{"family":"Luck","given":"Tobias"},{"family":"Loeffler","given":"Markus"},{"family":"Schroeter","given":"Matthias L."},{"family":"Witte","given":"Anja Veronica"},{"family":"Villringer","given":"Arno"},{"family":"Margulies","given":"Daniel S."}],"issued":{"date-parts":[["2017",3,1]]}}}],"schema":"https://github.com/citation-style-language/schema/raw/master/csl-citation.json"} </w:instrText>
      </w:r>
      <w:r>
        <w:fldChar w:fldCharType="separate"/>
      </w:r>
      <w:r w:rsidRPr="00507F04">
        <w:rPr>
          <w:szCs w:val="24"/>
          <w:vertAlign w:val="superscript"/>
        </w:rPr>
        <w:t>35</w:t>
      </w:r>
      <w:r>
        <w:fldChar w:fldCharType="end"/>
      </w:r>
      <w:r>
        <w:t xml:space="preserve"> The formation of this measure has been described previously.</w:t>
      </w:r>
      <w:r>
        <w:fldChar w:fldCharType="begin"/>
      </w:r>
      <w:r>
        <w:instrText xml:space="preserve"> ADDIN ZOTERO_ITEM CSL_CITATION {"citationID":"e7EC3DDX","properties":{"formattedCitation":"\\super 41\\nosupersub{}","plainCitation":"41","noteIndex":0},"citationItems":[{"id":13,"uris":["http://zotero.org/users/5096375/items/9SBNFQQ3"],"itemData":{"id":13,"type":"article-journal","abstract":"An individual's brainAGE is the difference between chronological age and age predicted from machine-learning models of brain-imaging data. BrainAGE has been proposed as a biomarker of age-related deterioration of the brain. Having an older brainAGE has been linked to Alzheimer's, dementia, and mortality. However, these findings are largely based on cross-sectional associations which can confuse age differences with cohort differences. To illuminate the validity of brainAGE as a biomarker of accelerated brain aging, a study is needed of a large cohort all born in the same year who nevertheless vary on brainAGE. In the Dunedin Study, a population-representative 1972-73 birth cohort, we measured brainAGE at age 45 years, as well as the pace of biological aging and cognitive decline in longitudinal data from childhood to midlife (N = 869). In this cohort, all chronological age 45 years, brainAGE was measured reliably (ICC = 0.81) and ranged from 24 to 72 years. Those with older midlife brainAGEs tended to have poorer cognitive function in both adulthood and childhood, as well as impaired brain health at age 3. Furthermore, those with older brainAGEs had an accelerated pace of biological aging, older facial appearance, and early signs of cognitive decline from childhood to midlife. These findings help to validate brainAGE as a potential surrogate biomarker for midlife intervention studies that seek to measure dementia-prevention efforts in midlife. However, the findings also caution against the assumption that brainAGE scores represent only age-related deterioration of the brain as they may also index central nervous system variation present since childhood.","container-title":"Molecular Psychiatry","DOI":"10.1038/s41380-019-0626-7","ISSN":"1476-5578","journalAbbreviation":"Mol Psychiatry","language":"eng","note":"PMID: 31822815\nPMCID: PMC7282987","source":"PubMed","title":"Brain-age in midlife is associated with accelerated biological aging and cognitive decline in a longitudinal birth cohort","author":[{"family":"Elliott","given":"Maxwell L."},{"family":"Belsky","given":"Daniel W."},{"family":"Knodt","given":"Annchen R."},{"family":"Ireland","given":"David"},{"family":"Melzer","given":"Tracy R."},{"family":"Poulton","given":"Richie"},{"family":"Ramrakha","given":"Sandhya"},{"family":"Caspi","given":"Avshalom"},{"family":"Moffitt","given":"Terrie E."},{"family":"Hariri","given":"Ahmad R."}],"issued":{"date-parts":[["2019",12,10]]}}}],"schema":"https://github.com/citation-style-language/schema/raw/master/csl-citation.json"} </w:instrText>
      </w:r>
      <w:r>
        <w:fldChar w:fldCharType="separate"/>
      </w:r>
      <w:r w:rsidRPr="00CA1FD5">
        <w:rPr>
          <w:szCs w:val="24"/>
          <w:vertAlign w:val="superscript"/>
        </w:rPr>
        <w:t>41</w:t>
      </w:r>
      <w:r>
        <w:fldChar w:fldCharType="end"/>
      </w:r>
    </w:p>
    <w:p w14:paraId="52C835BE" w14:textId="1649D33F" w:rsidR="00121F98" w:rsidRPr="008B454E" w:rsidRDefault="00121F98" w:rsidP="008B454E">
      <w:r w:rsidRPr="00121F98">
        <w:rPr>
          <w:b/>
          <w:i/>
        </w:rPr>
        <w:lastRenderedPageBreak/>
        <w:t>White matter hyperintensities.</w:t>
      </w:r>
      <w:r w:rsidRPr="00121F98">
        <w:t xml:space="preserve"> </w:t>
      </w:r>
      <w:r>
        <w:t xml:space="preserve">To identify and extract the total volume of white matter hyperintensities (WMH), T1-weighted and FLAIR images for each participant were processed with UBO Detector, a cluster-based, fully-automated pipeline with high reliability in our data (test-retest ICC=0.87, 95% CI .73-.95) and out of </w:t>
      </w:r>
      <w:r w:rsidRPr="00D34ED7">
        <w:t>sample performance</w:t>
      </w:r>
      <w:r>
        <w:t>.</w:t>
      </w:r>
      <w:r w:rsidRPr="00D34ED7">
        <w:fldChar w:fldCharType="begin"/>
      </w:r>
      <w:r>
        <w:instrText xml:space="preserve"> ADDIN ZOTERO_ITEM CSL_CITATION {"citationID":"Z7iI604z","properties":{"formattedCitation":"\\super 42\\nosupersub{}","plainCitation":"42","noteIndex":0},"citationItems":[{"id":4663,"uris":["http://zotero.org/users/5096375/items/BYHSW4ES"],"itemData":{"id":4663,"type":"article-journal","container-title":"NeuroImage","DOI":"10.1016/j.neuroimage.2018.03.050","ISSN":"10538119","journalAbbreviation":"NeuroImage","language":"en","page":"539-549","source":"DOI.org (Crossref)","title":"UBO Detector – A cluster-based, fully automated pipeline for extracting white matter hyperintensities","volume":"174","author":[{"family":"Jiang","given":"Jiyang"},{"family":"Liu","given":"Tao"},{"family":"Zhu","given":"Wanlin"},{"family":"Koncz","given":"Rebecca"},{"family":"Liu","given":"Hao"},{"family":"Lee","given":"Teresa"},{"family":"Sachdev","given":"Perminder S."},{"family":"Wen","given":"Wei"}],"issued":{"date-parts":[["2018",7]]}}}],"schema":"https://github.com/citation-style-language/schema/raw/master/csl-citation.json"} </w:instrText>
      </w:r>
      <w:r w:rsidRPr="00D34ED7">
        <w:fldChar w:fldCharType="separate"/>
      </w:r>
      <w:r w:rsidRPr="00CA1FD5">
        <w:rPr>
          <w:szCs w:val="24"/>
          <w:vertAlign w:val="superscript"/>
        </w:rPr>
        <w:t>42</w:t>
      </w:r>
      <w:r w:rsidRPr="00D34ED7">
        <w:fldChar w:fldCharType="end"/>
      </w:r>
      <w:r w:rsidRPr="00D34ED7">
        <w:t xml:space="preserve"> The resulting WMH probability maps were thresholded at 0.7, which is the suggested standard. WMH volume is measured in Montreal Neurological Institute (MNI) space, removing the influence of differences in brain volume and intracranial volume on WMH volume. Because of the potential for bias and false positives due to the thresholds and masks applied in UBO, the resulting WMH maps for each participant were manually checked by two independent raters to ensure that false detections did not substantially contribute to estimates of WMH volume. Visual inspections were done blind to the participants’ cognitive status. Due to the tendency of automated algorithms to mislabel regions surrounding the septum as white matter hyperintensities, these regions were manually masked out, to further ensure the most accurate grading possible. </w:t>
      </w:r>
    </w:p>
    <w:p w14:paraId="17D2DE69" w14:textId="60A9C1AD" w:rsidR="00121F98" w:rsidRPr="00121F98" w:rsidRDefault="00121F98" w:rsidP="008B454E">
      <w:pPr>
        <w:rPr>
          <w:b/>
          <w:i/>
        </w:rPr>
      </w:pPr>
      <w:r w:rsidRPr="00121F98">
        <w:rPr>
          <w:b/>
          <w:i/>
        </w:rPr>
        <w:t>Subcortical grey matter volume.</w:t>
      </w:r>
      <w:r w:rsidR="008B454E" w:rsidRPr="008B454E">
        <w:t xml:space="preserve"> </w:t>
      </w:r>
      <w:r w:rsidR="008B454E" w:rsidRPr="00C542BA">
        <w:t>Grey matter volumes w</w:t>
      </w:r>
      <w:r w:rsidR="008B454E">
        <w:t>ere extracted for 10 subcortical structures using the FreeSurfer aseg parcellation (</w:t>
      </w:r>
      <w:hyperlink r:id="rId7" w:history="1">
        <w:r w:rsidR="008B454E" w:rsidRPr="00435ACA">
          <w:rPr>
            <w:rStyle w:val="Hyperlink"/>
          </w:rPr>
          <w:t>https://surfer.nmr.mgh.harvard.edu/</w:t>
        </w:r>
      </w:hyperlink>
      <w:r w:rsidR="008B454E">
        <w:t>).</w:t>
      </w:r>
    </w:p>
    <w:p w14:paraId="050F008B" w14:textId="01B79A26" w:rsidR="0056221A" w:rsidRPr="00121F98" w:rsidRDefault="00121F98" w:rsidP="00121F98">
      <w:pPr>
        <w:rPr>
          <w:b/>
        </w:rPr>
      </w:pPr>
      <w:r>
        <w:rPr>
          <w:b/>
          <w:i/>
        </w:rPr>
        <w:t>Parcel-wise cortical surface area and cortical thickness.</w:t>
      </w:r>
      <w:r>
        <w:rPr>
          <w:b/>
        </w:rPr>
        <w:t xml:space="preserve"> </w:t>
      </w:r>
      <w:r w:rsidR="0056221A" w:rsidRPr="00D34ED7">
        <w:t>For each subject the mean cortical thickness and surface area were extracted from each of the 360 cortical areas in the HCP-MPP1.0 parcellation</w:t>
      </w:r>
      <w:r w:rsidR="0056221A">
        <w:t>.</w:t>
      </w:r>
      <w:r w:rsidR="0056221A" w:rsidRPr="00D34ED7">
        <w:fldChar w:fldCharType="begin"/>
      </w:r>
      <w:r w:rsidR="0056221A">
        <w:instrText xml:space="preserve"> ADDIN ZOTERO_ITEM CSL_CITATION {"citationID":"DrGYYTgj","properties":{"formattedCitation":"\\super 43\\nosupersub{}","plainCitation":"43","noteIndex":0},"citationItems":[{"id":175,"uris":["http://zotero.org/users/5096375/items/8HJXYDCA"],"itemData":{"id":175,"type":"article-journal","abstract":"Understanding the amazingly complex human cerebral cortex requires a map (or parcellation) of its major subdivisions, known as cortical areas. Making an accurate areal map has been a century-old objective in neuroscience. Using multi-modal magnetic resonance images from the Human Connectome Project (HCP) and an objective semi-automated neuroanatomical approach, we delineated 180 areas per hemisphere bounded by sharp changes in cortical architecture, function, connectivity, and/or topography in a precisely aligned group average of 210 healthy young adults. We characterized 97 new areas and 83 areas previously reported using post-mortem microscopy or other specialized study-specific approaches. To enable automated delineation and identification of these areas in new HCP subjects and in future studies, we trained a machine-learning classifier to recognize the multi-modal ‘fingerprint’ of each cortical area. This classifier detected the presence of 96.6% of the cortical areas in new subjects, replicated the group parcellation, and could correctly locate areas in individuals with atypical parcellations. The freely available parcellation and classifier will enable substantially improved neuroanatomical precision for studies of the structural and functional organization of human cerebral cortex and its variation across individuals and in development, aging, and disease.","container-title":"Nature","DOI":"10.1038/nature18933","ISSN":"0028-0836","issue":"7615","journalAbbreviation":"Nature","note":"PMID: 27437579\nPMCID: PMC4990127","page":"171-178","source":"PubMed Central","title":"A multi-modal parcellation of human cerebral cortex","volume":"536","author":[{"family":"Glasser","given":"Matthew F"},{"family":"Coalson","given":"Timothy S"},{"family":"Robinson","given":"Emma C"},{"family":"Hacker","given":"Carl D"},{"family":"Harwell","given":"John"},{"family":"Yacoub","given":"Essa"},{"family":"Ugurbil","given":"Kamil"},{"family":"Andersson","given":"Jesper"},{"family":"Beckmann","given":"Christian F"},{"family":"Jenkinson","given":"Mark"},{"family":"Smith","given":"Stephen M"},{"family":"Van Essen","given":"David C"}],"issued":{"date-parts":[["2016",8,11]]}}}],"schema":"https://github.com/citation-style-language/schema/raw/master/csl-citation.json"} </w:instrText>
      </w:r>
      <w:r w:rsidR="0056221A" w:rsidRPr="00D34ED7">
        <w:fldChar w:fldCharType="separate"/>
      </w:r>
      <w:r w:rsidR="0056221A" w:rsidRPr="00CA1FD5">
        <w:rPr>
          <w:szCs w:val="24"/>
          <w:vertAlign w:val="superscript"/>
        </w:rPr>
        <w:t>43</w:t>
      </w:r>
      <w:r w:rsidR="0056221A" w:rsidRPr="00D34ED7">
        <w:fldChar w:fldCharType="end"/>
      </w:r>
      <w:r w:rsidR="0056221A" w:rsidRPr="00D34ED7">
        <w:t xml:space="preserve"> Subcortical volumes were extracted separately using the automatic segmentation (“aseg”) step of FreeSurfer version 6.0. FreeSurfer version 6.0 was used because the HCP FreeSurfer pipeline was optimized for the cortical surface, resulting in lower-quality segmentation of subcortical volumes in our dataset. Outputs of the minimal preprocessing pipeline were visually checked for accurate surface generation by examining each subject’s myelin map, pial surface, and white matter boundaries. Accuracy of </w:t>
      </w:r>
      <w:r w:rsidR="0056221A" w:rsidRPr="00D34ED7">
        <w:lastRenderedPageBreak/>
        <w:t>subcortical segmentation was confirmed by visual inspection of the "aseg" labels overlaid on the</w:t>
      </w:r>
      <w:r w:rsidR="0056221A">
        <w:t xml:space="preserve"> volumes. </w:t>
      </w:r>
    </w:p>
    <w:p w14:paraId="325D0D35" w14:textId="18A933C0" w:rsidR="00121F98" w:rsidRDefault="00121F98" w:rsidP="00121F98">
      <w:r>
        <w:t>All measures were checked for test-retest reliability (brainAGE ICC=.81; white matter hyperintensities volume ICC=.87; subcortical grey matter volume mean ICC=.956;</w:t>
      </w:r>
      <w:r w:rsidRPr="00817438">
        <w:t xml:space="preserve"> </w:t>
      </w:r>
      <w:r>
        <w:t>total cortical surface area ICC=.996; average cortical thickness ICC=.94; parcel-wise cortical thickness mean ICC=.846; parcel-wise surface area mean ICC=.942).</w:t>
      </w:r>
    </w:p>
    <w:p w14:paraId="2E330852" w14:textId="76D2F4C6" w:rsidR="00870F79" w:rsidRDefault="00870F79" w:rsidP="00121F98"/>
    <w:p w14:paraId="1605389B" w14:textId="53BACB58" w:rsidR="00870F79" w:rsidRDefault="00870F79" w:rsidP="00121F98"/>
    <w:p w14:paraId="33E2A514" w14:textId="77777777" w:rsidR="0056221A" w:rsidRDefault="0056221A"/>
    <w:sectPr w:rsidR="005622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DA"/>
    <w:rsid w:val="00104FAC"/>
    <w:rsid w:val="00121F98"/>
    <w:rsid w:val="001743EC"/>
    <w:rsid w:val="002604E5"/>
    <w:rsid w:val="00311489"/>
    <w:rsid w:val="004C4CF4"/>
    <w:rsid w:val="0056221A"/>
    <w:rsid w:val="005906DA"/>
    <w:rsid w:val="00817438"/>
    <w:rsid w:val="00870F79"/>
    <w:rsid w:val="008B454E"/>
    <w:rsid w:val="0093652B"/>
    <w:rsid w:val="00D64D1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B93C0"/>
  <w15:chartTrackingRefBased/>
  <w15:docId w15:val="{E89D714F-4A10-4CF8-B0E1-68DA3286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1B"/>
    <w:pPr>
      <w:spacing w:line="480" w:lineRule="auto"/>
      <w:ind w:firstLine="567"/>
    </w:pPr>
    <w:rPr>
      <w:rFonts w:ascii="Times New Roman" w:hAnsi="Times New Roman" w:cs="Times New Roman"/>
      <w:sz w:val="24"/>
    </w:rPr>
  </w:style>
  <w:style w:type="paragraph" w:styleId="Heading3">
    <w:name w:val="heading 3"/>
    <w:basedOn w:val="Normal"/>
    <w:next w:val="Normal"/>
    <w:link w:val="Heading3Char"/>
    <w:uiPriority w:val="9"/>
    <w:unhideWhenUsed/>
    <w:qFormat/>
    <w:rsid w:val="0056221A"/>
    <w:pPr>
      <w:ind w:firstLine="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221A"/>
    <w:rPr>
      <w:rFonts w:ascii="Times New Roman" w:hAnsi="Times New Roman" w:cs="Times New Roman"/>
      <w:b/>
      <w:sz w:val="24"/>
    </w:rPr>
  </w:style>
  <w:style w:type="character" w:styleId="Hyperlink">
    <w:name w:val="Hyperlink"/>
    <w:basedOn w:val="DefaultParagraphFont"/>
    <w:uiPriority w:val="99"/>
    <w:unhideWhenUsed/>
    <w:rsid w:val="005622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urfer.nmr.mgh.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E38A97C0372A4ABE47AD1F4938F101" ma:contentTypeVersion="14" ma:contentTypeDescription="Create a new document." ma:contentTypeScope="" ma:versionID="85b3722df2c5573d4c948a7db07fbf16">
  <xsd:schema xmlns:xsd="http://www.w3.org/2001/XMLSchema" xmlns:xs="http://www.w3.org/2001/XMLSchema" xmlns:p="http://schemas.microsoft.com/office/2006/metadata/properties" xmlns:ns3="0783e8d0-c289-48c2-9f5b-3635f3716a43" xmlns:ns4="c92f3570-d3b4-4451-8b5e-dcf1cd546a2f" targetNamespace="http://schemas.microsoft.com/office/2006/metadata/properties" ma:root="true" ma:fieldsID="4b9d5b26cbad948f8a3498731b286b08" ns3:_="" ns4:_="">
    <xsd:import namespace="0783e8d0-c289-48c2-9f5b-3635f3716a43"/>
    <xsd:import namespace="c92f3570-d3b4-4451-8b5e-dcf1cd546a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3e8d0-c289-48c2-9f5b-3635f3716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f3570-d3b4-4451-8b5e-dcf1cd546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11F9A-C822-4047-B080-78B60D47E3C3}">
  <ds:schemaRefs>
    <ds:schemaRef ds:uri="0783e8d0-c289-48c2-9f5b-3635f3716a43"/>
    <ds:schemaRef ds:uri="http://schemas.microsoft.com/office/infopath/2007/PartnerControls"/>
    <ds:schemaRef ds:uri="http://schemas.microsoft.com/office/2006/documentManagement/types"/>
    <ds:schemaRef ds:uri="http://purl.org/dc/terms/"/>
    <ds:schemaRef ds:uri="http://purl.org/dc/elements/1.1/"/>
    <ds:schemaRef ds:uri="c92f3570-d3b4-4451-8b5e-dcf1cd546a2f"/>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A189B1C-2AC9-4415-A236-1BACD66A1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3e8d0-c289-48c2-9f5b-3635f3716a43"/>
    <ds:schemaRef ds:uri="c92f3570-d3b4-4451-8b5e-dcf1cd546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1469C-5D38-4916-B436-6274E0C65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Barrett-Young</dc:creator>
  <cp:keywords/>
  <dc:description/>
  <cp:lastModifiedBy>Ashleigh Barrett-Young</cp:lastModifiedBy>
  <cp:revision>6</cp:revision>
  <dcterms:created xsi:type="dcterms:W3CDTF">2022-12-12T20:40:00Z</dcterms:created>
  <dcterms:modified xsi:type="dcterms:W3CDTF">2023-02-26T22:59:00Z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0x01010029E38A97C0372A4ABE47AD1F4938F101</vt:lpwstr>
  </property>
  <property fmtid="{D5CDD505-2E9C-101B-9397-08002B2CF9AE}" pid="3" name="ZOTERO_PREF_1">
    <vt:lpwstr>&lt;data data-version="3" zotero-version="6.0.18"&gt;&lt;session id="3gMjRAf3"/&gt;&lt;style id="http://www.zotero.org/styles/american-medical-association" hasBibliography="1" bibliographyStyleHasBeenSet="0"/&gt;&lt;prefs&gt;&lt;pref name="fieldType" value="Field"/&gt;&lt;pref name="auto</vt:lpwstr>
  </property>
  <property fmtid="{D5CDD505-2E9C-101B-9397-08002B2CF9AE}" pid="4" name="ZOTERO_PREF_2">
    <vt:lpwstr>maticJournalAbbreviations" value="true"/&gt;&lt;/prefs&gt;&lt;/data&gt;</vt:lpwstr>
  </property>
</Properties>
</file>