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5F4B" w14:textId="77777777" w:rsidR="008027AC" w:rsidRDefault="008027AC" w:rsidP="008027AC"/>
    <w:p w14:paraId="372C92F8" w14:textId="77777777" w:rsidR="008027AC" w:rsidRDefault="008027AC" w:rsidP="008027AC">
      <w:pPr>
        <w:rPr>
          <w:b/>
          <w:bCs/>
        </w:rPr>
      </w:pPr>
      <w:r>
        <w:rPr>
          <w:b/>
          <w:bCs/>
        </w:rPr>
        <w:t>Contents</w:t>
      </w:r>
    </w:p>
    <w:p w14:paraId="440EFBF3" w14:textId="77777777" w:rsidR="008027AC" w:rsidRDefault="008027AC" w:rsidP="008027AC">
      <w:pPr>
        <w:tabs>
          <w:tab w:val="right" w:leader="dot" w:pos="8640"/>
        </w:tabs>
      </w:pPr>
      <w:r>
        <w:t>Supplementary Table 1 ICD-10-CM codes used for RA and VTE diagnosis.</w:t>
      </w:r>
      <w:r>
        <w:tab/>
        <w:t>p2</w:t>
      </w:r>
    </w:p>
    <w:p w14:paraId="0DE47A8A" w14:textId="77777777" w:rsidR="008027AC" w:rsidRDefault="008027AC" w:rsidP="008027AC">
      <w:pPr>
        <w:tabs>
          <w:tab w:val="right" w:leader="dot" w:pos="8640"/>
        </w:tabs>
        <w:ind w:left="360" w:hanging="360"/>
      </w:pPr>
      <w:r>
        <w:t>Supplementary Materials and Methods</w:t>
      </w:r>
      <w:r>
        <w:tab/>
        <w:t>p4</w:t>
      </w:r>
    </w:p>
    <w:p w14:paraId="113DAAC5" w14:textId="77777777" w:rsidR="008027AC" w:rsidRDefault="008027AC" w:rsidP="008027AC">
      <w:pPr>
        <w:tabs>
          <w:tab w:val="left" w:pos="360"/>
          <w:tab w:val="right" w:leader="dot" w:pos="8640"/>
        </w:tabs>
        <w:ind w:left="360" w:hanging="360"/>
      </w:pPr>
      <w:r>
        <w:tab/>
        <w:t>Imaging procedures used for VTE diagnosis confirmation</w:t>
      </w:r>
      <w:r>
        <w:tab/>
        <w:t>p4</w:t>
      </w:r>
    </w:p>
    <w:p w14:paraId="05CD089C" w14:textId="77777777" w:rsidR="008027AC" w:rsidRDefault="008027AC" w:rsidP="008027AC">
      <w:pPr>
        <w:tabs>
          <w:tab w:val="left" w:pos="360"/>
          <w:tab w:val="right" w:leader="dot" w:pos="8640"/>
        </w:tabs>
        <w:ind w:left="360" w:hanging="360"/>
      </w:pPr>
      <w:r>
        <w:tab/>
        <w:t>Provider selection for chart procurement in ORD Cohorts (primary and secondary objective samples)</w:t>
      </w:r>
      <w:r>
        <w:tab/>
        <w:t>p4</w:t>
      </w:r>
    </w:p>
    <w:p w14:paraId="25CFEF43" w14:textId="77777777" w:rsidR="008027AC" w:rsidRDefault="008027AC" w:rsidP="008027AC">
      <w:pPr>
        <w:tabs>
          <w:tab w:val="left" w:pos="360"/>
          <w:tab w:val="right" w:leader="dot" w:pos="8640"/>
        </w:tabs>
        <w:ind w:left="360" w:hanging="360"/>
      </w:pPr>
      <w:r>
        <w:tab/>
      </w:r>
      <w:r w:rsidRPr="008027AC">
        <w:t>Provider notes extraction in primary VTE case definition performance sample from the MC Cohort (exploratory objective sample)</w:t>
      </w:r>
      <w:r>
        <w:tab/>
        <w:t>p4</w:t>
      </w:r>
    </w:p>
    <w:p w14:paraId="351AA5B9" w14:textId="77777777" w:rsidR="008027AC" w:rsidRDefault="008027AC" w:rsidP="008027AC">
      <w:pPr>
        <w:tabs>
          <w:tab w:val="left" w:pos="360"/>
          <w:tab w:val="right" w:leader="dot" w:pos="8640"/>
        </w:tabs>
        <w:ind w:left="360" w:hanging="360"/>
      </w:pPr>
      <w:r w:rsidRPr="00D40CF6">
        <w:t>Supplementary Table 2 Comparison of demographic characteristics across study samples between patients with abstracted versus not abstracted charts/provider notes.</w:t>
      </w:r>
      <w:r>
        <w:tab/>
        <w:t>p6</w:t>
      </w:r>
    </w:p>
    <w:p w14:paraId="5A546F84" w14:textId="77777777" w:rsidR="008027AC" w:rsidRDefault="008027AC" w:rsidP="008027AC">
      <w:pPr>
        <w:tabs>
          <w:tab w:val="left" w:pos="360"/>
          <w:tab w:val="right" w:leader="dot" w:pos="8640"/>
        </w:tabs>
        <w:ind w:left="360" w:hanging="360"/>
      </w:pPr>
      <w:r w:rsidRPr="00D40CF6">
        <w:t>Supplementary Table 3 Demographic and clinical characteristics for the primary objective sample from ORD Cohorts 1 and 2.</w:t>
      </w:r>
      <w:r>
        <w:tab/>
        <w:t>p8</w:t>
      </w:r>
    </w:p>
    <w:p w14:paraId="7446F577" w14:textId="77777777" w:rsidR="008027AC" w:rsidRPr="00EF2963" w:rsidRDefault="008027AC" w:rsidP="008027AC">
      <w:pPr>
        <w:tabs>
          <w:tab w:val="left" w:pos="360"/>
          <w:tab w:val="right" w:leader="dot" w:pos="8640"/>
        </w:tabs>
        <w:ind w:left="360" w:hanging="360"/>
      </w:pPr>
      <w:r w:rsidRPr="00D40CF6">
        <w:t>Supplementary Figure 1 Patient attrition and samples for performance evaluation of VTE case definitions.</w:t>
      </w:r>
      <w:r>
        <w:tab/>
        <w:t>p10</w:t>
      </w:r>
    </w:p>
    <w:p w14:paraId="370C5712" w14:textId="1997EDF7" w:rsidR="00EF2963" w:rsidRPr="008027AC" w:rsidRDefault="00EF2963">
      <w:pPr>
        <w:spacing w:after="160" w:line="259" w:lineRule="auto"/>
        <w:rPr>
          <w:rFonts w:cs="Arial"/>
          <w:b/>
          <w:bCs/>
          <w:sz w:val="28"/>
          <w:szCs w:val="28"/>
        </w:rPr>
      </w:pPr>
    </w:p>
    <w:p w14:paraId="22E33553" w14:textId="77777777" w:rsidR="007A2398" w:rsidRDefault="007A2398" w:rsidP="007A2398">
      <w:pPr>
        <w:spacing w:line="240" w:lineRule="auto"/>
        <w:rPr>
          <w:rFonts w:cs="Arial"/>
          <w:b/>
          <w:bCs/>
        </w:rPr>
        <w:sectPr w:rsidR="007A2398" w:rsidSect="009C0A2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lnNumType w:countBy="1" w:restart="continuous"/>
          <w:cols w:space="720"/>
          <w:docGrid w:linePitch="360"/>
        </w:sectPr>
      </w:pPr>
    </w:p>
    <w:p w14:paraId="0181823B" w14:textId="4BAE0C3C" w:rsidR="007A2398" w:rsidRDefault="007A2398" w:rsidP="007D252D">
      <w:pPr>
        <w:widowControl w:val="0"/>
        <w:spacing w:after="120" w:line="360" w:lineRule="auto"/>
        <w:rPr>
          <w:rFonts w:cs="Arial"/>
        </w:rPr>
      </w:pPr>
      <w:r>
        <w:rPr>
          <w:rFonts w:cs="Arial"/>
          <w:b/>
          <w:bCs/>
        </w:rPr>
        <w:lastRenderedPageBreak/>
        <w:t>Supplementa</w:t>
      </w:r>
      <w:r w:rsidR="00C72B9E">
        <w:rPr>
          <w:rFonts w:cs="Arial"/>
          <w:b/>
          <w:bCs/>
        </w:rPr>
        <w:t>ry</w:t>
      </w:r>
      <w:r>
        <w:rPr>
          <w:rFonts w:cs="Arial"/>
          <w:b/>
          <w:bCs/>
        </w:rPr>
        <w:t xml:space="preserve"> </w:t>
      </w:r>
      <w:r w:rsidRPr="005C1CC0">
        <w:rPr>
          <w:rFonts w:cs="Arial"/>
          <w:b/>
          <w:bCs/>
        </w:rPr>
        <w:t xml:space="preserve">Table </w:t>
      </w:r>
      <w:r>
        <w:rPr>
          <w:rFonts w:cs="Arial"/>
          <w:b/>
          <w:bCs/>
        </w:rPr>
        <w:t>1</w:t>
      </w:r>
      <w:r>
        <w:rPr>
          <w:rFonts w:cs="Arial"/>
        </w:rPr>
        <w:t xml:space="preserve"> </w:t>
      </w:r>
      <w:r w:rsidRPr="00EA1485">
        <w:rPr>
          <w:rFonts w:cs="Arial"/>
        </w:rPr>
        <w:t xml:space="preserve">ICD-10-CM codes </w:t>
      </w:r>
      <w:r>
        <w:rPr>
          <w:rFonts w:cs="Arial"/>
        </w:rPr>
        <w:t xml:space="preserve">used </w:t>
      </w:r>
      <w:r w:rsidRPr="00EA1485">
        <w:rPr>
          <w:rFonts w:cs="Arial"/>
        </w:rPr>
        <w:t xml:space="preserve">for </w:t>
      </w:r>
      <w:r>
        <w:rPr>
          <w:rFonts w:cs="Arial"/>
        </w:rPr>
        <w:t xml:space="preserve">RA and VTE </w:t>
      </w:r>
      <w:r w:rsidRPr="00EA1485">
        <w:rPr>
          <w:rFonts w:cs="Arial"/>
        </w:rPr>
        <w:t>diagnosis</w:t>
      </w:r>
      <w:r>
        <w:rPr>
          <w:rFonts w:cs="Arial"/>
        </w:rPr>
        <w:t>.</w:t>
      </w:r>
    </w:p>
    <w:tbl>
      <w:tblPr>
        <w:tblW w:w="12904" w:type="dxa"/>
        <w:tblInd w:w="55" w:type="dxa"/>
        <w:tblLayout w:type="fixed"/>
        <w:tblCellMar>
          <w:top w:w="55" w:type="dxa"/>
          <w:left w:w="55" w:type="dxa"/>
          <w:bottom w:w="55" w:type="dxa"/>
          <w:right w:w="55" w:type="dxa"/>
        </w:tblCellMar>
        <w:tblLook w:val="0000" w:firstRow="0" w:lastRow="0" w:firstColumn="0" w:lastColumn="0" w:noHBand="0" w:noVBand="0"/>
      </w:tblPr>
      <w:tblGrid>
        <w:gridCol w:w="2374"/>
        <w:gridCol w:w="10530"/>
      </w:tblGrid>
      <w:tr w:rsidR="007A2398" w:rsidRPr="00EA1485" w14:paraId="07C4C64E" w14:textId="77777777" w:rsidTr="00C6541D">
        <w:tc>
          <w:tcPr>
            <w:tcW w:w="2374" w:type="dxa"/>
            <w:tcBorders>
              <w:top w:val="single" w:sz="1" w:space="0" w:color="000000"/>
              <w:left w:val="single" w:sz="1" w:space="0" w:color="000000"/>
              <w:bottom w:val="single" w:sz="1" w:space="0" w:color="000000"/>
            </w:tcBorders>
          </w:tcPr>
          <w:p w14:paraId="606DB313" w14:textId="77777777" w:rsidR="007A2398" w:rsidRPr="00EA1485" w:rsidRDefault="007A2398" w:rsidP="00C6541D">
            <w:pPr>
              <w:widowControl w:val="0"/>
              <w:spacing w:before="60" w:after="60" w:line="288" w:lineRule="auto"/>
              <w:rPr>
                <w:rFonts w:cs="Arial"/>
                <w:b/>
                <w:bCs/>
              </w:rPr>
            </w:pPr>
            <w:r w:rsidRPr="00EA1485">
              <w:rPr>
                <w:rFonts w:cs="Arial"/>
                <w:b/>
                <w:bCs/>
              </w:rPr>
              <w:t>Diagnosis</w:t>
            </w:r>
          </w:p>
        </w:tc>
        <w:tc>
          <w:tcPr>
            <w:tcW w:w="10530" w:type="dxa"/>
            <w:tcBorders>
              <w:top w:val="single" w:sz="1" w:space="0" w:color="000000"/>
              <w:left w:val="single" w:sz="1" w:space="0" w:color="000000"/>
              <w:bottom w:val="single" w:sz="1" w:space="0" w:color="000000"/>
              <w:right w:val="single" w:sz="1" w:space="0" w:color="000000"/>
            </w:tcBorders>
          </w:tcPr>
          <w:p w14:paraId="6B7BCF18" w14:textId="77777777" w:rsidR="007A2398" w:rsidRPr="00EA1485" w:rsidRDefault="007A2398" w:rsidP="00C6541D">
            <w:pPr>
              <w:spacing w:before="60" w:after="60" w:line="288" w:lineRule="auto"/>
              <w:rPr>
                <w:b/>
                <w:bCs/>
              </w:rPr>
            </w:pPr>
            <w:r w:rsidRPr="00EA1485">
              <w:rPr>
                <w:b/>
                <w:bCs/>
              </w:rPr>
              <w:t>ICD-10-CM codes</w:t>
            </w:r>
          </w:p>
        </w:tc>
      </w:tr>
      <w:tr w:rsidR="007A2398" w:rsidRPr="00D33E7B" w14:paraId="687E1800" w14:textId="77777777" w:rsidTr="00C6541D">
        <w:tc>
          <w:tcPr>
            <w:tcW w:w="2374" w:type="dxa"/>
            <w:tcBorders>
              <w:top w:val="single" w:sz="1" w:space="0" w:color="000000"/>
              <w:left w:val="single" w:sz="1" w:space="0" w:color="000000"/>
              <w:bottom w:val="single" w:sz="1" w:space="0" w:color="000000"/>
            </w:tcBorders>
          </w:tcPr>
          <w:p w14:paraId="22F8581C" w14:textId="77777777" w:rsidR="007A2398" w:rsidRPr="00D33E7B" w:rsidRDefault="007A2398" w:rsidP="00C6541D">
            <w:pPr>
              <w:widowControl w:val="0"/>
              <w:spacing w:before="60" w:after="60" w:line="288" w:lineRule="auto"/>
              <w:rPr>
                <w:rFonts w:cs="Arial"/>
              </w:rPr>
            </w:pPr>
            <w:r>
              <w:rPr>
                <w:rFonts w:cs="Arial"/>
              </w:rPr>
              <w:t xml:space="preserve">RA </w:t>
            </w:r>
          </w:p>
        </w:tc>
        <w:tc>
          <w:tcPr>
            <w:tcW w:w="10530" w:type="dxa"/>
            <w:tcBorders>
              <w:top w:val="single" w:sz="1" w:space="0" w:color="000000"/>
              <w:left w:val="single" w:sz="1" w:space="0" w:color="000000"/>
              <w:bottom w:val="single" w:sz="1" w:space="0" w:color="000000"/>
              <w:right w:val="single" w:sz="1" w:space="0" w:color="000000"/>
            </w:tcBorders>
          </w:tcPr>
          <w:p w14:paraId="2C58DF5F" w14:textId="77777777" w:rsidR="007A2398" w:rsidRPr="00D33E7B" w:rsidRDefault="007A2398" w:rsidP="00C6541D">
            <w:pPr>
              <w:spacing w:before="60" w:after="60" w:line="288" w:lineRule="auto"/>
            </w:pPr>
            <w:r>
              <w:t>M0500, M05011, M05012, M05019, M05021, M05022, M05029, M05031, M05032, M05039, M05041, M05042, M05049, M05051, M05052, M05059, M05061, M05062, M05069, M05071, M05072, M05079, M0509,</w:t>
            </w:r>
            <w:r>
              <w:br/>
              <w:t>M0510, M05111, M05112, M05119, M05121, M05122, M05129, M05131, M05132, M05139, M05141, M05142, M05149, M05151, M05152, M05159, M05161, M05162, M05169, M05171, M05172, M05179, M0519,</w:t>
            </w:r>
            <w:r>
              <w:br/>
              <w:t>M0520, M05211, M05212, M05219, M05221, M05222, M05229, M05231, M05232, M05239, M05241, M05242, M05249, M05251, M05252, M05259, M05261, M05262, M05269, M05271, M05272, M05279, M0529,</w:t>
            </w:r>
            <w:r>
              <w:br/>
              <w:t>M0530, M05311, M05312, M05319, M05321, M05322, M05329, M05331, M05332, M05339, M05341, M05342, M05349, M05351, M05352, M05359, M05361, M05362, M05369, M05371, M05372, M05379, M0539,</w:t>
            </w:r>
            <w:r>
              <w:br/>
              <w:t>M0540, M05411, M05412, M05419, M05421, M05422, M05429, M05431, M05432, M05439, M05441, M05442, M05449, M05451, M05452, M05459, M05461, M05462, M05469, M05471, M05472, M05479, M0549,</w:t>
            </w:r>
            <w:r>
              <w:br/>
              <w:t>M0550, M05511, M05512, M05519, M05521, M05522, M05529, M05531, M05532, M05539, M05541, M05542, M05549, M05551, M05552, M05559, M05561, M05562, M05569, M05571, M05572, M05579, M0559,</w:t>
            </w:r>
            <w:r>
              <w:br/>
              <w:t>M0560, M05611, M05612, M05619, M05621, M05622, M05629, M05631, M05632, M05639, M05641, M05642, M05649, M05651, M05652, M05659, M05661, M05662, M05669, M05671, M05672, M05679, M0569,</w:t>
            </w:r>
            <w:r>
              <w:br/>
              <w:t>M0570, M05711, M05712, M05719, M05721, M05722, M05729, M05731, M05732, M05739, M05741, M05742, M05749, M05751, M05752, M05759, M05761, M05762, M05769, M05771, M05772, M05779, M0579,</w:t>
            </w:r>
            <w:r>
              <w:br/>
              <w:t>M0580, M05811, M05812, M05819, M05821, M05822, M05829, M05831, M05832, M05839, M05841, M05842, M05849, M05851, M05852, M05859, M05861, M05862, M05869, M05871, M05872, M05879, M0589, M059,</w:t>
            </w:r>
            <w:r>
              <w:br/>
              <w:t>M0600, M06011, M06012, M06019, M06021, M06022, M06029, M06031, M06032, M06039, M06041, M06042, M06049, M06051, M06052, M06059, M06061, M06062, M06069, M06071, M06072, M06079, M0608, M0609,</w:t>
            </w:r>
            <w:r>
              <w:br/>
              <w:t>M0680, M06811, M06812, M06819, M06821, M06822, M06829, M06831, M06832, M06839, M06841, M06842, M06849, M06851, M06852, M06859, M06861, M06862, M06869, M06871, M06872, M06879, M0688, M0689,</w:t>
            </w:r>
            <w:r>
              <w:br/>
              <w:t>M069</w:t>
            </w:r>
          </w:p>
        </w:tc>
      </w:tr>
    </w:tbl>
    <w:p w14:paraId="0CA9CDC1" w14:textId="77777777" w:rsidR="00D40CF6" w:rsidRDefault="00D40CF6">
      <w:r>
        <w:br w:type="page"/>
      </w:r>
    </w:p>
    <w:tbl>
      <w:tblPr>
        <w:tblW w:w="12904" w:type="dxa"/>
        <w:tblInd w:w="55" w:type="dxa"/>
        <w:tblLayout w:type="fixed"/>
        <w:tblCellMar>
          <w:top w:w="55" w:type="dxa"/>
          <w:left w:w="55" w:type="dxa"/>
          <w:bottom w:w="55" w:type="dxa"/>
          <w:right w:w="55" w:type="dxa"/>
        </w:tblCellMar>
        <w:tblLook w:val="0000" w:firstRow="0" w:lastRow="0" w:firstColumn="0" w:lastColumn="0" w:noHBand="0" w:noVBand="0"/>
      </w:tblPr>
      <w:tblGrid>
        <w:gridCol w:w="2374"/>
        <w:gridCol w:w="10530"/>
      </w:tblGrid>
      <w:tr w:rsidR="00D40CF6" w:rsidRPr="00EA1485" w14:paraId="192B64D7" w14:textId="77777777" w:rsidTr="00C6541D">
        <w:tc>
          <w:tcPr>
            <w:tcW w:w="2374" w:type="dxa"/>
            <w:tcBorders>
              <w:top w:val="single" w:sz="1" w:space="0" w:color="000000"/>
              <w:left w:val="single" w:sz="1" w:space="0" w:color="000000"/>
              <w:bottom w:val="single" w:sz="1" w:space="0" w:color="000000"/>
            </w:tcBorders>
          </w:tcPr>
          <w:p w14:paraId="3F3A6BFC" w14:textId="77777777" w:rsidR="00D40CF6" w:rsidRPr="00EA1485" w:rsidRDefault="00D40CF6" w:rsidP="00C6541D">
            <w:pPr>
              <w:widowControl w:val="0"/>
              <w:spacing w:before="60" w:after="60" w:line="288" w:lineRule="auto"/>
              <w:rPr>
                <w:rFonts w:cs="Arial"/>
                <w:b/>
                <w:bCs/>
              </w:rPr>
            </w:pPr>
            <w:r w:rsidRPr="00EA1485">
              <w:rPr>
                <w:rFonts w:cs="Arial"/>
                <w:b/>
                <w:bCs/>
              </w:rPr>
              <w:lastRenderedPageBreak/>
              <w:t>Diagnosis</w:t>
            </w:r>
          </w:p>
        </w:tc>
        <w:tc>
          <w:tcPr>
            <w:tcW w:w="10530" w:type="dxa"/>
            <w:tcBorders>
              <w:top w:val="single" w:sz="1" w:space="0" w:color="000000"/>
              <w:left w:val="single" w:sz="1" w:space="0" w:color="000000"/>
              <w:bottom w:val="single" w:sz="1" w:space="0" w:color="000000"/>
              <w:right w:val="single" w:sz="1" w:space="0" w:color="000000"/>
            </w:tcBorders>
          </w:tcPr>
          <w:p w14:paraId="3F4D726C" w14:textId="77777777" w:rsidR="00D40CF6" w:rsidRPr="00EA1485" w:rsidRDefault="00D40CF6" w:rsidP="00C6541D">
            <w:pPr>
              <w:spacing w:before="60" w:after="60" w:line="288" w:lineRule="auto"/>
              <w:rPr>
                <w:b/>
                <w:bCs/>
              </w:rPr>
            </w:pPr>
            <w:r w:rsidRPr="00EA1485">
              <w:rPr>
                <w:b/>
                <w:bCs/>
              </w:rPr>
              <w:t>ICD-10-CM codes</w:t>
            </w:r>
          </w:p>
        </w:tc>
      </w:tr>
      <w:tr w:rsidR="007A2398" w:rsidRPr="005C1CC0" w14:paraId="464266B5" w14:textId="77777777" w:rsidTr="00C6541D">
        <w:tc>
          <w:tcPr>
            <w:tcW w:w="2374" w:type="dxa"/>
            <w:tcBorders>
              <w:left w:val="single" w:sz="1" w:space="0" w:color="000000"/>
              <w:bottom w:val="single" w:sz="1" w:space="0" w:color="000000"/>
            </w:tcBorders>
          </w:tcPr>
          <w:p w14:paraId="486BA5B2" w14:textId="77777777" w:rsidR="007A2398" w:rsidRPr="005C1CC0" w:rsidRDefault="007A2398" w:rsidP="00C6541D">
            <w:pPr>
              <w:widowControl w:val="0"/>
              <w:spacing w:before="60" w:after="60" w:line="288" w:lineRule="auto"/>
              <w:rPr>
                <w:rFonts w:cs="Arial"/>
              </w:rPr>
            </w:pPr>
            <w:r>
              <w:rPr>
                <w:rFonts w:cs="Arial"/>
              </w:rPr>
              <w:t>PE</w:t>
            </w:r>
          </w:p>
        </w:tc>
        <w:tc>
          <w:tcPr>
            <w:tcW w:w="10530" w:type="dxa"/>
            <w:tcBorders>
              <w:left w:val="single" w:sz="1" w:space="0" w:color="000000"/>
              <w:bottom w:val="single" w:sz="1" w:space="0" w:color="000000"/>
              <w:right w:val="single" w:sz="1" w:space="0" w:color="000000"/>
            </w:tcBorders>
          </w:tcPr>
          <w:p w14:paraId="64C07481" w14:textId="77777777" w:rsidR="007A2398" w:rsidRPr="005C1CC0" w:rsidRDefault="007A2398" w:rsidP="00C6541D">
            <w:pPr>
              <w:spacing w:before="60" w:after="60" w:line="288" w:lineRule="auto"/>
            </w:pPr>
            <w:r w:rsidRPr="006759FC">
              <w:t>126.0, 126.02, 126.09, 126.9, 126.92, 126.99</w:t>
            </w:r>
          </w:p>
        </w:tc>
      </w:tr>
      <w:tr w:rsidR="007A2398" w:rsidRPr="005C1CC0" w14:paraId="11091F42" w14:textId="77777777" w:rsidTr="00C6541D">
        <w:tc>
          <w:tcPr>
            <w:tcW w:w="2374" w:type="dxa"/>
            <w:tcBorders>
              <w:left w:val="single" w:sz="1" w:space="0" w:color="000000"/>
              <w:bottom w:val="single" w:sz="1" w:space="0" w:color="000000"/>
            </w:tcBorders>
          </w:tcPr>
          <w:p w14:paraId="7C6B1287" w14:textId="77777777" w:rsidR="007A2398" w:rsidRPr="005C1CC0" w:rsidRDefault="007A2398" w:rsidP="00C6541D">
            <w:pPr>
              <w:widowControl w:val="0"/>
              <w:spacing w:before="60" w:after="60" w:line="288" w:lineRule="auto"/>
              <w:rPr>
                <w:rFonts w:cs="Arial"/>
              </w:rPr>
            </w:pPr>
            <w:r>
              <w:rPr>
                <w:rFonts w:cs="Arial"/>
              </w:rPr>
              <w:t>Lower extremity DVT</w:t>
            </w:r>
          </w:p>
        </w:tc>
        <w:tc>
          <w:tcPr>
            <w:tcW w:w="10530" w:type="dxa"/>
            <w:tcBorders>
              <w:left w:val="single" w:sz="1" w:space="0" w:color="000000"/>
              <w:bottom w:val="single" w:sz="1" w:space="0" w:color="000000"/>
              <w:right w:val="single" w:sz="1" w:space="0" w:color="000000"/>
            </w:tcBorders>
          </w:tcPr>
          <w:p w14:paraId="32B2D103" w14:textId="77777777" w:rsidR="007A2398" w:rsidRPr="005C1CC0" w:rsidRDefault="007A2398" w:rsidP="00C6541D">
            <w:pPr>
              <w:spacing w:before="60" w:after="60" w:line="288" w:lineRule="auto"/>
            </w:pPr>
            <w:r>
              <w:t xml:space="preserve">180.10, 180.11, 180.12, 180.13, </w:t>
            </w:r>
            <w:r>
              <w:br/>
              <w:t xml:space="preserve">180.201, 180.201, 180.203, 180.209, 180.211, 180.212, 180.213, 180.219, 180.221, 180.222, 180.223, 180.229, 180.231, 180.232, 180.233, 180.239, 180.291, 180.292, 180.293, 180.299, </w:t>
            </w:r>
            <w:r>
              <w:br/>
              <w:t xml:space="preserve">180.3, </w:t>
            </w:r>
            <w:r>
              <w:br/>
              <w:t>182.401, 182.402, 182.403, 182.409, 182.411, 182.412, 182.413, 182.419, 182.421, 182.422, 182.423, 182.429, 182.431, 182.432, 182.433, 182.439, 182.441, 182.442, 182.443, 182.449, 182.491, 182.492, 182.493, 182.499, 182.4y1, 182.4y2, 182.4y3, 182.4y9, 182.4z1, 182.4z2, 182.4z3, 182.4z9</w:t>
            </w:r>
          </w:p>
        </w:tc>
      </w:tr>
      <w:tr w:rsidR="007A2398" w:rsidRPr="005C1CC0" w14:paraId="31A7C511" w14:textId="77777777" w:rsidTr="00C6541D">
        <w:tc>
          <w:tcPr>
            <w:tcW w:w="2374" w:type="dxa"/>
            <w:tcBorders>
              <w:left w:val="single" w:sz="1" w:space="0" w:color="000000"/>
              <w:bottom w:val="single" w:sz="1" w:space="0" w:color="000000"/>
            </w:tcBorders>
          </w:tcPr>
          <w:p w14:paraId="2600DF2D" w14:textId="77777777" w:rsidR="007A2398" w:rsidRPr="005C1CC0" w:rsidRDefault="007A2398" w:rsidP="00C6541D">
            <w:pPr>
              <w:widowControl w:val="0"/>
              <w:spacing w:before="60" w:after="60" w:line="288" w:lineRule="auto"/>
              <w:rPr>
                <w:rFonts w:cs="Arial"/>
              </w:rPr>
            </w:pPr>
            <w:r>
              <w:rPr>
                <w:rFonts w:cs="Arial"/>
              </w:rPr>
              <w:t>Upper extremity DVT</w:t>
            </w:r>
          </w:p>
        </w:tc>
        <w:tc>
          <w:tcPr>
            <w:tcW w:w="10530" w:type="dxa"/>
            <w:tcBorders>
              <w:left w:val="single" w:sz="1" w:space="0" w:color="000000"/>
              <w:bottom w:val="single" w:sz="1" w:space="0" w:color="000000"/>
              <w:right w:val="single" w:sz="1" w:space="0" w:color="000000"/>
            </w:tcBorders>
          </w:tcPr>
          <w:p w14:paraId="0A7E7DAB" w14:textId="77777777" w:rsidR="007A2398" w:rsidRPr="005C1CC0" w:rsidRDefault="007A2398" w:rsidP="00C6541D">
            <w:pPr>
              <w:spacing w:before="60" w:after="60" w:line="288" w:lineRule="auto"/>
            </w:pPr>
            <w:r>
              <w:t xml:space="preserve">182.210, 182.290, </w:t>
            </w:r>
            <w:r>
              <w:br/>
              <w:t>182.601, 182.602, 182.603, 182.609, 182.621, 182.622, 182.623, 182.629, 182.a11, 182.a12, 182.a13, 182.a19, 182.b11, 182.b12, 182.b13, 182.b19, 182.c11, 182.c12, 182.c13, 182.c19</w:t>
            </w:r>
          </w:p>
        </w:tc>
      </w:tr>
      <w:tr w:rsidR="007A2398" w:rsidRPr="005C1CC0" w14:paraId="6C95D980" w14:textId="77777777" w:rsidTr="00C6541D">
        <w:tc>
          <w:tcPr>
            <w:tcW w:w="2374" w:type="dxa"/>
            <w:tcBorders>
              <w:left w:val="single" w:sz="1" w:space="0" w:color="000000"/>
              <w:bottom w:val="single" w:sz="1" w:space="0" w:color="000000"/>
            </w:tcBorders>
          </w:tcPr>
          <w:p w14:paraId="0C3FDCA5" w14:textId="77777777" w:rsidR="007A2398" w:rsidRPr="005C1CC0" w:rsidRDefault="007A2398" w:rsidP="00C6541D">
            <w:pPr>
              <w:widowControl w:val="0"/>
              <w:spacing w:before="60" w:after="60" w:line="288" w:lineRule="auto"/>
              <w:rPr>
                <w:rFonts w:cs="Arial"/>
              </w:rPr>
            </w:pPr>
            <w:r>
              <w:rPr>
                <w:rFonts w:cs="Arial"/>
              </w:rPr>
              <w:t>Other VT</w:t>
            </w:r>
          </w:p>
        </w:tc>
        <w:tc>
          <w:tcPr>
            <w:tcW w:w="10530" w:type="dxa"/>
            <w:tcBorders>
              <w:left w:val="single" w:sz="1" w:space="0" w:color="000000"/>
              <w:bottom w:val="single" w:sz="1" w:space="0" w:color="000000"/>
              <w:right w:val="single" w:sz="1" w:space="0" w:color="000000"/>
            </w:tcBorders>
          </w:tcPr>
          <w:p w14:paraId="090053A7" w14:textId="77777777" w:rsidR="007A2398" w:rsidRPr="005C1CC0" w:rsidRDefault="007A2398" w:rsidP="00C6541D">
            <w:pPr>
              <w:spacing w:before="60" w:after="60" w:line="288" w:lineRule="auto"/>
            </w:pPr>
            <w:r w:rsidRPr="00EA1485">
              <w:t>180.8, 180.9, 181, 182.0, 182.1, 182.220, 182.3, 182.890, 182.90</w:t>
            </w:r>
          </w:p>
        </w:tc>
      </w:tr>
    </w:tbl>
    <w:p w14:paraId="4BC5E74E" w14:textId="77777777" w:rsidR="007A2398" w:rsidRPr="005C1CC0" w:rsidRDefault="007A2398" w:rsidP="007D252D">
      <w:pPr>
        <w:widowControl w:val="0"/>
        <w:spacing w:after="120" w:line="360" w:lineRule="auto"/>
        <w:rPr>
          <w:rFonts w:cs="Arial"/>
          <w:szCs w:val="20"/>
        </w:rPr>
      </w:pPr>
    </w:p>
    <w:p w14:paraId="02477315" w14:textId="77777777" w:rsidR="007A2398" w:rsidRDefault="007A2398" w:rsidP="007D252D">
      <w:pPr>
        <w:widowControl w:val="0"/>
        <w:spacing w:after="120" w:line="360" w:lineRule="auto"/>
        <w:rPr>
          <w:rFonts w:cs="Arial"/>
          <w:szCs w:val="20"/>
        </w:rPr>
      </w:pPr>
      <w:r w:rsidRPr="005C1CC0">
        <w:rPr>
          <w:rFonts w:cs="Arial"/>
          <w:b/>
          <w:szCs w:val="20"/>
        </w:rPr>
        <w:t>Abbreviations:</w:t>
      </w:r>
      <w:r w:rsidRPr="005C1CC0">
        <w:rPr>
          <w:rFonts w:cs="Arial"/>
          <w:szCs w:val="20"/>
        </w:rPr>
        <w:t xml:space="preserve"> </w:t>
      </w:r>
      <w:r w:rsidRPr="00226DC2">
        <w:rPr>
          <w:rFonts w:cs="Arial"/>
          <w:szCs w:val="20"/>
        </w:rPr>
        <w:t>DVT</w:t>
      </w:r>
      <w:r>
        <w:rPr>
          <w:rFonts w:cs="Arial"/>
          <w:szCs w:val="20"/>
        </w:rPr>
        <w:t>,</w:t>
      </w:r>
      <w:r w:rsidRPr="00226DC2">
        <w:rPr>
          <w:rFonts w:cs="Arial"/>
          <w:szCs w:val="20"/>
        </w:rPr>
        <w:t xml:space="preserve"> deep vein thromboembolism</w:t>
      </w:r>
      <w:r>
        <w:rPr>
          <w:rFonts w:cs="Arial"/>
          <w:szCs w:val="20"/>
        </w:rPr>
        <w:t>;</w:t>
      </w:r>
      <w:r w:rsidRPr="00226DC2">
        <w:rPr>
          <w:rFonts w:cs="Arial"/>
          <w:szCs w:val="20"/>
        </w:rPr>
        <w:t xml:space="preserve"> </w:t>
      </w:r>
      <w:r w:rsidRPr="00EA1485">
        <w:t>ICD-10-CM</w:t>
      </w:r>
      <w:r>
        <w:t xml:space="preserve">, </w:t>
      </w:r>
      <w:r w:rsidRPr="00343E98">
        <w:rPr>
          <w:i/>
          <w:iCs/>
        </w:rPr>
        <w:t>International Classification of Diseases, Tenth Revision, Clinical Modification</w:t>
      </w:r>
      <w:r>
        <w:t xml:space="preserve">; </w:t>
      </w:r>
      <w:r w:rsidRPr="00226DC2">
        <w:rPr>
          <w:rFonts w:cs="Arial"/>
          <w:szCs w:val="20"/>
        </w:rPr>
        <w:t>PE</w:t>
      </w:r>
      <w:r>
        <w:rPr>
          <w:rFonts w:cs="Arial"/>
          <w:szCs w:val="20"/>
        </w:rPr>
        <w:t>,</w:t>
      </w:r>
      <w:r w:rsidRPr="00226DC2">
        <w:rPr>
          <w:rFonts w:cs="Arial"/>
          <w:szCs w:val="20"/>
        </w:rPr>
        <w:t xml:space="preserve"> pulmonary embolism</w:t>
      </w:r>
      <w:r>
        <w:rPr>
          <w:rFonts w:cs="Arial"/>
          <w:szCs w:val="20"/>
        </w:rPr>
        <w:t>;</w:t>
      </w:r>
      <w:r w:rsidRPr="00226DC2">
        <w:rPr>
          <w:rFonts w:cs="Arial"/>
          <w:szCs w:val="20"/>
        </w:rPr>
        <w:t xml:space="preserve"> </w:t>
      </w:r>
      <w:r>
        <w:rPr>
          <w:rFonts w:cs="Arial"/>
          <w:szCs w:val="20"/>
        </w:rPr>
        <w:t xml:space="preserve">RA, rheumatoid arthritis; </w:t>
      </w:r>
      <w:r w:rsidRPr="00226DC2">
        <w:rPr>
          <w:rFonts w:cs="Arial"/>
          <w:szCs w:val="20"/>
        </w:rPr>
        <w:t>VT</w:t>
      </w:r>
      <w:r>
        <w:rPr>
          <w:rFonts w:cs="Arial"/>
          <w:szCs w:val="20"/>
        </w:rPr>
        <w:t>,</w:t>
      </w:r>
      <w:r w:rsidRPr="00226DC2">
        <w:rPr>
          <w:rFonts w:cs="Arial"/>
          <w:szCs w:val="20"/>
        </w:rPr>
        <w:t xml:space="preserve"> venous thrombosis</w:t>
      </w:r>
      <w:r>
        <w:rPr>
          <w:rFonts w:cs="Arial"/>
          <w:szCs w:val="20"/>
        </w:rPr>
        <w:t>;</w:t>
      </w:r>
      <w:r w:rsidRPr="00226DC2">
        <w:rPr>
          <w:rFonts w:cs="Arial"/>
          <w:szCs w:val="20"/>
        </w:rPr>
        <w:t xml:space="preserve"> VTE</w:t>
      </w:r>
      <w:r>
        <w:rPr>
          <w:rFonts w:cs="Arial"/>
          <w:szCs w:val="20"/>
        </w:rPr>
        <w:t>,</w:t>
      </w:r>
      <w:r w:rsidRPr="00226DC2">
        <w:rPr>
          <w:rFonts w:cs="Arial"/>
          <w:szCs w:val="20"/>
        </w:rPr>
        <w:t xml:space="preserve"> venous </w:t>
      </w:r>
      <w:r>
        <w:rPr>
          <w:rFonts w:cs="Arial"/>
          <w:szCs w:val="20"/>
        </w:rPr>
        <w:t>thromboembolism.</w:t>
      </w:r>
    </w:p>
    <w:p w14:paraId="0A1694A5" w14:textId="77777777" w:rsidR="007A2398" w:rsidRDefault="007A2398" w:rsidP="007D252D">
      <w:pPr>
        <w:spacing w:after="120" w:line="360" w:lineRule="auto"/>
        <w:rPr>
          <w:rFonts w:cs="Arial"/>
          <w:szCs w:val="20"/>
        </w:rPr>
        <w:sectPr w:rsidR="007A2398" w:rsidSect="00EA5C6B">
          <w:pgSz w:w="15840" w:h="12240" w:orient="landscape"/>
          <w:pgMar w:top="1800" w:right="1440" w:bottom="1800" w:left="1440" w:header="720" w:footer="720" w:gutter="0"/>
          <w:lnNumType w:countBy="1" w:restart="continuous"/>
          <w:cols w:space="720"/>
          <w:docGrid w:linePitch="360"/>
        </w:sectPr>
      </w:pPr>
    </w:p>
    <w:p w14:paraId="161F762C" w14:textId="69AFCBD7" w:rsidR="00C72B9E" w:rsidRDefault="00C72B9E" w:rsidP="007D252D">
      <w:pPr>
        <w:pStyle w:val="Heading3"/>
        <w:spacing w:after="120" w:line="360" w:lineRule="auto"/>
      </w:pPr>
      <w:r w:rsidRPr="00C72B9E">
        <w:lastRenderedPageBreak/>
        <w:t>Supplementary Material</w:t>
      </w:r>
      <w:r w:rsidR="005E006C">
        <w:t>s</w:t>
      </w:r>
      <w:r w:rsidRPr="00C72B9E">
        <w:t xml:space="preserve"> and Methods</w:t>
      </w:r>
    </w:p>
    <w:p w14:paraId="166519C7" w14:textId="5AF57893" w:rsidR="00AE5E8A" w:rsidRDefault="00AE5E8A" w:rsidP="007D252D">
      <w:pPr>
        <w:pStyle w:val="Heading3"/>
        <w:spacing w:after="120" w:line="360" w:lineRule="auto"/>
      </w:pPr>
      <w:r>
        <w:t>Imaging procedures used for VTE diagnosis confirmation</w:t>
      </w:r>
    </w:p>
    <w:p w14:paraId="3F9AB3DF" w14:textId="77777777" w:rsidR="00AE5E8A" w:rsidRDefault="00AE5E8A" w:rsidP="007D252D">
      <w:pPr>
        <w:spacing w:after="120" w:line="360" w:lineRule="auto"/>
      </w:pPr>
      <w:r>
        <w:t>Imaging</w:t>
      </w:r>
      <w:r w:rsidRPr="00F03C2A">
        <w:t xml:space="preserve"> </w:t>
      </w:r>
      <w:r>
        <w:t xml:space="preserve">procedures used for confirmation of VTE diagnosis included </w:t>
      </w:r>
      <w:r w:rsidRPr="00F03C2A">
        <w:t>angiogram</w:t>
      </w:r>
      <w:r>
        <w:t>,</w:t>
      </w:r>
      <w:r w:rsidRPr="00F03C2A">
        <w:t xml:space="preserve"> computed tomography </w:t>
      </w:r>
      <w:r>
        <w:t xml:space="preserve">(CT) </w:t>
      </w:r>
      <w:r w:rsidRPr="00F03C2A">
        <w:t>scan</w:t>
      </w:r>
      <w:r>
        <w:t>,</w:t>
      </w:r>
      <w:r w:rsidRPr="00F03C2A">
        <w:t xml:space="preserve"> lung ventilation-perfusion scan</w:t>
      </w:r>
      <w:r>
        <w:t>,</w:t>
      </w:r>
      <w:r w:rsidRPr="00F03C2A">
        <w:t xml:space="preserve"> magnetic resonance imaging </w:t>
      </w:r>
      <w:r>
        <w:t>(</w:t>
      </w:r>
      <w:r w:rsidRPr="00F03C2A">
        <w:t>MRI</w:t>
      </w:r>
      <w:r>
        <w:t>)</w:t>
      </w:r>
      <w:r w:rsidRPr="00F03C2A">
        <w:t xml:space="preserve">/magnetic resonance angiography </w:t>
      </w:r>
      <w:r>
        <w:t>(</w:t>
      </w:r>
      <w:r w:rsidRPr="00F03C2A">
        <w:t>MRA</w:t>
      </w:r>
      <w:r>
        <w:t>)</w:t>
      </w:r>
      <w:r w:rsidRPr="00F03C2A">
        <w:t xml:space="preserve">/magnetic resonance venography </w:t>
      </w:r>
      <w:r>
        <w:t>(</w:t>
      </w:r>
      <w:r w:rsidRPr="00F03C2A">
        <w:t>MRV</w:t>
      </w:r>
      <w:r>
        <w:t>),</w:t>
      </w:r>
      <w:r w:rsidRPr="00F03C2A">
        <w:t xml:space="preserve"> venogram</w:t>
      </w:r>
      <w:r>
        <w:t>,</w:t>
      </w:r>
      <w:r w:rsidRPr="00F03C2A">
        <w:t xml:space="preserve"> or venous duplex ultrasound</w:t>
      </w:r>
      <w:r>
        <w:t>.</w:t>
      </w:r>
    </w:p>
    <w:p w14:paraId="2CF33DEA" w14:textId="77777777" w:rsidR="00AE5E8A" w:rsidRPr="00FE19D6" w:rsidRDefault="00AE5E8A" w:rsidP="007D252D">
      <w:pPr>
        <w:spacing w:after="120" w:line="360" w:lineRule="auto"/>
      </w:pPr>
    </w:p>
    <w:p w14:paraId="0A9B13ED" w14:textId="77777777" w:rsidR="00AE5E8A" w:rsidRPr="005F7BEE" w:rsidRDefault="00AE5E8A" w:rsidP="007D252D">
      <w:pPr>
        <w:pStyle w:val="Heading3"/>
        <w:spacing w:after="120" w:line="360" w:lineRule="auto"/>
      </w:pPr>
      <w:r>
        <w:t>Provider selection for chart procurement in ORD Cohorts (primary and secondary objective samples)</w:t>
      </w:r>
    </w:p>
    <w:p w14:paraId="7A581D5F" w14:textId="77777777" w:rsidR="00AE5E8A" w:rsidRDefault="00AE5E8A" w:rsidP="007D252D">
      <w:pPr>
        <w:spacing w:after="120" w:line="360" w:lineRule="auto"/>
      </w:pPr>
      <w:r>
        <w:t xml:space="preserve">For each patient with a presumptive claims-based VTE, 1 provider, as well as 1 alternate provider, were identified to be contacted for chart procurement, using a combination of VTE diagnosis codes (excluding diagnostic testing codes), dates of service, and location of care. </w:t>
      </w:r>
      <w:r w:rsidRPr="002B2DBB">
        <w:t>Patient name, date of birth</w:t>
      </w:r>
      <w:r>
        <w:t>,</w:t>
      </w:r>
      <w:r w:rsidRPr="002B2DBB">
        <w:t xml:space="preserve"> and dates of service</w:t>
      </w:r>
      <w:r>
        <w:t>,</w:t>
      </w:r>
      <w:r w:rsidRPr="002B2DBB">
        <w:t xml:space="preserve"> together with provider name and mailing address were given to the data collection vendor to support procurement of each patient’s clinical chart from that provider for abstraction of VTE-related confirmatory data.</w:t>
      </w:r>
      <w:r>
        <w:t xml:space="preserve"> The provider of interest (including inpatient hospitals, ER providers, and outpatient providers) was contacted directly to request the medical chart for the identified patient over a 90-day period that included the qualifying VTE date (event date). The provider most likely to have rendered services for the presumptive VTE was the primary target for chart procurement and abstraction. </w:t>
      </w:r>
    </w:p>
    <w:p w14:paraId="216BC125" w14:textId="77777777" w:rsidR="00AE5E8A" w:rsidRDefault="00AE5E8A" w:rsidP="007D252D">
      <w:pPr>
        <w:spacing w:after="120" w:line="360" w:lineRule="auto"/>
      </w:pPr>
    </w:p>
    <w:p w14:paraId="3DDD7731" w14:textId="77777777" w:rsidR="00AE5E8A" w:rsidRPr="005F7BEE" w:rsidRDefault="00AE5E8A" w:rsidP="007D252D">
      <w:pPr>
        <w:pStyle w:val="Heading3"/>
        <w:spacing w:after="120" w:line="360" w:lineRule="auto"/>
      </w:pPr>
      <w:r>
        <w:t>Provider notes extraction in primary VTE case definition performance sample from the MC Cohort (exploratory objective sample)</w:t>
      </w:r>
    </w:p>
    <w:p w14:paraId="743268F7" w14:textId="50C14C38" w:rsidR="00AE5E8A" w:rsidRDefault="005E006C" w:rsidP="007D252D">
      <w:pPr>
        <w:spacing w:after="120" w:line="360" w:lineRule="auto"/>
      </w:pPr>
      <w:r w:rsidRPr="005E006C">
        <w:t>The Optum de-identified Market Clarity Dataset deterministically links medical and pharmacy claims with EHR data from providers across the continuum of care. When provider notes are available, review and abstraction can provide valuable insights. Since Market Clarity is a de-identified data source, the specific provider(s) contributing notes are unknown. For this study, case-sensitive</w:t>
      </w:r>
      <w:r>
        <w:t xml:space="preserve"> t</w:t>
      </w:r>
      <w:r w:rsidR="00AE5E8A">
        <w:t xml:space="preserve">argeted search terms were used to focus abstraction on clinical data related to the study population and objectives (i.e., terms related to RA and VTE). Search terms used to identify relevant provider clinical notes (listed in alphabetical order, including partial words) were abatacept, adalimumab, anakinra, angiogram, anticoagulant, anticoagulation, apixaban, arm, arthritis, baricitinib, blockage, brachial, Budd-Chiari, calf, certolizumab, clot, computed axial, </w:t>
      </w:r>
      <w:r w:rsidR="00AE5E8A">
        <w:lastRenderedPageBreak/>
        <w:t>computed tomography, CT, dabigatran, D-dimer, deep, defect, DMARD, doppler, duplex, DVT, edoxaban, embol…, enoxaparin, etanercept, extremity, femoral, fondaparinux, Geneva score, golimumab, Homan’s, iliac, infliximab, leg, lung, magnetic resonance, mesentery, MRA, MRI, MRV, occlusion, PE, perfusion, phlebitis, plethysmography, popliteal, portal, posterior tibial, profunda, pulmon…, RA, radial, restriction, rheumatoid, rivaroxaban, sarilumab, segmental, subclavian, subsegmental, thromb…, thrombophlebitis, tinzaparin, tocilizumab, tofacitinib, ulnar, ultrasound, upadacitinib, vein, venogram, venography, venous duplex, ventilation, VQ scan, warfarin, and X-ray.</w:t>
      </w:r>
    </w:p>
    <w:p w14:paraId="27B3F6C9" w14:textId="77777777" w:rsidR="00AE5E8A" w:rsidRDefault="00AE5E8A" w:rsidP="007D252D">
      <w:pPr>
        <w:spacing w:after="120" w:line="360" w:lineRule="auto"/>
        <w:rPr>
          <w:rFonts w:cs="Arial"/>
          <w:b/>
          <w:bCs/>
        </w:rPr>
      </w:pPr>
      <w:r>
        <w:rPr>
          <w:rFonts w:cs="Arial"/>
          <w:b/>
          <w:bCs/>
        </w:rPr>
        <w:br w:type="page"/>
      </w:r>
    </w:p>
    <w:p w14:paraId="1F513146" w14:textId="2A691E00" w:rsidR="007A2398" w:rsidRDefault="007A2398" w:rsidP="007D252D">
      <w:pPr>
        <w:widowControl w:val="0"/>
        <w:spacing w:after="120" w:line="360" w:lineRule="auto"/>
        <w:rPr>
          <w:rFonts w:cs="Arial"/>
        </w:rPr>
      </w:pPr>
      <w:bookmarkStart w:id="0" w:name="_Hlk127380564"/>
      <w:r>
        <w:rPr>
          <w:rFonts w:cs="Arial"/>
          <w:b/>
          <w:bCs/>
        </w:rPr>
        <w:lastRenderedPageBreak/>
        <w:t>Supplementa</w:t>
      </w:r>
      <w:r w:rsidR="00C72B9E">
        <w:rPr>
          <w:rFonts w:cs="Arial"/>
          <w:b/>
          <w:bCs/>
        </w:rPr>
        <w:t>ry</w:t>
      </w:r>
      <w:r>
        <w:rPr>
          <w:rFonts w:cs="Arial"/>
          <w:b/>
          <w:bCs/>
        </w:rPr>
        <w:t xml:space="preserve"> </w:t>
      </w:r>
      <w:r w:rsidRPr="005C1CC0">
        <w:rPr>
          <w:rFonts w:cs="Arial"/>
          <w:b/>
          <w:bCs/>
        </w:rPr>
        <w:t xml:space="preserve">Table </w:t>
      </w:r>
      <w:r>
        <w:rPr>
          <w:rFonts w:cs="Arial"/>
          <w:b/>
          <w:bCs/>
        </w:rPr>
        <w:t>2</w:t>
      </w:r>
      <w:r>
        <w:rPr>
          <w:rFonts w:cs="Arial"/>
        </w:rPr>
        <w:t xml:space="preserve"> </w:t>
      </w:r>
      <w:bookmarkStart w:id="1" w:name="_Hlk133932773"/>
      <w:r w:rsidR="00131C68">
        <w:rPr>
          <w:rFonts w:cs="Arial"/>
        </w:rPr>
        <w:t>D</w:t>
      </w:r>
      <w:r>
        <w:rPr>
          <w:rFonts w:cs="Arial"/>
        </w:rPr>
        <w:t xml:space="preserve">emographic characteristics </w:t>
      </w:r>
      <w:r w:rsidR="00200C7C">
        <w:rPr>
          <w:rFonts w:cs="Arial"/>
        </w:rPr>
        <w:t>of</w:t>
      </w:r>
      <w:r>
        <w:rPr>
          <w:rFonts w:cs="Arial"/>
        </w:rPr>
        <w:t xml:space="preserve"> patients with abstracted versus not abstracted charts/provider notes.</w:t>
      </w:r>
      <w:bookmarkEnd w:id="1"/>
    </w:p>
    <w:bookmarkEnd w:id="0"/>
    <w:tbl>
      <w:tblPr>
        <w:tblW w:w="8672" w:type="dxa"/>
        <w:tblInd w:w="55" w:type="dxa"/>
        <w:tblLayout w:type="fixed"/>
        <w:tblCellMar>
          <w:top w:w="55" w:type="dxa"/>
          <w:left w:w="55" w:type="dxa"/>
          <w:bottom w:w="55" w:type="dxa"/>
          <w:right w:w="55" w:type="dxa"/>
        </w:tblCellMar>
        <w:tblLook w:val="0000" w:firstRow="0" w:lastRow="0" w:firstColumn="0" w:lastColumn="0" w:noHBand="0" w:noVBand="0"/>
      </w:tblPr>
      <w:tblGrid>
        <w:gridCol w:w="4664"/>
        <w:gridCol w:w="2004"/>
        <w:gridCol w:w="2004"/>
      </w:tblGrid>
      <w:tr w:rsidR="00131C68" w:rsidRPr="00EC22C4" w14:paraId="0F37E893" w14:textId="77777777" w:rsidTr="002B09C5">
        <w:trPr>
          <w:trHeight w:val="300"/>
        </w:trPr>
        <w:tc>
          <w:tcPr>
            <w:tcW w:w="4664" w:type="dxa"/>
            <w:tcBorders>
              <w:top w:val="single" w:sz="1" w:space="0" w:color="000000"/>
              <w:left w:val="single" w:sz="1" w:space="0" w:color="000000"/>
              <w:bottom w:val="single" w:sz="1" w:space="0" w:color="000000"/>
            </w:tcBorders>
          </w:tcPr>
          <w:p w14:paraId="08DBFECD" w14:textId="77777777" w:rsidR="00131C68" w:rsidRPr="00EC22C4" w:rsidRDefault="00131C68" w:rsidP="00D40CF6">
            <w:pPr>
              <w:widowControl w:val="0"/>
              <w:spacing w:before="40" w:after="40" w:line="240" w:lineRule="auto"/>
              <w:rPr>
                <w:rFonts w:cs="Arial"/>
                <w:b/>
                <w:bCs/>
              </w:rPr>
            </w:pPr>
          </w:p>
        </w:tc>
        <w:tc>
          <w:tcPr>
            <w:tcW w:w="2004" w:type="dxa"/>
            <w:tcBorders>
              <w:top w:val="single" w:sz="1" w:space="0" w:color="000000"/>
              <w:left w:val="single" w:sz="1" w:space="0" w:color="000000"/>
              <w:bottom w:val="single" w:sz="1" w:space="0" w:color="000000"/>
            </w:tcBorders>
          </w:tcPr>
          <w:p w14:paraId="7ACAA16C" w14:textId="77777777" w:rsidR="00131C68" w:rsidRPr="00EC22C4" w:rsidRDefault="00131C68" w:rsidP="00D40CF6">
            <w:pPr>
              <w:spacing w:before="40" w:after="40" w:line="240" w:lineRule="auto"/>
              <w:jc w:val="center"/>
              <w:rPr>
                <w:b/>
                <w:bCs/>
              </w:rPr>
            </w:pPr>
            <w:r w:rsidRPr="00EC22C4">
              <w:rPr>
                <w:b/>
                <w:bCs/>
              </w:rPr>
              <w:t>Not abstracted</w:t>
            </w:r>
          </w:p>
        </w:tc>
        <w:tc>
          <w:tcPr>
            <w:tcW w:w="2004" w:type="dxa"/>
            <w:tcBorders>
              <w:top w:val="single" w:sz="1" w:space="0" w:color="000000"/>
              <w:left w:val="single" w:sz="1" w:space="0" w:color="000000"/>
              <w:bottom w:val="single" w:sz="1" w:space="0" w:color="000000"/>
              <w:right w:val="single" w:sz="1" w:space="0" w:color="000000"/>
            </w:tcBorders>
          </w:tcPr>
          <w:p w14:paraId="4A9FB577" w14:textId="77777777" w:rsidR="00131C68" w:rsidRPr="00EC22C4" w:rsidRDefault="00131C68" w:rsidP="00D40CF6">
            <w:pPr>
              <w:spacing w:before="40" w:after="40" w:line="240" w:lineRule="auto"/>
              <w:jc w:val="center"/>
              <w:rPr>
                <w:b/>
                <w:bCs/>
              </w:rPr>
            </w:pPr>
            <w:r w:rsidRPr="00EC22C4">
              <w:rPr>
                <w:b/>
                <w:bCs/>
              </w:rPr>
              <w:t>Abstracted</w:t>
            </w:r>
          </w:p>
        </w:tc>
      </w:tr>
      <w:tr w:rsidR="00131C68" w:rsidRPr="00EC22C4" w14:paraId="163ADBA2" w14:textId="77777777" w:rsidTr="002B09C5">
        <w:trPr>
          <w:trHeight w:val="300"/>
        </w:trPr>
        <w:tc>
          <w:tcPr>
            <w:tcW w:w="4664" w:type="dxa"/>
            <w:tcBorders>
              <w:top w:val="single" w:sz="1" w:space="0" w:color="000000"/>
              <w:left w:val="single" w:sz="1" w:space="0" w:color="000000"/>
              <w:bottom w:val="single" w:sz="1" w:space="0" w:color="000000"/>
            </w:tcBorders>
          </w:tcPr>
          <w:p w14:paraId="6EE20F2A" w14:textId="77777777" w:rsidR="00131C68" w:rsidRPr="00EC22C4" w:rsidRDefault="00131C68" w:rsidP="00D40CF6">
            <w:pPr>
              <w:widowControl w:val="0"/>
              <w:spacing w:before="40" w:after="40" w:line="240" w:lineRule="auto"/>
              <w:rPr>
                <w:rFonts w:cs="Arial"/>
                <w:b/>
                <w:bCs/>
                <w:i/>
                <w:iCs/>
              </w:rPr>
            </w:pPr>
            <w:r w:rsidRPr="00EC22C4">
              <w:rPr>
                <w:rFonts w:cs="Arial"/>
                <w:b/>
                <w:bCs/>
                <w:i/>
                <w:iCs/>
              </w:rPr>
              <w:t>Primary VTE sample, ORD Cohort 1+2</w:t>
            </w:r>
          </w:p>
        </w:tc>
        <w:tc>
          <w:tcPr>
            <w:tcW w:w="2004" w:type="dxa"/>
            <w:tcBorders>
              <w:top w:val="single" w:sz="1" w:space="0" w:color="000000"/>
              <w:left w:val="single" w:sz="1" w:space="0" w:color="000000"/>
              <w:bottom w:val="single" w:sz="1" w:space="0" w:color="000000"/>
            </w:tcBorders>
          </w:tcPr>
          <w:p w14:paraId="716CAE33" w14:textId="77777777" w:rsidR="00131C68" w:rsidRPr="00EC22C4" w:rsidRDefault="00131C68" w:rsidP="00D40CF6">
            <w:pPr>
              <w:spacing w:before="40" w:after="40" w:line="240" w:lineRule="auto"/>
              <w:jc w:val="center"/>
              <w:rPr>
                <w:b/>
                <w:bCs/>
                <w:i/>
                <w:iCs/>
              </w:rPr>
            </w:pPr>
            <w:r w:rsidRPr="00EC22C4">
              <w:rPr>
                <w:b/>
                <w:bCs/>
                <w:i/>
                <w:iCs/>
              </w:rPr>
              <w:t>(n = 99)</w:t>
            </w:r>
          </w:p>
        </w:tc>
        <w:tc>
          <w:tcPr>
            <w:tcW w:w="2004" w:type="dxa"/>
            <w:tcBorders>
              <w:top w:val="single" w:sz="1" w:space="0" w:color="000000"/>
              <w:left w:val="single" w:sz="1" w:space="0" w:color="000000"/>
              <w:bottom w:val="single" w:sz="1" w:space="0" w:color="000000"/>
              <w:right w:val="single" w:sz="1" w:space="0" w:color="000000"/>
            </w:tcBorders>
          </w:tcPr>
          <w:p w14:paraId="7163C2C0" w14:textId="77777777" w:rsidR="00131C68" w:rsidRPr="00EC22C4" w:rsidRDefault="00131C68" w:rsidP="00D40CF6">
            <w:pPr>
              <w:spacing w:before="40" w:after="40" w:line="240" w:lineRule="auto"/>
              <w:jc w:val="center"/>
              <w:rPr>
                <w:b/>
                <w:bCs/>
                <w:i/>
                <w:iCs/>
              </w:rPr>
            </w:pPr>
            <w:r w:rsidRPr="00EC22C4">
              <w:rPr>
                <w:b/>
                <w:bCs/>
                <w:i/>
                <w:iCs/>
              </w:rPr>
              <w:t>(n = 155)</w:t>
            </w:r>
          </w:p>
        </w:tc>
      </w:tr>
      <w:tr w:rsidR="00131C68" w:rsidRPr="00D33E7B" w14:paraId="264A194E" w14:textId="77777777" w:rsidTr="002B09C5">
        <w:trPr>
          <w:trHeight w:val="300"/>
        </w:trPr>
        <w:tc>
          <w:tcPr>
            <w:tcW w:w="4664" w:type="dxa"/>
            <w:tcBorders>
              <w:top w:val="single" w:sz="1" w:space="0" w:color="000000"/>
              <w:left w:val="single" w:sz="1" w:space="0" w:color="000000"/>
              <w:bottom w:val="single" w:sz="1" w:space="0" w:color="000000"/>
            </w:tcBorders>
          </w:tcPr>
          <w:p w14:paraId="6B08A220" w14:textId="11CE9E62" w:rsidR="00131C68" w:rsidRPr="00D33E7B" w:rsidRDefault="00131C68" w:rsidP="00D40CF6">
            <w:pPr>
              <w:widowControl w:val="0"/>
              <w:spacing w:before="40" w:after="40" w:line="240" w:lineRule="auto"/>
              <w:ind w:left="158"/>
              <w:rPr>
                <w:rFonts w:cs="Arial"/>
              </w:rPr>
            </w:pPr>
            <w:r>
              <w:rPr>
                <w:rFonts w:cs="Arial"/>
              </w:rPr>
              <w:t>Age, y</w:t>
            </w:r>
          </w:p>
        </w:tc>
        <w:tc>
          <w:tcPr>
            <w:tcW w:w="2004" w:type="dxa"/>
            <w:tcBorders>
              <w:top w:val="single" w:sz="1" w:space="0" w:color="000000"/>
              <w:left w:val="single" w:sz="1" w:space="0" w:color="000000"/>
              <w:bottom w:val="single" w:sz="1" w:space="0" w:color="000000"/>
            </w:tcBorders>
          </w:tcPr>
          <w:p w14:paraId="4540A261" w14:textId="77777777" w:rsidR="00131C68" w:rsidRPr="00D33E7B" w:rsidRDefault="00131C68" w:rsidP="00D40CF6">
            <w:pPr>
              <w:spacing w:before="40" w:after="40" w:line="240" w:lineRule="auto"/>
              <w:jc w:val="center"/>
            </w:pPr>
            <w:r>
              <w:t>65.0 (10.0)</w:t>
            </w:r>
          </w:p>
        </w:tc>
        <w:tc>
          <w:tcPr>
            <w:tcW w:w="2004" w:type="dxa"/>
            <w:tcBorders>
              <w:top w:val="single" w:sz="1" w:space="0" w:color="000000"/>
              <w:left w:val="single" w:sz="1" w:space="0" w:color="000000"/>
              <w:bottom w:val="single" w:sz="1" w:space="0" w:color="000000"/>
              <w:right w:val="single" w:sz="1" w:space="0" w:color="000000"/>
            </w:tcBorders>
          </w:tcPr>
          <w:p w14:paraId="5BA24DB6" w14:textId="77777777" w:rsidR="00131C68" w:rsidRPr="00D33E7B" w:rsidRDefault="00131C68" w:rsidP="00D40CF6">
            <w:pPr>
              <w:spacing w:before="40" w:after="40" w:line="240" w:lineRule="auto"/>
              <w:jc w:val="center"/>
            </w:pPr>
            <w:r>
              <w:t>66.4 (10.7)</w:t>
            </w:r>
          </w:p>
        </w:tc>
      </w:tr>
      <w:tr w:rsidR="00131C68" w:rsidRPr="00D33E7B" w14:paraId="5806D498" w14:textId="77777777" w:rsidTr="002B09C5">
        <w:trPr>
          <w:trHeight w:val="1656"/>
        </w:trPr>
        <w:tc>
          <w:tcPr>
            <w:tcW w:w="4664" w:type="dxa"/>
            <w:tcBorders>
              <w:left w:val="single" w:sz="1" w:space="0" w:color="000000"/>
              <w:bottom w:val="single" w:sz="1" w:space="0" w:color="000000"/>
            </w:tcBorders>
          </w:tcPr>
          <w:p w14:paraId="03B99A15" w14:textId="77777777" w:rsidR="00131C68" w:rsidRDefault="00131C68" w:rsidP="00D40CF6">
            <w:pPr>
              <w:widowControl w:val="0"/>
              <w:spacing w:before="40" w:after="40" w:line="240" w:lineRule="auto"/>
              <w:ind w:left="158"/>
              <w:rPr>
                <w:rFonts w:cs="Arial"/>
              </w:rPr>
            </w:pPr>
            <w:r>
              <w:rPr>
                <w:rFonts w:cs="Arial"/>
              </w:rPr>
              <w:t>Age group</w:t>
            </w:r>
          </w:p>
          <w:p w14:paraId="0258DBD1" w14:textId="77777777" w:rsidR="00131C68" w:rsidRDefault="00131C68" w:rsidP="00D40CF6">
            <w:pPr>
              <w:widowControl w:val="0"/>
              <w:spacing w:before="40" w:after="40" w:line="240" w:lineRule="auto"/>
              <w:ind w:left="158"/>
              <w:rPr>
                <w:rFonts w:cs="Arial"/>
              </w:rPr>
            </w:pPr>
            <w:r>
              <w:rPr>
                <w:rFonts w:cs="Arial"/>
              </w:rPr>
              <w:tab/>
              <w:t>18–34 years</w:t>
            </w:r>
          </w:p>
          <w:p w14:paraId="25F59FA5" w14:textId="77777777" w:rsidR="00131C68" w:rsidRDefault="00131C68" w:rsidP="00D40CF6">
            <w:pPr>
              <w:widowControl w:val="0"/>
              <w:spacing w:before="40" w:after="40" w:line="240" w:lineRule="auto"/>
              <w:ind w:left="158"/>
              <w:rPr>
                <w:rFonts w:cs="Arial"/>
              </w:rPr>
            </w:pPr>
            <w:r>
              <w:rPr>
                <w:rFonts w:cs="Arial"/>
              </w:rPr>
              <w:tab/>
              <w:t>35–54 years</w:t>
            </w:r>
          </w:p>
          <w:p w14:paraId="5AFA31B1" w14:textId="77777777" w:rsidR="00131C68" w:rsidRDefault="00131C68" w:rsidP="00D40CF6">
            <w:pPr>
              <w:widowControl w:val="0"/>
              <w:spacing w:before="40" w:after="40" w:line="240" w:lineRule="auto"/>
              <w:ind w:left="158"/>
              <w:rPr>
                <w:rFonts w:cs="Arial"/>
              </w:rPr>
            </w:pPr>
            <w:r>
              <w:rPr>
                <w:rFonts w:cs="Arial"/>
              </w:rPr>
              <w:tab/>
              <w:t>55–64 years</w:t>
            </w:r>
          </w:p>
          <w:p w14:paraId="4B513F59" w14:textId="77777777" w:rsidR="00131C68" w:rsidRDefault="00131C68" w:rsidP="00D40CF6">
            <w:pPr>
              <w:widowControl w:val="0"/>
              <w:spacing w:before="40" w:after="40" w:line="240" w:lineRule="auto"/>
              <w:ind w:left="158"/>
              <w:rPr>
                <w:rFonts w:cs="Arial"/>
              </w:rPr>
            </w:pPr>
            <w:r>
              <w:rPr>
                <w:rFonts w:cs="Arial"/>
              </w:rPr>
              <w:tab/>
              <w:t>65–74 years</w:t>
            </w:r>
          </w:p>
          <w:p w14:paraId="06F81054" w14:textId="77777777" w:rsidR="00131C68" w:rsidRPr="00606C69" w:rsidRDefault="00131C68" w:rsidP="00D40CF6">
            <w:pPr>
              <w:widowControl w:val="0"/>
              <w:spacing w:before="40" w:after="40" w:line="240" w:lineRule="auto"/>
              <w:ind w:left="158"/>
              <w:rPr>
                <w:rFonts w:cs="Arial"/>
              </w:rPr>
            </w:pPr>
            <w:r>
              <w:rPr>
                <w:rFonts w:cs="Arial"/>
              </w:rPr>
              <w:tab/>
              <w:t>≥75 years</w:t>
            </w:r>
          </w:p>
        </w:tc>
        <w:tc>
          <w:tcPr>
            <w:tcW w:w="2004" w:type="dxa"/>
            <w:tcBorders>
              <w:left w:val="single" w:sz="1" w:space="0" w:color="000000"/>
              <w:bottom w:val="single" w:sz="1" w:space="0" w:color="000000"/>
            </w:tcBorders>
          </w:tcPr>
          <w:p w14:paraId="75971591" w14:textId="77777777" w:rsidR="00131C68" w:rsidRDefault="00131C68" w:rsidP="00D40CF6">
            <w:pPr>
              <w:spacing w:before="40" w:after="40" w:line="240" w:lineRule="auto"/>
              <w:jc w:val="center"/>
            </w:pPr>
          </w:p>
          <w:p w14:paraId="40235E93" w14:textId="77777777" w:rsidR="00131C68" w:rsidRDefault="00131C68" w:rsidP="00D40CF6">
            <w:pPr>
              <w:spacing w:before="40" w:after="40" w:line="240" w:lineRule="auto"/>
              <w:jc w:val="center"/>
            </w:pPr>
            <w:r>
              <w:t>0</w:t>
            </w:r>
          </w:p>
          <w:p w14:paraId="27F013D5" w14:textId="77777777" w:rsidR="00131C68" w:rsidRDefault="00131C68" w:rsidP="00D40CF6">
            <w:pPr>
              <w:spacing w:before="40" w:after="40" w:line="240" w:lineRule="auto"/>
              <w:jc w:val="center"/>
            </w:pPr>
            <w:r>
              <w:t>17 (17.2)</w:t>
            </w:r>
          </w:p>
          <w:p w14:paraId="40359178" w14:textId="77777777" w:rsidR="00131C68" w:rsidRDefault="00131C68" w:rsidP="00D40CF6">
            <w:pPr>
              <w:spacing w:before="40" w:after="40" w:line="240" w:lineRule="auto"/>
              <w:jc w:val="center"/>
            </w:pPr>
            <w:r>
              <w:t>27 (27.3)</w:t>
            </w:r>
          </w:p>
          <w:p w14:paraId="621A802F" w14:textId="77777777" w:rsidR="00131C68" w:rsidRDefault="00131C68" w:rsidP="00D40CF6">
            <w:pPr>
              <w:spacing w:before="40" w:after="40" w:line="240" w:lineRule="auto"/>
              <w:jc w:val="center"/>
            </w:pPr>
            <w:r>
              <w:t>35 (35.4)</w:t>
            </w:r>
          </w:p>
          <w:p w14:paraId="2DB471E1" w14:textId="77777777" w:rsidR="00131C68" w:rsidRPr="00D33E7B" w:rsidRDefault="00131C68" w:rsidP="00D40CF6">
            <w:pPr>
              <w:spacing w:before="40" w:after="40" w:line="240" w:lineRule="auto"/>
              <w:jc w:val="center"/>
            </w:pPr>
            <w:r>
              <w:t>20 (20.2)</w:t>
            </w:r>
          </w:p>
        </w:tc>
        <w:tc>
          <w:tcPr>
            <w:tcW w:w="2004" w:type="dxa"/>
            <w:tcBorders>
              <w:left w:val="single" w:sz="1" w:space="0" w:color="000000"/>
              <w:bottom w:val="single" w:sz="1" w:space="0" w:color="000000"/>
              <w:right w:val="single" w:sz="1" w:space="0" w:color="000000"/>
            </w:tcBorders>
          </w:tcPr>
          <w:p w14:paraId="7E81804E" w14:textId="77777777" w:rsidR="00131C68" w:rsidRDefault="00131C68" w:rsidP="00D40CF6">
            <w:pPr>
              <w:spacing w:before="40" w:after="40" w:line="240" w:lineRule="auto"/>
              <w:jc w:val="center"/>
            </w:pPr>
          </w:p>
          <w:p w14:paraId="492419AF" w14:textId="77777777" w:rsidR="00131C68" w:rsidRDefault="00131C68" w:rsidP="00D40CF6">
            <w:pPr>
              <w:spacing w:before="40" w:after="40" w:line="240" w:lineRule="auto"/>
              <w:jc w:val="center"/>
            </w:pPr>
            <w:r>
              <w:t>0</w:t>
            </w:r>
          </w:p>
          <w:p w14:paraId="08FA3767" w14:textId="77777777" w:rsidR="00131C68" w:rsidRDefault="00131C68" w:rsidP="00D40CF6">
            <w:pPr>
              <w:spacing w:before="40" w:after="40" w:line="240" w:lineRule="auto"/>
              <w:jc w:val="center"/>
            </w:pPr>
            <w:r>
              <w:t>23 (14.8)</w:t>
            </w:r>
          </w:p>
          <w:p w14:paraId="022C2252" w14:textId="77777777" w:rsidR="00131C68" w:rsidRDefault="00131C68" w:rsidP="00D40CF6">
            <w:pPr>
              <w:spacing w:before="40" w:after="40" w:line="240" w:lineRule="auto"/>
              <w:jc w:val="center"/>
            </w:pPr>
            <w:r>
              <w:t>35 (22.6)</w:t>
            </w:r>
          </w:p>
          <w:p w14:paraId="722D443B" w14:textId="77777777" w:rsidR="00131C68" w:rsidRDefault="00131C68" w:rsidP="00D40CF6">
            <w:pPr>
              <w:spacing w:before="40" w:after="40" w:line="240" w:lineRule="auto"/>
              <w:jc w:val="center"/>
            </w:pPr>
            <w:r>
              <w:t>54 (34.8)</w:t>
            </w:r>
          </w:p>
          <w:p w14:paraId="4D9F7E3A" w14:textId="77777777" w:rsidR="00131C68" w:rsidRPr="00D33E7B" w:rsidRDefault="00131C68" w:rsidP="00D40CF6">
            <w:pPr>
              <w:spacing w:before="40" w:after="40" w:line="240" w:lineRule="auto"/>
              <w:jc w:val="center"/>
            </w:pPr>
            <w:r>
              <w:t>43 (27.7)</w:t>
            </w:r>
          </w:p>
        </w:tc>
      </w:tr>
      <w:tr w:rsidR="00131C68" w:rsidRPr="00D33E7B" w14:paraId="06E0E3DB" w14:textId="77777777" w:rsidTr="002B09C5">
        <w:trPr>
          <w:trHeight w:val="300"/>
        </w:trPr>
        <w:tc>
          <w:tcPr>
            <w:tcW w:w="4664" w:type="dxa"/>
            <w:tcBorders>
              <w:left w:val="single" w:sz="1" w:space="0" w:color="000000"/>
              <w:bottom w:val="single" w:sz="2" w:space="0" w:color="000000"/>
            </w:tcBorders>
          </w:tcPr>
          <w:p w14:paraId="19169FF7" w14:textId="77777777" w:rsidR="00131C68" w:rsidRPr="00D33E7B" w:rsidRDefault="00131C68" w:rsidP="00D40CF6">
            <w:pPr>
              <w:widowControl w:val="0"/>
              <w:spacing w:before="40" w:after="40" w:line="240" w:lineRule="auto"/>
              <w:ind w:left="158"/>
              <w:rPr>
                <w:rFonts w:cs="Arial"/>
              </w:rPr>
            </w:pPr>
            <w:r>
              <w:rPr>
                <w:rFonts w:cs="Arial"/>
              </w:rPr>
              <w:t>Female</w:t>
            </w:r>
          </w:p>
        </w:tc>
        <w:tc>
          <w:tcPr>
            <w:tcW w:w="2004" w:type="dxa"/>
            <w:tcBorders>
              <w:left w:val="single" w:sz="1" w:space="0" w:color="000000"/>
              <w:bottom w:val="single" w:sz="2" w:space="0" w:color="000000"/>
            </w:tcBorders>
          </w:tcPr>
          <w:p w14:paraId="14038AEB" w14:textId="77777777" w:rsidR="00131C68" w:rsidRPr="00D33E7B" w:rsidRDefault="00131C68" w:rsidP="00D40CF6">
            <w:pPr>
              <w:spacing w:before="40" w:after="40" w:line="240" w:lineRule="auto"/>
              <w:jc w:val="center"/>
            </w:pPr>
            <w:r>
              <w:t>78 (78.8)</w:t>
            </w:r>
          </w:p>
        </w:tc>
        <w:tc>
          <w:tcPr>
            <w:tcW w:w="2004" w:type="dxa"/>
            <w:tcBorders>
              <w:left w:val="single" w:sz="1" w:space="0" w:color="000000"/>
              <w:bottom w:val="single" w:sz="2" w:space="0" w:color="000000"/>
              <w:right w:val="single" w:sz="1" w:space="0" w:color="000000"/>
            </w:tcBorders>
          </w:tcPr>
          <w:p w14:paraId="66F51816" w14:textId="77777777" w:rsidR="00131C68" w:rsidRPr="00D33E7B" w:rsidRDefault="00131C68" w:rsidP="00D40CF6">
            <w:pPr>
              <w:spacing w:before="40" w:after="40" w:line="240" w:lineRule="auto"/>
              <w:jc w:val="center"/>
            </w:pPr>
            <w:r>
              <w:t>114 (73.5)</w:t>
            </w:r>
          </w:p>
        </w:tc>
      </w:tr>
      <w:tr w:rsidR="00131C68" w:rsidRPr="00D33E7B" w14:paraId="01F6EE91" w14:textId="77777777" w:rsidTr="002B09C5">
        <w:trPr>
          <w:trHeight w:val="300"/>
        </w:trPr>
        <w:tc>
          <w:tcPr>
            <w:tcW w:w="4664" w:type="dxa"/>
            <w:tcBorders>
              <w:left w:val="single" w:sz="1" w:space="0" w:color="000000"/>
              <w:bottom w:val="single" w:sz="2" w:space="0" w:color="000000"/>
            </w:tcBorders>
          </w:tcPr>
          <w:p w14:paraId="7C920240" w14:textId="77777777" w:rsidR="00131C68" w:rsidRPr="00D33E7B" w:rsidRDefault="00131C68" w:rsidP="00D40CF6">
            <w:pPr>
              <w:widowControl w:val="0"/>
              <w:spacing w:before="40" w:after="40" w:line="240" w:lineRule="auto"/>
              <w:ind w:left="158"/>
              <w:rPr>
                <w:rFonts w:cs="Arial"/>
              </w:rPr>
            </w:pPr>
            <w:r>
              <w:rPr>
                <w:rFonts w:cs="Arial"/>
              </w:rPr>
              <w:t>Non-commercial insurance</w:t>
            </w:r>
          </w:p>
        </w:tc>
        <w:tc>
          <w:tcPr>
            <w:tcW w:w="2004" w:type="dxa"/>
            <w:tcBorders>
              <w:left w:val="single" w:sz="1" w:space="0" w:color="000000"/>
              <w:bottom w:val="single" w:sz="2" w:space="0" w:color="000000"/>
            </w:tcBorders>
          </w:tcPr>
          <w:p w14:paraId="086D4C36" w14:textId="77777777" w:rsidR="00131C68" w:rsidRPr="00D33E7B" w:rsidRDefault="00131C68" w:rsidP="00D40CF6">
            <w:pPr>
              <w:spacing w:before="40" w:after="40" w:line="240" w:lineRule="auto"/>
              <w:jc w:val="center"/>
            </w:pPr>
            <w:r>
              <w:t>77 (77.8)</w:t>
            </w:r>
          </w:p>
        </w:tc>
        <w:tc>
          <w:tcPr>
            <w:tcW w:w="2004" w:type="dxa"/>
            <w:tcBorders>
              <w:left w:val="single" w:sz="1" w:space="0" w:color="000000"/>
              <w:bottom w:val="single" w:sz="2" w:space="0" w:color="000000"/>
              <w:right w:val="single" w:sz="1" w:space="0" w:color="000000"/>
            </w:tcBorders>
          </w:tcPr>
          <w:p w14:paraId="641169F0" w14:textId="77777777" w:rsidR="00131C68" w:rsidRPr="00D33E7B" w:rsidRDefault="00131C68" w:rsidP="00D40CF6">
            <w:pPr>
              <w:spacing w:before="40" w:after="40" w:line="240" w:lineRule="auto"/>
              <w:jc w:val="center"/>
            </w:pPr>
            <w:r>
              <w:t>125 (80.6)</w:t>
            </w:r>
          </w:p>
        </w:tc>
      </w:tr>
      <w:tr w:rsidR="00131C68" w:rsidRPr="00EC22C4" w14:paraId="34F591C2" w14:textId="77777777" w:rsidTr="002B09C5">
        <w:trPr>
          <w:trHeight w:val="300"/>
        </w:trPr>
        <w:tc>
          <w:tcPr>
            <w:tcW w:w="4664" w:type="dxa"/>
            <w:tcBorders>
              <w:left w:val="single" w:sz="1" w:space="0" w:color="000000"/>
              <w:bottom w:val="single" w:sz="2" w:space="0" w:color="000000"/>
            </w:tcBorders>
          </w:tcPr>
          <w:p w14:paraId="792AE6C5" w14:textId="77777777" w:rsidR="00131C68" w:rsidRPr="00EC22C4" w:rsidRDefault="00131C68" w:rsidP="00D40CF6">
            <w:pPr>
              <w:widowControl w:val="0"/>
              <w:spacing w:before="40" w:after="40" w:line="240" w:lineRule="auto"/>
              <w:rPr>
                <w:rFonts w:cs="Arial"/>
                <w:b/>
                <w:bCs/>
                <w:i/>
                <w:iCs/>
              </w:rPr>
            </w:pPr>
            <w:r w:rsidRPr="00EC22C4">
              <w:rPr>
                <w:rFonts w:cs="Arial"/>
                <w:b/>
                <w:bCs/>
                <w:i/>
                <w:iCs/>
              </w:rPr>
              <w:t>Secondary VTE sample, ORD Cohort 1</w:t>
            </w:r>
          </w:p>
        </w:tc>
        <w:tc>
          <w:tcPr>
            <w:tcW w:w="2004" w:type="dxa"/>
            <w:tcBorders>
              <w:left w:val="single" w:sz="1" w:space="0" w:color="000000"/>
              <w:bottom w:val="single" w:sz="2" w:space="0" w:color="000000"/>
            </w:tcBorders>
          </w:tcPr>
          <w:p w14:paraId="7DE41950" w14:textId="77777777" w:rsidR="00131C68" w:rsidRPr="00EC22C4" w:rsidRDefault="00131C68" w:rsidP="00D40CF6">
            <w:pPr>
              <w:spacing w:before="40" w:after="40" w:line="240" w:lineRule="auto"/>
              <w:jc w:val="center"/>
              <w:rPr>
                <w:b/>
                <w:bCs/>
                <w:i/>
                <w:iCs/>
              </w:rPr>
            </w:pPr>
            <w:r>
              <w:rPr>
                <w:b/>
                <w:bCs/>
                <w:i/>
                <w:iCs/>
              </w:rPr>
              <w:t>(n = 50)</w:t>
            </w:r>
          </w:p>
        </w:tc>
        <w:tc>
          <w:tcPr>
            <w:tcW w:w="2004" w:type="dxa"/>
            <w:tcBorders>
              <w:left w:val="single" w:sz="1" w:space="0" w:color="000000"/>
              <w:bottom w:val="single" w:sz="2" w:space="0" w:color="000000"/>
              <w:right w:val="single" w:sz="1" w:space="0" w:color="000000"/>
            </w:tcBorders>
          </w:tcPr>
          <w:p w14:paraId="32AC0BAC" w14:textId="77777777" w:rsidR="00131C68" w:rsidRPr="00EC22C4" w:rsidRDefault="00131C68" w:rsidP="00D40CF6">
            <w:pPr>
              <w:spacing w:before="40" w:after="40" w:line="240" w:lineRule="auto"/>
              <w:jc w:val="center"/>
              <w:rPr>
                <w:b/>
                <w:bCs/>
                <w:i/>
                <w:iCs/>
              </w:rPr>
            </w:pPr>
            <w:r>
              <w:rPr>
                <w:b/>
                <w:bCs/>
                <w:i/>
                <w:iCs/>
              </w:rPr>
              <w:t>(n = 76)</w:t>
            </w:r>
          </w:p>
        </w:tc>
      </w:tr>
      <w:tr w:rsidR="00131C68" w:rsidRPr="00D33E7B" w14:paraId="4F61F80E" w14:textId="77777777" w:rsidTr="002B09C5">
        <w:trPr>
          <w:trHeight w:val="300"/>
        </w:trPr>
        <w:tc>
          <w:tcPr>
            <w:tcW w:w="4664" w:type="dxa"/>
            <w:tcBorders>
              <w:left w:val="single" w:sz="1" w:space="0" w:color="000000"/>
              <w:bottom w:val="single" w:sz="2" w:space="0" w:color="000000"/>
            </w:tcBorders>
          </w:tcPr>
          <w:p w14:paraId="4BE58EFA" w14:textId="3E9EDA29" w:rsidR="00131C68" w:rsidRPr="00D33E7B" w:rsidRDefault="00131C68" w:rsidP="00D40CF6">
            <w:pPr>
              <w:widowControl w:val="0"/>
              <w:spacing w:before="40" w:after="40" w:line="240" w:lineRule="auto"/>
              <w:ind w:left="158"/>
              <w:rPr>
                <w:rFonts w:cs="Arial"/>
              </w:rPr>
            </w:pPr>
            <w:r>
              <w:rPr>
                <w:rFonts w:cs="Arial"/>
              </w:rPr>
              <w:t>Age, y</w:t>
            </w:r>
          </w:p>
        </w:tc>
        <w:tc>
          <w:tcPr>
            <w:tcW w:w="2004" w:type="dxa"/>
            <w:tcBorders>
              <w:left w:val="single" w:sz="1" w:space="0" w:color="000000"/>
              <w:bottom w:val="single" w:sz="2" w:space="0" w:color="000000"/>
            </w:tcBorders>
          </w:tcPr>
          <w:p w14:paraId="40AADBF2" w14:textId="77777777" w:rsidR="00131C68" w:rsidRPr="00D33E7B" w:rsidRDefault="00131C68" w:rsidP="00D40CF6">
            <w:pPr>
              <w:spacing w:before="40" w:after="40" w:line="240" w:lineRule="auto"/>
              <w:jc w:val="center"/>
            </w:pPr>
            <w:r>
              <w:t>61.5 (11.0)</w:t>
            </w:r>
          </w:p>
        </w:tc>
        <w:tc>
          <w:tcPr>
            <w:tcW w:w="2004" w:type="dxa"/>
            <w:tcBorders>
              <w:left w:val="single" w:sz="1" w:space="0" w:color="000000"/>
              <w:bottom w:val="single" w:sz="2" w:space="0" w:color="000000"/>
              <w:right w:val="single" w:sz="1" w:space="0" w:color="000000"/>
            </w:tcBorders>
          </w:tcPr>
          <w:p w14:paraId="75C4A58F" w14:textId="77777777" w:rsidR="00131C68" w:rsidRPr="00D33E7B" w:rsidRDefault="00131C68" w:rsidP="00D40CF6">
            <w:pPr>
              <w:spacing w:before="40" w:after="40" w:line="240" w:lineRule="auto"/>
              <w:jc w:val="center"/>
            </w:pPr>
            <w:r w:rsidRPr="00E14B57">
              <w:t>64.6 (11.4)</w:t>
            </w:r>
          </w:p>
        </w:tc>
      </w:tr>
      <w:tr w:rsidR="00131C68" w:rsidRPr="00D33E7B" w14:paraId="51ADAAA9" w14:textId="77777777" w:rsidTr="002B09C5">
        <w:trPr>
          <w:trHeight w:val="1644"/>
        </w:trPr>
        <w:tc>
          <w:tcPr>
            <w:tcW w:w="4664" w:type="dxa"/>
            <w:tcBorders>
              <w:left w:val="single" w:sz="1" w:space="0" w:color="000000"/>
              <w:bottom w:val="single" w:sz="2" w:space="0" w:color="000000"/>
            </w:tcBorders>
          </w:tcPr>
          <w:p w14:paraId="7C760FA4" w14:textId="77777777" w:rsidR="00131C68" w:rsidRDefault="00131C68" w:rsidP="00D40CF6">
            <w:pPr>
              <w:widowControl w:val="0"/>
              <w:spacing w:before="40" w:after="40" w:line="240" w:lineRule="auto"/>
              <w:ind w:left="158"/>
              <w:rPr>
                <w:rFonts w:cs="Arial"/>
              </w:rPr>
            </w:pPr>
            <w:r>
              <w:rPr>
                <w:rFonts w:cs="Arial"/>
              </w:rPr>
              <w:t>Age group</w:t>
            </w:r>
          </w:p>
          <w:p w14:paraId="58430F9F" w14:textId="77777777" w:rsidR="00131C68" w:rsidRDefault="00131C68" w:rsidP="00D40CF6">
            <w:pPr>
              <w:widowControl w:val="0"/>
              <w:spacing w:before="40" w:after="40" w:line="240" w:lineRule="auto"/>
              <w:ind w:left="158"/>
              <w:rPr>
                <w:rFonts w:cs="Arial"/>
              </w:rPr>
            </w:pPr>
            <w:r>
              <w:rPr>
                <w:rFonts w:cs="Arial"/>
              </w:rPr>
              <w:tab/>
              <w:t>18–34 years</w:t>
            </w:r>
          </w:p>
          <w:p w14:paraId="1FBB2925" w14:textId="77777777" w:rsidR="00131C68" w:rsidRDefault="00131C68" w:rsidP="00D40CF6">
            <w:pPr>
              <w:widowControl w:val="0"/>
              <w:spacing w:before="40" w:after="40" w:line="240" w:lineRule="auto"/>
              <w:ind w:left="158"/>
              <w:rPr>
                <w:rFonts w:cs="Arial"/>
              </w:rPr>
            </w:pPr>
            <w:r>
              <w:rPr>
                <w:rFonts w:cs="Arial"/>
              </w:rPr>
              <w:tab/>
              <w:t>35–54 years</w:t>
            </w:r>
          </w:p>
          <w:p w14:paraId="6A2636DF" w14:textId="77777777" w:rsidR="00131C68" w:rsidRDefault="00131C68" w:rsidP="00D40CF6">
            <w:pPr>
              <w:widowControl w:val="0"/>
              <w:spacing w:before="40" w:after="40" w:line="240" w:lineRule="auto"/>
              <w:ind w:left="158"/>
              <w:rPr>
                <w:rFonts w:cs="Arial"/>
              </w:rPr>
            </w:pPr>
            <w:r>
              <w:rPr>
                <w:rFonts w:cs="Arial"/>
              </w:rPr>
              <w:tab/>
              <w:t>55–64 years</w:t>
            </w:r>
          </w:p>
          <w:p w14:paraId="5713FF53" w14:textId="77777777" w:rsidR="00131C68" w:rsidRDefault="00131C68" w:rsidP="00D40CF6">
            <w:pPr>
              <w:widowControl w:val="0"/>
              <w:spacing w:before="40" w:after="40" w:line="240" w:lineRule="auto"/>
              <w:ind w:left="158"/>
              <w:rPr>
                <w:rFonts w:cs="Arial"/>
              </w:rPr>
            </w:pPr>
            <w:r>
              <w:rPr>
                <w:rFonts w:cs="Arial"/>
              </w:rPr>
              <w:tab/>
              <w:t>65–74 years</w:t>
            </w:r>
          </w:p>
          <w:p w14:paraId="3536E5B9" w14:textId="77777777" w:rsidR="00131C68" w:rsidRPr="00D33E7B" w:rsidRDefault="00131C68" w:rsidP="00D40CF6">
            <w:pPr>
              <w:widowControl w:val="0"/>
              <w:spacing w:before="40" w:after="40" w:line="240" w:lineRule="auto"/>
              <w:ind w:left="158"/>
              <w:rPr>
                <w:rFonts w:cs="Arial"/>
              </w:rPr>
            </w:pPr>
            <w:r>
              <w:rPr>
                <w:rFonts w:cs="Arial"/>
              </w:rPr>
              <w:tab/>
              <w:t>≥75 years</w:t>
            </w:r>
          </w:p>
        </w:tc>
        <w:tc>
          <w:tcPr>
            <w:tcW w:w="2004" w:type="dxa"/>
            <w:tcBorders>
              <w:left w:val="single" w:sz="1" w:space="0" w:color="000000"/>
              <w:bottom w:val="single" w:sz="2" w:space="0" w:color="000000"/>
            </w:tcBorders>
          </w:tcPr>
          <w:p w14:paraId="1617CA7E" w14:textId="77777777" w:rsidR="00131C68" w:rsidRDefault="00131C68" w:rsidP="00D40CF6">
            <w:pPr>
              <w:spacing w:before="40" w:after="40" w:line="240" w:lineRule="auto"/>
              <w:jc w:val="center"/>
            </w:pPr>
          </w:p>
          <w:p w14:paraId="29C006E9" w14:textId="77777777" w:rsidR="00131C68" w:rsidRDefault="00131C68" w:rsidP="00D40CF6">
            <w:pPr>
              <w:spacing w:before="40" w:after="40" w:line="240" w:lineRule="auto"/>
              <w:jc w:val="center"/>
            </w:pPr>
            <w:r>
              <w:t>1 (2.0)</w:t>
            </w:r>
          </w:p>
          <w:p w14:paraId="46D5E8E5" w14:textId="77777777" w:rsidR="00131C68" w:rsidRDefault="00131C68" w:rsidP="00D40CF6">
            <w:pPr>
              <w:spacing w:before="40" w:after="40" w:line="240" w:lineRule="auto"/>
              <w:jc w:val="center"/>
            </w:pPr>
            <w:r>
              <w:t>13 (26.0)</w:t>
            </w:r>
          </w:p>
          <w:p w14:paraId="17546146" w14:textId="77777777" w:rsidR="00131C68" w:rsidRDefault="00131C68" w:rsidP="00D40CF6">
            <w:pPr>
              <w:spacing w:before="40" w:after="40" w:line="240" w:lineRule="auto"/>
              <w:jc w:val="center"/>
            </w:pPr>
            <w:r>
              <w:t>13 (26.0)</w:t>
            </w:r>
          </w:p>
          <w:p w14:paraId="1B248A3B" w14:textId="77777777" w:rsidR="00131C68" w:rsidRDefault="00131C68" w:rsidP="00D40CF6">
            <w:pPr>
              <w:spacing w:before="40" w:after="40" w:line="240" w:lineRule="auto"/>
              <w:jc w:val="center"/>
            </w:pPr>
            <w:r>
              <w:t>18 (36.0)</w:t>
            </w:r>
          </w:p>
          <w:p w14:paraId="63D7BE11" w14:textId="77777777" w:rsidR="00131C68" w:rsidRPr="00D33E7B" w:rsidRDefault="00131C68" w:rsidP="00D40CF6">
            <w:pPr>
              <w:spacing w:before="40" w:after="40" w:line="240" w:lineRule="auto"/>
              <w:jc w:val="center"/>
            </w:pPr>
            <w:r>
              <w:t>5 (10.0)</w:t>
            </w:r>
          </w:p>
        </w:tc>
        <w:tc>
          <w:tcPr>
            <w:tcW w:w="2004" w:type="dxa"/>
            <w:tcBorders>
              <w:left w:val="single" w:sz="1" w:space="0" w:color="000000"/>
              <w:bottom w:val="single" w:sz="2" w:space="0" w:color="000000"/>
              <w:right w:val="single" w:sz="1" w:space="0" w:color="000000"/>
            </w:tcBorders>
          </w:tcPr>
          <w:p w14:paraId="66A37AB3" w14:textId="77777777" w:rsidR="00131C68" w:rsidRDefault="00131C68" w:rsidP="00D40CF6">
            <w:pPr>
              <w:spacing w:before="40" w:after="40" w:line="240" w:lineRule="auto"/>
              <w:jc w:val="center"/>
            </w:pPr>
          </w:p>
          <w:p w14:paraId="28A70DC7" w14:textId="77777777" w:rsidR="00131C68" w:rsidRDefault="00131C68" w:rsidP="00D40CF6">
            <w:pPr>
              <w:spacing w:before="40" w:after="40" w:line="240" w:lineRule="auto"/>
              <w:jc w:val="center"/>
            </w:pPr>
            <w:r>
              <w:t>1 (1.3)</w:t>
            </w:r>
          </w:p>
          <w:p w14:paraId="2BC86296" w14:textId="77777777" w:rsidR="00131C68" w:rsidRDefault="00131C68" w:rsidP="00D40CF6">
            <w:pPr>
              <w:spacing w:before="40" w:after="40" w:line="240" w:lineRule="auto"/>
              <w:jc w:val="center"/>
            </w:pPr>
            <w:r>
              <w:t>14 (18.4)</w:t>
            </w:r>
          </w:p>
          <w:p w14:paraId="417ADF6C" w14:textId="77777777" w:rsidR="00131C68" w:rsidRDefault="00131C68" w:rsidP="00D40CF6">
            <w:pPr>
              <w:spacing w:before="40" w:after="40" w:line="240" w:lineRule="auto"/>
              <w:jc w:val="center"/>
            </w:pPr>
            <w:r>
              <w:t>23 (30.3)</w:t>
            </w:r>
          </w:p>
          <w:p w14:paraId="21D9FE4A" w14:textId="77777777" w:rsidR="00131C68" w:rsidRDefault="00131C68" w:rsidP="00D40CF6">
            <w:pPr>
              <w:spacing w:before="40" w:after="40" w:line="240" w:lineRule="auto"/>
              <w:jc w:val="center"/>
            </w:pPr>
            <w:r>
              <w:t>20 (26.3)</w:t>
            </w:r>
          </w:p>
          <w:p w14:paraId="42FD1E5F" w14:textId="77777777" w:rsidR="00131C68" w:rsidRPr="00D33E7B" w:rsidRDefault="00131C68" w:rsidP="00D40CF6">
            <w:pPr>
              <w:spacing w:before="40" w:after="40" w:line="240" w:lineRule="auto"/>
              <w:jc w:val="center"/>
            </w:pPr>
            <w:r>
              <w:t>18 (23.7)</w:t>
            </w:r>
          </w:p>
        </w:tc>
      </w:tr>
      <w:tr w:rsidR="00131C68" w:rsidRPr="00D33E7B" w14:paraId="2F323993" w14:textId="77777777" w:rsidTr="002B09C5">
        <w:trPr>
          <w:trHeight w:val="300"/>
        </w:trPr>
        <w:tc>
          <w:tcPr>
            <w:tcW w:w="4664" w:type="dxa"/>
            <w:tcBorders>
              <w:left w:val="single" w:sz="1" w:space="0" w:color="000000"/>
              <w:bottom w:val="single" w:sz="2" w:space="0" w:color="000000"/>
            </w:tcBorders>
          </w:tcPr>
          <w:p w14:paraId="0E790351" w14:textId="77777777" w:rsidR="00131C68" w:rsidRPr="00D33E7B" w:rsidRDefault="00131C68" w:rsidP="00D40CF6">
            <w:pPr>
              <w:widowControl w:val="0"/>
              <w:spacing w:before="40" w:after="40" w:line="240" w:lineRule="auto"/>
              <w:ind w:left="158"/>
              <w:rPr>
                <w:rFonts w:cs="Arial"/>
              </w:rPr>
            </w:pPr>
            <w:r>
              <w:rPr>
                <w:rFonts w:cs="Arial"/>
              </w:rPr>
              <w:t>Female</w:t>
            </w:r>
          </w:p>
        </w:tc>
        <w:tc>
          <w:tcPr>
            <w:tcW w:w="2004" w:type="dxa"/>
            <w:tcBorders>
              <w:left w:val="single" w:sz="1" w:space="0" w:color="000000"/>
              <w:bottom w:val="single" w:sz="2" w:space="0" w:color="000000"/>
            </w:tcBorders>
          </w:tcPr>
          <w:p w14:paraId="5380FFCF" w14:textId="77777777" w:rsidR="00131C68" w:rsidRPr="00D33E7B" w:rsidRDefault="00131C68" w:rsidP="00D40CF6">
            <w:pPr>
              <w:spacing w:before="40" w:after="40" w:line="240" w:lineRule="auto"/>
              <w:jc w:val="center"/>
            </w:pPr>
            <w:r>
              <w:t>39 (78.0)</w:t>
            </w:r>
          </w:p>
        </w:tc>
        <w:tc>
          <w:tcPr>
            <w:tcW w:w="2004" w:type="dxa"/>
            <w:tcBorders>
              <w:left w:val="single" w:sz="1" w:space="0" w:color="000000"/>
              <w:bottom w:val="single" w:sz="2" w:space="0" w:color="000000"/>
              <w:right w:val="single" w:sz="1" w:space="0" w:color="000000"/>
            </w:tcBorders>
          </w:tcPr>
          <w:p w14:paraId="16E289AF" w14:textId="77777777" w:rsidR="00131C68" w:rsidRPr="00D33E7B" w:rsidRDefault="00131C68" w:rsidP="00D40CF6">
            <w:pPr>
              <w:spacing w:before="40" w:after="40" w:line="240" w:lineRule="auto"/>
              <w:jc w:val="center"/>
            </w:pPr>
            <w:r w:rsidRPr="00FE3EB4">
              <w:t>52 (68.4)</w:t>
            </w:r>
          </w:p>
        </w:tc>
      </w:tr>
      <w:tr w:rsidR="00131C68" w:rsidRPr="00D33E7B" w14:paraId="27E4D462" w14:textId="77777777" w:rsidTr="002B09C5">
        <w:trPr>
          <w:trHeight w:val="300"/>
        </w:trPr>
        <w:tc>
          <w:tcPr>
            <w:tcW w:w="4664" w:type="dxa"/>
            <w:tcBorders>
              <w:left w:val="single" w:sz="1" w:space="0" w:color="000000"/>
              <w:bottom w:val="single" w:sz="2" w:space="0" w:color="000000"/>
            </w:tcBorders>
          </w:tcPr>
          <w:p w14:paraId="34D78A7B" w14:textId="77777777" w:rsidR="00131C68" w:rsidRPr="00D33E7B" w:rsidRDefault="00131C68" w:rsidP="00D40CF6">
            <w:pPr>
              <w:widowControl w:val="0"/>
              <w:spacing w:before="40" w:after="40" w:line="240" w:lineRule="auto"/>
              <w:ind w:left="158"/>
              <w:rPr>
                <w:rFonts w:cs="Arial"/>
              </w:rPr>
            </w:pPr>
            <w:r>
              <w:rPr>
                <w:rFonts w:cs="Arial"/>
              </w:rPr>
              <w:t>Non-commercial insurance</w:t>
            </w:r>
          </w:p>
        </w:tc>
        <w:tc>
          <w:tcPr>
            <w:tcW w:w="2004" w:type="dxa"/>
            <w:tcBorders>
              <w:left w:val="single" w:sz="1" w:space="0" w:color="000000"/>
              <w:bottom w:val="single" w:sz="2" w:space="0" w:color="000000"/>
            </w:tcBorders>
          </w:tcPr>
          <w:p w14:paraId="4BE84E80" w14:textId="77777777" w:rsidR="00131C68" w:rsidRPr="00D33E7B" w:rsidRDefault="00131C68" w:rsidP="00D40CF6">
            <w:pPr>
              <w:spacing w:before="40" w:after="40" w:line="240" w:lineRule="auto"/>
              <w:jc w:val="center"/>
            </w:pPr>
            <w:r>
              <w:t>36 (72.0)</w:t>
            </w:r>
          </w:p>
        </w:tc>
        <w:tc>
          <w:tcPr>
            <w:tcW w:w="2004" w:type="dxa"/>
            <w:tcBorders>
              <w:left w:val="single" w:sz="1" w:space="0" w:color="000000"/>
              <w:bottom w:val="single" w:sz="2" w:space="0" w:color="000000"/>
              <w:right w:val="single" w:sz="1" w:space="0" w:color="000000"/>
            </w:tcBorders>
          </w:tcPr>
          <w:p w14:paraId="2A1858B9" w14:textId="77777777" w:rsidR="00131C68" w:rsidRPr="00D33E7B" w:rsidRDefault="00131C68" w:rsidP="00D40CF6">
            <w:pPr>
              <w:spacing w:before="40" w:after="40" w:line="240" w:lineRule="auto"/>
              <w:jc w:val="center"/>
            </w:pPr>
            <w:r w:rsidRPr="00D07E82">
              <w:t>52 (68.4)</w:t>
            </w:r>
          </w:p>
        </w:tc>
      </w:tr>
      <w:tr w:rsidR="00131C68" w:rsidRPr="00EC22C4" w14:paraId="647F084C" w14:textId="77777777" w:rsidTr="002B09C5">
        <w:trPr>
          <w:trHeight w:val="300"/>
        </w:trPr>
        <w:tc>
          <w:tcPr>
            <w:tcW w:w="4664" w:type="dxa"/>
            <w:tcBorders>
              <w:left w:val="single" w:sz="1" w:space="0" w:color="000000"/>
              <w:bottom w:val="single" w:sz="2" w:space="0" w:color="000000"/>
            </w:tcBorders>
          </w:tcPr>
          <w:p w14:paraId="10B48C19" w14:textId="77777777" w:rsidR="00131C68" w:rsidRPr="00EC22C4" w:rsidRDefault="00131C68" w:rsidP="00D40CF6">
            <w:pPr>
              <w:widowControl w:val="0"/>
              <w:spacing w:before="40" w:after="40" w:line="240" w:lineRule="auto"/>
              <w:rPr>
                <w:rFonts w:cs="Arial"/>
                <w:b/>
                <w:bCs/>
                <w:i/>
                <w:iCs/>
              </w:rPr>
            </w:pPr>
            <w:r w:rsidRPr="00EC22C4">
              <w:rPr>
                <w:rFonts w:cs="Arial"/>
                <w:b/>
                <w:bCs/>
                <w:i/>
                <w:iCs/>
              </w:rPr>
              <w:t>Primary alternate VTE sample, MC Cohort</w:t>
            </w:r>
          </w:p>
        </w:tc>
        <w:tc>
          <w:tcPr>
            <w:tcW w:w="2004" w:type="dxa"/>
            <w:tcBorders>
              <w:left w:val="single" w:sz="1" w:space="0" w:color="000000"/>
              <w:bottom w:val="single" w:sz="2" w:space="0" w:color="000000"/>
            </w:tcBorders>
          </w:tcPr>
          <w:p w14:paraId="796F530D" w14:textId="77777777" w:rsidR="00131C68" w:rsidRPr="00EC22C4" w:rsidRDefault="00131C68" w:rsidP="00D40CF6">
            <w:pPr>
              <w:spacing w:before="40" w:after="40" w:line="240" w:lineRule="auto"/>
              <w:jc w:val="center"/>
              <w:rPr>
                <w:b/>
                <w:bCs/>
                <w:i/>
                <w:iCs/>
              </w:rPr>
            </w:pPr>
            <w:r w:rsidRPr="00EC22C4">
              <w:rPr>
                <w:b/>
                <w:bCs/>
                <w:i/>
                <w:iCs/>
              </w:rPr>
              <w:t>(n = 4)</w:t>
            </w:r>
          </w:p>
        </w:tc>
        <w:tc>
          <w:tcPr>
            <w:tcW w:w="2004" w:type="dxa"/>
            <w:tcBorders>
              <w:left w:val="single" w:sz="1" w:space="0" w:color="000000"/>
              <w:bottom w:val="single" w:sz="2" w:space="0" w:color="000000"/>
              <w:right w:val="single" w:sz="1" w:space="0" w:color="000000"/>
            </w:tcBorders>
          </w:tcPr>
          <w:p w14:paraId="3ED20DDD" w14:textId="77777777" w:rsidR="00131C68" w:rsidRPr="00EC22C4" w:rsidRDefault="00131C68" w:rsidP="00D40CF6">
            <w:pPr>
              <w:spacing w:before="40" w:after="40" w:line="240" w:lineRule="auto"/>
              <w:jc w:val="center"/>
              <w:rPr>
                <w:b/>
                <w:bCs/>
                <w:i/>
                <w:iCs/>
              </w:rPr>
            </w:pPr>
            <w:r w:rsidRPr="00EC22C4">
              <w:rPr>
                <w:b/>
                <w:bCs/>
                <w:i/>
                <w:iCs/>
              </w:rPr>
              <w:t>(n = 64)</w:t>
            </w:r>
          </w:p>
        </w:tc>
      </w:tr>
      <w:tr w:rsidR="00131C68" w:rsidRPr="00D33E7B" w14:paraId="03FA308A" w14:textId="77777777" w:rsidTr="002B09C5">
        <w:trPr>
          <w:trHeight w:val="300"/>
        </w:trPr>
        <w:tc>
          <w:tcPr>
            <w:tcW w:w="4664" w:type="dxa"/>
            <w:tcBorders>
              <w:left w:val="single" w:sz="1" w:space="0" w:color="000000"/>
              <w:bottom w:val="single" w:sz="2" w:space="0" w:color="000000"/>
            </w:tcBorders>
          </w:tcPr>
          <w:p w14:paraId="786E485D" w14:textId="6F243873" w:rsidR="00131C68" w:rsidRPr="00D33E7B" w:rsidRDefault="00131C68" w:rsidP="00D40CF6">
            <w:pPr>
              <w:widowControl w:val="0"/>
              <w:spacing w:before="40" w:after="40" w:line="240" w:lineRule="auto"/>
              <w:ind w:left="158"/>
              <w:rPr>
                <w:rFonts w:cs="Arial"/>
              </w:rPr>
            </w:pPr>
            <w:r>
              <w:rPr>
                <w:rFonts w:cs="Arial"/>
              </w:rPr>
              <w:t>Age, y</w:t>
            </w:r>
          </w:p>
        </w:tc>
        <w:tc>
          <w:tcPr>
            <w:tcW w:w="2004" w:type="dxa"/>
            <w:tcBorders>
              <w:left w:val="single" w:sz="1" w:space="0" w:color="000000"/>
              <w:bottom w:val="single" w:sz="2" w:space="0" w:color="000000"/>
            </w:tcBorders>
          </w:tcPr>
          <w:p w14:paraId="39DB022F" w14:textId="77777777" w:rsidR="00131C68" w:rsidRPr="00D33E7B" w:rsidRDefault="00131C68" w:rsidP="00D40CF6">
            <w:pPr>
              <w:spacing w:before="40" w:after="40" w:line="240" w:lineRule="auto"/>
              <w:jc w:val="center"/>
            </w:pPr>
            <w:r>
              <w:t>65.8 (15.7)</w:t>
            </w:r>
          </w:p>
        </w:tc>
        <w:tc>
          <w:tcPr>
            <w:tcW w:w="2004" w:type="dxa"/>
            <w:tcBorders>
              <w:left w:val="single" w:sz="1" w:space="0" w:color="000000"/>
              <w:bottom w:val="single" w:sz="2" w:space="0" w:color="000000"/>
              <w:right w:val="single" w:sz="1" w:space="0" w:color="000000"/>
            </w:tcBorders>
          </w:tcPr>
          <w:p w14:paraId="21EF9C38" w14:textId="77777777" w:rsidR="00131C68" w:rsidRPr="00D33E7B" w:rsidRDefault="00131C68" w:rsidP="00D40CF6">
            <w:pPr>
              <w:spacing w:before="40" w:after="40" w:line="240" w:lineRule="auto"/>
              <w:jc w:val="center"/>
            </w:pPr>
            <w:r w:rsidRPr="00E14B57">
              <w:t>60.2 (12.5)</w:t>
            </w:r>
          </w:p>
        </w:tc>
      </w:tr>
      <w:tr w:rsidR="00131C68" w:rsidRPr="00D33E7B" w14:paraId="486523B0" w14:textId="77777777" w:rsidTr="002B09C5">
        <w:trPr>
          <w:trHeight w:val="1656"/>
        </w:trPr>
        <w:tc>
          <w:tcPr>
            <w:tcW w:w="4664" w:type="dxa"/>
            <w:tcBorders>
              <w:left w:val="single" w:sz="1" w:space="0" w:color="000000"/>
              <w:bottom w:val="single" w:sz="2" w:space="0" w:color="000000"/>
            </w:tcBorders>
          </w:tcPr>
          <w:p w14:paraId="3024DEE0" w14:textId="77777777" w:rsidR="00131C68" w:rsidRDefault="00131C68" w:rsidP="00D40CF6">
            <w:pPr>
              <w:widowControl w:val="0"/>
              <w:spacing w:before="40" w:after="40" w:line="240" w:lineRule="auto"/>
              <w:ind w:left="158"/>
              <w:rPr>
                <w:rFonts w:cs="Arial"/>
              </w:rPr>
            </w:pPr>
            <w:r>
              <w:rPr>
                <w:rFonts w:cs="Arial"/>
              </w:rPr>
              <w:t>Age group</w:t>
            </w:r>
          </w:p>
          <w:p w14:paraId="1186F6D4" w14:textId="77777777" w:rsidR="00131C68" w:rsidRDefault="00131C68" w:rsidP="00D40CF6">
            <w:pPr>
              <w:widowControl w:val="0"/>
              <w:spacing w:before="40" w:after="40" w:line="240" w:lineRule="auto"/>
              <w:ind w:left="158"/>
              <w:rPr>
                <w:rFonts w:cs="Arial"/>
              </w:rPr>
            </w:pPr>
            <w:r>
              <w:rPr>
                <w:rFonts w:cs="Arial"/>
              </w:rPr>
              <w:tab/>
              <w:t>18–34 years</w:t>
            </w:r>
          </w:p>
          <w:p w14:paraId="01B7E033" w14:textId="77777777" w:rsidR="00131C68" w:rsidRDefault="00131C68" w:rsidP="00D40CF6">
            <w:pPr>
              <w:widowControl w:val="0"/>
              <w:spacing w:before="40" w:after="40" w:line="240" w:lineRule="auto"/>
              <w:ind w:left="158"/>
              <w:rPr>
                <w:rFonts w:cs="Arial"/>
              </w:rPr>
            </w:pPr>
            <w:r>
              <w:rPr>
                <w:rFonts w:cs="Arial"/>
              </w:rPr>
              <w:tab/>
              <w:t>35–54 years</w:t>
            </w:r>
          </w:p>
          <w:p w14:paraId="0620B0B4" w14:textId="77777777" w:rsidR="00131C68" w:rsidRDefault="00131C68" w:rsidP="00D40CF6">
            <w:pPr>
              <w:widowControl w:val="0"/>
              <w:spacing w:before="40" w:after="40" w:line="240" w:lineRule="auto"/>
              <w:ind w:left="158"/>
              <w:rPr>
                <w:rFonts w:cs="Arial"/>
              </w:rPr>
            </w:pPr>
            <w:r>
              <w:rPr>
                <w:rFonts w:cs="Arial"/>
              </w:rPr>
              <w:tab/>
              <w:t>55–64 years</w:t>
            </w:r>
          </w:p>
          <w:p w14:paraId="2F278CA6" w14:textId="77777777" w:rsidR="00131C68" w:rsidRDefault="00131C68" w:rsidP="00D40CF6">
            <w:pPr>
              <w:widowControl w:val="0"/>
              <w:spacing w:before="40" w:after="40" w:line="240" w:lineRule="auto"/>
              <w:ind w:left="158"/>
              <w:rPr>
                <w:rFonts w:cs="Arial"/>
              </w:rPr>
            </w:pPr>
            <w:r>
              <w:rPr>
                <w:rFonts w:cs="Arial"/>
              </w:rPr>
              <w:tab/>
              <w:t>65–74 years</w:t>
            </w:r>
          </w:p>
          <w:p w14:paraId="1B4B8551" w14:textId="77777777" w:rsidR="00131C68" w:rsidRPr="00D33E7B" w:rsidRDefault="00131C68" w:rsidP="00D40CF6">
            <w:pPr>
              <w:widowControl w:val="0"/>
              <w:spacing w:before="40" w:after="40" w:line="240" w:lineRule="auto"/>
              <w:ind w:left="158"/>
              <w:rPr>
                <w:rFonts w:cs="Arial"/>
              </w:rPr>
            </w:pPr>
            <w:r>
              <w:rPr>
                <w:rFonts w:cs="Arial"/>
              </w:rPr>
              <w:tab/>
              <w:t>≥75 years</w:t>
            </w:r>
          </w:p>
        </w:tc>
        <w:tc>
          <w:tcPr>
            <w:tcW w:w="2004" w:type="dxa"/>
            <w:tcBorders>
              <w:left w:val="single" w:sz="1" w:space="0" w:color="000000"/>
              <w:bottom w:val="single" w:sz="2" w:space="0" w:color="000000"/>
            </w:tcBorders>
          </w:tcPr>
          <w:p w14:paraId="3B462C2C" w14:textId="77777777" w:rsidR="00131C68" w:rsidRDefault="00131C68" w:rsidP="00D40CF6">
            <w:pPr>
              <w:spacing w:before="40" w:after="40" w:line="240" w:lineRule="auto"/>
              <w:jc w:val="center"/>
            </w:pPr>
          </w:p>
          <w:p w14:paraId="0E197339" w14:textId="77777777" w:rsidR="00131C68" w:rsidRDefault="00131C68" w:rsidP="00D40CF6">
            <w:pPr>
              <w:spacing w:before="40" w:after="40" w:line="240" w:lineRule="auto"/>
              <w:jc w:val="center"/>
            </w:pPr>
            <w:r>
              <w:t>0</w:t>
            </w:r>
          </w:p>
          <w:p w14:paraId="01660004" w14:textId="77777777" w:rsidR="00131C68" w:rsidRDefault="00131C68" w:rsidP="00D40CF6">
            <w:pPr>
              <w:spacing w:before="40" w:after="40" w:line="240" w:lineRule="auto"/>
              <w:jc w:val="center"/>
            </w:pPr>
            <w:r>
              <w:t>1 (25.0)</w:t>
            </w:r>
          </w:p>
          <w:p w14:paraId="411B56AB" w14:textId="77777777" w:rsidR="00131C68" w:rsidRDefault="00131C68" w:rsidP="00D40CF6">
            <w:pPr>
              <w:spacing w:before="40" w:after="40" w:line="240" w:lineRule="auto"/>
              <w:jc w:val="center"/>
            </w:pPr>
            <w:r>
              <w:t>1 (25.0)</w:t>
            </w:r>
          </w:p>
          <w:p w14:paraId="50D8C752" w14:textId="77777777" w:rsidR="00131C68" w:rsidRDefault="00131C68" w:rsidP="00D40CF6">
            <w:pPr>
              <w:spacing w:before="40" w:after="40" w:line="240" w:lineRule="auto"/>
              <w:jc w:val="center"/>
            </w:pPr>
            <w:r>
              <w:t>1 (25.0)</w:t>
            </w:r>
          </w:p>
          <w:p w14:paraId="27637AFE" w14:textId="77777777" w:rsidR="00131C68" w:rsidRPr="00D33E7B" w:rsidRDefault="00131C68" w:rsidP="00D40CF6">
            <w:pPr>
              <w:spacing w:before="40" w:after="40" w:line="240" w:lineRule="auto"/>
              <w:jc w:val="center"/>
            </w:pPr>
            <w:r>
              <w:t>1 (25.0)</w:t>
            </w:r>
          </w:p>
        </w:tc>
        <w:tc>
          <w:tcPr>
            <w:tcW w:w="2004" w:type="dxa"/>
            <w:tcBorders>
              <w:left w:val="single" w:sz="1" w:space="0" w:color="000000"/>
              <w:bottom w:val="single" w:sz="2" w:space="0" w:color="000000"/>
              <w:right w:val="single" w:sz="1" w:space="0" w:color="000000"/>
            </w:tcBorders>
          </w:tcPr>
          <w:p w14:paraId="2E7232D3" w14:textId="77777777" w:rsidR="00131C68" w:rsidRDefault="00131C68" w:rsidP="00D40CF6">
            <w:pPr>
              <w:spacing w:before="40" w:after="40" w:line="240" w:lineRule="auto"/>
              <w:jc w:val="center"/>
            </w:pPr>
          </w:p>
          <w:p w14:paraId="6E14863E" w14:textId="77777777" w:rsidR="00131C68" w:rsidRDefault="00131C68" w:rsidP="00D40CF6">
            <w:pPr>
              <w:spacing w:before="40" w:after="40" w:line="240" w:lineRule="auto"/>
              <w:jc w:val="center"/>
            </w:pPr>
            <w:r>
              <w:t>2 (3.1)</w:t>
            </w:r>
          </w:p>
          <w:p w14:paraId="246EDE34" w14:textId="77777777" w:rsidR="00131C68" w:rsidRDefault="00131C68" w:rsidP="00D40CF6">
            <w:pPr>
              <w:spacing w:before="40" w:after="40" w:line="240" w:lineRule="auto"/>
              <w:jc w:val="center"/>
            </w:pPr>
            <w:r>
              <w:t>16 (25.0)</w:t>
            </w:r>
          </w:p>
          <w:p w14:paraId="4C4F3719" w14:textId="77777777" w:rsidR="00131C68" w:rsidRDefault="00131C68" w:rsidP="00D40CF6">
            <w:pPr>
              <w:spacing w:before="40" w:after="40" w:line="240" w:lineRule="auto"/>
              <w:jc w:val="center"/>
            </w:pPr>
            <w:r>
              <w:t>22 (34.4)</w:t>
            </w:r>
          </w:p>
          <w:p w14:paraId="16019B7E" w14:textId="77777777" w:rsidR="00131C68" w:rsidRDefault="00131C68" w:rsidP="00D40CF6">
            <w:pPr>
              <w:spacing w:before="40" w:after="40" w:line="240" w:lineRule="auto"/>
              <w:jc w:val="center"/>
            </w:pPr>
            <w:r>
              <w:t>15 (23.4)</w:t>
            </w:r>
          </w:p>
          <w:p w14:paraId="56B6E958" w14:textId="77777777" w:rsidR="00131C68" w:rsidRPr="00D33E7B" w:rsidRDefault="00131C68" w:rsidP="00D40CF6">
            <w:pPr>
              <w:spacing w:before="40" w:after="40" w:line="240" w:lineRule="auto"/>
              <w:jc w:val="center"/>
            </w:pPr>
            <w:r>
              <w:t>9 (14.1)</w:t>
            </w:r>
          </w:p>
        </w:tc>
      </w:tr>
      <w:tr w:rsidR="00131C68" w:rsidRPr="00D33E7B" w14:paraId="25D3DF31" w14:textId="77777777" w:rsidTr="002B09C5">
        <w:trPr>
          <w:trHeight w:val="300"/>
        </w:trPr>
        <w:tc>
          <w:tcPr>
            <w:tcW w:w="4664" w:type="dxa"/>
            <w:tcBorders>
              <w:left w:val="single" w:sz="1" w:space="0" w:color="000000"/>
              <w:bottom w:val="single" w:sz="2" w:space="0" w:color="000000"/>
            </w:tcBorders>
          </w:tcPr>
          <w:p w14:paraId="6B16FEA3" w14:textId="77777777" w:rsidR="00131C68" w:rsidRPr="00D33E7B" w:rsidRDefault="00131C68" w:rsidP="00D40CF6">
            <w:pPr>
              <w:widowControl w:val="0"/>
              <w:spacing w:before="40" w:after="40" w:line="240" w:lineRule="auto"/>
              <w:ind w:left="158"/>
              <w:rPr>
                <w:rFonts w:cs="Arial"/>
              </w:rPr>
            </w:pPr>
            <w:r>
              <w:rPr>
                <w:rFonts w:cs="Arial"/>
              </w:rPr>
              <w:t>Female</w:t>
            </w:r>
          </w:p>
        </w:tc>
        <w:tc>
          <w:tcPr>
            <w:tcW w:w="2004" w:type="dxa"/>
            <w:tcBorders>
              <w:left w:val="single" w:sz="1" w:space="0" w:color="000000"/>
              <w:bottom w:val="single" w:sz="2" w:space="0" w:color="000000"/>
            </w:tcBorders>
          </w:tcPr>
          <w:p w14:paraId="6C339C0A" w14:textId="77777777" w:rsidR="00131C68" w:rsidRPr="00D33E7B" w:rsidRDefault="00131C68" w:rsidP="00D40CF6">
            <w:pPr>
              <w:spacing w:before="40" w:after="40" w:line="240" w:lineRule="auto"/>
              <w:jc w:val="center"/>
            </w:pPr>
            <w:r>
              <w:t>3 (75.0)</w:t>
            </w:r>
          </w:p>
        </w:tc>
        <w:tc>
          <w:tcPr>
            <w:tcW w:w="2004" w:type="dxa"/>
            <w:tcBorders>
              <w:left w:val="single" w:sz="1" w:space="0" w:color="000000"/>
              <w:bottom w:val="single" w:sz="2" w:space="0" w:color="000000"/>
              <w:right w:val="single" w:sz="1" w:space="0" w:color="000000"/>
            </w:tcBorders>
          </w:tcPr>
          <w:p w14:paraId="12F609F8" w14:textId="77777777" w:rsidR="00131C68" w:rsidRPr="00D33E7B" w:rsidRDefault="00131C68" w:rsidP="00D40CF6">
            <w:pPr>
              <w:spacing w:before="40" w:after="40" w:line="240" w:lineRule="auto"/>
              <w:jc w:val="center"/>
            </w:pPr>
            <w:r w:rsidRPr="00FE3EB4">
              <w:t>48 (75.0)</w:t>
            </w:r>
          </w:p>
        </w:tc>
      </w:tr>
      <w:tr w:rsidR="00131C68" w:rsidRPr="00D33E7B" w14:paraId="02544363" w14:textId="77777777" w:rsidTr="002B09C5">
        <w:trPr>
          <w:trHeight w:val="1380"/>
        </w:trPr>
        <w:tc>
          <w:tcPr>
            <w:tcW w:w="4664" w:type="dxa"/>
            <w:tcBorders>
              <w:left w:val="single" w:sz="1" w:space="0" w:color="000000"/>
              <w:bottom w:val="single" w:sz="2" w:space="0" w:color="000000"/>
            </w:tcBorders>
          </w:tcPr>
          <w:p w14:paraId="4C261505" w14:textId="77777777" w:rsidR="00131C68" w:rsidRDefault="00131C68" w:rsidP="00D40CF6">
            <w:pPr>
              <w:widowControl w:val="0"/>
              <w:spacing w:before="40" w:after="40" w:line="240" w:lineRule="auto"/>
              <w:ind w:left="158"/>
              <w:rPr>
                <w:rFonts w:cs="Arial"/>
              </w:rPr>
            </w:pPr>
            <w:r>
              <w:rPr>
                <w:rFonts w:cs="Arial"/>
              </w:rPr>
              <w:t>Insurance type</w:t>
            </w:r>
          </w:p>
          <w:p w14:paraId="6C013FD3" w14:textId="77777777" w:rsidR="00131C68" w:rsidRDefault="00131C68" w:rsidP="00D40CF6">
            <w:pPr>
              <w:widowControl w:val="0"/>
              <w:spacing w:before="40" w:after="40" w:line="240" w:lineRule="auto"/>
              <w:ind w:left="158"/>
              <w:rPr>
                <w:rFonts w:cs="Arial"/>
              </w:rPr>
            </w:pPr>
            <w:r>
              <w:rPr>
                <w:rFonts w:cs="Arial"/>
              </w:rPr>
              <w:tab/>
              <w:t>Commercial</w:t>
            </w:r>
          </w:p>
          <w:p w14:paraId="06FA67C9" w14:textId="77777777" w:rsidR="00131C68" w:rsidRDefault="00131C68" w:rsidP="00D40CF6">
            <w:pPr>
              <w:widowControl w:val="0"/>
              <w:spacing w:before="40" w:after="40" w:line="240" w:lineRule="auto"/>
              <w:ind w:left="158"/>
              <w:rPr>
                <w:rFonts w:cs="Arial"/>
              </w:rPr>
            </w:pPr>
            <w:r>
              <w:rPr>
                <w:rFonts w:cs="Arial"/>
              </w:rPr>
              <w:tab/>
              <w:t>Medicare</w:t>
            </w:r>
          </w:p>
          <w:p w14:paraId="4F6C2D4F" w14:textId="77777777" w:rsidR="00131C68" w:rsidRDefault="00131C68" w:rsidP="00D40CF6">
            <w:pPr>
              <w:widowControl w:val="0"/>
              <w:spacing w:before="40" w:after="40" w:line="240" w:lineRule="auto"/>
              <w:ind w:left="158"/>
              <w:rPr>
                <w:rFonts w:cs="Arial"/>
              </w:rPr>
            </w:pPr>
            <w:r>
              <w:rPr>
                <w:rFonts w:cs="Arial"/>
              </w:rPr>
              <w:tab/>
              <w:t>Medicaid</w:t>
            </w:r>
          </w:p>
          <w:p w14:paraId="04131EBF" w14:textId="77777777" w:rsidR="00131C68" w:rsidRPr="00D33E7B" w:rsidRDefault="00131C68" w:rsidP="00D40CF6">
            <w:pPr>
              <w:widowControl w:val="0"/>
              <w:spacing w:before="40" w:after="40" w:line="240" w:lineRule="auto"/>
              <w:ind w:left="158"/>
              <w:rPr>
                <w:rFonts w:cs="Arial"/>
              </w:rPr>
            </w:pPr>
            <w:r>
              <w:rPr>
                <w:rFonts w:cs="Arial"/>
              </w:rPr>
              <w:tab/>
              <w:t>Unknown</w:t>
            </w:r>
          </w:p>
        </w:tc>
        <w:tc>
          <w:tcPr>
            <w:tcW w:w="2004" w:type="dxa"/>
            <w:tcBorders>
              <w:left w:val="single" w:sz="1" w:space="0" w:color="000000"/>
              <w:bottom w:val="single" w:sz="2" w:space="0" w:color="000000"/>
            </w:tcBorders>
          </w:tcPr>
          <w:p w14:paraId="6C8F4034" w14:textId="77777777" w:rsidR="00131C68" w:rsidRDefault="00131C68" w:rsidP="00D40CF6">
            <w:pPr>
              <w:spacing w:before="40" w:after="40" w:line="240" w:lineRule="auto"/>
              <w:jc w:val="center"/>
            </w:pPr>
          </w:p>
          <w:p w14:paraId="4E9EFB48" w14:textId="77777777" w:rsidR="00131C68" w:rsidRDefault="00131C68" w:rsidP="00D40CF6">
            <w:pPr>
              <w:spacing w:before="40" w:after="40" w:line="240" w:lineRule="auto"/>
              <w:jc w:val="center"/>
            </w:pPr>
            <w:r>
              <w:t>0</w:t>
            </w:r>
          </w:p>
          <w:p w14:paraId="441AE4AE" w14:textId="77777777" w:rsidR="00131C68" w:rsidRDefault="00131C68" w:rsidP="00D40CF6">
            <w:pPr>
              <w:spacing w:before="40" w:after="40" w:line="240" w:lineRule="auto"/>
              <w:jc w:val="center"/>
            </w:pPr>
            <w:r>
              <w:t>1 (25.0)</w:t>
            </w:r>
          </w:p>
          <w:p w14:paraId="56C3B3C9" w14:textId="77777777" w:rsidR="00131C68" w:rsidRDefault="00131C68" w:rsidP="00D40CF6">
            <w:pPr>
              <w:spacing w:before="40" w:after="40" w:line="240" w:lineRule="auto"/>
              <w:jc w:val="center"/>
            </w:pPr>
            <w:r>
              <w:t>2 (50.0)</w:t>
            </w:r>
          </w:p>
          <w:p w14:paraId="2CD51849" w14:textId="77777777" w:rsidR="00131C68" w:rsidRPr="00D33E7B" w:rsidRDefault="00131C68" w:rsidP="00D40CF6">
            <w:pPr>
              <w:spacing w:before="40" w:after="40" w:line="240" w:lineRule="auto"/>
              <w:jc w:val="center"/>
            </w:pPr>
            <w:r>
              <w:t>1 (25.0)</w:t>
            </w:r>
          </w:p>
        </w:tc>
        <w:tc>
          <w:tcPr>
            <w:tcW w:w="2004" w:type="dxa"/>
            <w:tcBorders>
              <w:left w:val="single" w:sz="1" w:space="0" w:color="000000"/>
              <w:bottom w:val="single" w:sz="2" w:space="0" w:color="000000"/>
              <w:right w:val="single" w:sz="1" w:space="0" w:color="000000"/>
            </w:tcBorders>
          </w:tcPr>
          <w:p w14:paraId="06118270" w14:textId="77777777" w:rsidR="00131C68" w:rsidRDefault="00131C68" w:rsidP="00D40CF6">
            <w:pPr>
              <w:spacing w:before="40" w:after="40" w:line="240" w:lineRule="auto"/>
              <w:jc w:val="center"/>
            </w:pPr>
          </w:p>
          <w:p w14:paraId="68C5B4F6" w14:textId="77777777" w:rsidR="00131C68" w:rsidRDefault="00131C68" w:rsidP="00D40CF6">
            <w:pPr>
              <w:spacing w:before="40" w:after="40" w:line="240" w:lineRule="auto"/>
              <w:jc w:val="center"/>
            </w:pPr>
            <w:r>
              <w:t>27 (42.2)</w:t>
            </w:r>
          </w:p>
          <w:p w14:paraId="03BC3D01" w14:textId="77777777" w:rsidR="00131C68" w:rsidRDefault="00131C68" w:rsidP="00D40CF6">
            <w:pPr>
              <w:spacing w:before="40" w:after="40" w:line="240" w:lineRule="auto"/>
              <w:jc w:val="center"/>
            </w:pPr>
            <w:r>
              <w:t>20 (31.3)</w:t>
            </w:r>
          </w:p>
          <w:p w14:paraId="677CF799" w14:textId="77777777" w:rsidR="00131C68" w:rsidRDefault="00131C68" w:rsidP="00D40CF6">
            <w:pPr>
              <w:spacing w:before="40" w:after="40" w:line="240" w:lineRule="auto"/>
              <w:jc w:val="center"/>
            </w:pPr>
            <w:r>
              <w:t>12 (18.8)</w:t>
            </w:r>
          </w:p>
          <w:p w14:paraId="4033972D" w14:textId="77777777" w:rsidR="00131C68" w:rsidRPr="00D33E7B" w:rsidRDefault="00131C68" w:rsidP="00D40CF6">
            <w:pPr>
              <w:spacing w:before="40" w:after="40" w:line="240" w:lineRule="auto"/>
              <w:jc w:val="center"/>
            </w:pPr>
            <w:r>
              <w:t>5 (7.8)</w:t>
            </w:r>
          </w:p>
        </w:tc>
      </w:tr>
    </w:tbl>
    <w:p w14:paraId="75A9EFDF" w14:textId="77777777" w:rsidR="007A2398" w:rsidRDefault="007A2398" w:rsidP="007D252D">
      <w:pPr>
        <w:widowControl w:val="0"/>
        <w:spacing w:after="120" w:line="360" w:lineRule="auto"/>
        <w:rPr>
          <w:rFonts w:cs="Arial"/>
        </w:rPr>
      </w:pPr>
    </w:p>
    <w:p w14:paraId="13644616" w14:textId="3D56D436" w:rsidR="007A2398" w:rsidRPr="005C1CC0" w:rsidRDefault="007A2398" w:rsidP="007D252D">
      <w:pPr>
        <w:widowControl w:val="0"/>
        <w:spacing w:after="120" w:line="360" w:lineRule="auto"/>
        <w:rPr>
          <w:rFonts w:cs="Arial"/>
          <w:szCs w:val="20"/>
        </w:rPr>
      </w:pPr>
      <w:r w:rsidRPr="005C1CC0">
        <w:rPr>
          <w:rFonts w:cs="Arial"/>
          <w:b/>
          <w:szCs w:val="20"/>
        </w:rPr>
        <w:lastRenderedPageBreak/>
        <w:t>Notes:</w:t>
      </w:r>
      <w:r w:rsidRPr="005C1CC0">
        <w:rPr>
          <w:rFonts w:cs="Arial"/>
          <w:szCs w:val="20"/>
        </w:rPr>
        <w:t xml:space="preserve"> </w:t>
      </w:r>
      <w:r>
        <w:t xml:space="preserve">Data represent mean (SD) for continuous variables and n (%) for categorical variables. </w:t>
      </w:r>
      <w:bookmarkStart w:id="2" w:name="_Hlk133932873"/>
    </w:p>
    <w:p w14:paraId="08E17F28" w14:textId="77777777" w:rsidR="007A2398" w:rsidRPr="00BF2019" w:rsidRDefault="007A2398" w:rsidP="007D252D">
      <w:pPr>
        <w:widowControl w:val="0"/>
        <w:spacing w:after="120" w:line="360" w:lineRule="auto"/>
        <w:rPr>
          <w:rFonts w:cs="Arial"/>
          <w:szCs w:val="20"/>
        </w:rPr>
      </w:pPr>
      <w:r w:rsidRPr="005C1CC0">
        <w:rPr>
          <w:rFonts w:cs="Arial"/>
          <w:b/>
          <w:szCs w:val="20"/>
        </w:rPr>
        <w:t>Abbreviations:</w:t>
      </w:r>
      <w:r w:rsidRPr="005C1CC0">
        <w:rPr>
          <w:rFonts w:cs="Arial"/>
          <w:szCs w:val="20"/>
        </w:rPr>
        <w:t xml:space="preserve"> </w:t>
      </w:r>
      <w:r>
        <w:rPr>
          <w:rFonts w:cs="Arial"/>
          <w:szCs w:val="20"/>
        </w:rPr>
        <w:t xml:space="preserve">MC, Market Clarity; </w:t>
      </w:r>
      <w:r>
        <w:t xml:space="preserve">ORD, Optum Research Database; SD, standard deviation; </w:t>
      </w:r>
      <w:r w:rsidRPr="00313FC0">
        <w:t>VTE</w:t>
      </w:r>
      <w:r>
        <w:t>,</w:t>
      </w:r>
      <w:r w:rsidRPr="00313FC0">
        <w:t xml:space="preserve"> venous </w:t>
      </w:r>
      <w:r>
        <w:t>thromboembolism.</w:t>
      </w:r>
      <w:r w:rsidRPr="00A72BA9">
        <w:rPr>
          <w:rFonts w:cs="Arial"/>
          <w:b/>
          <w:bCs/>
        </w:rPr>
        <w:t xml:space="preserve"> </w:t>
      </w:r>
      <w:bookmarkEnd w:id="2"/>
      <w:r>
        <w:rPr>
          <w:rFonts w:cs="Arial"/>
          <w:b/>
          <w:bCs/>
        </w:rPr>
        <w:br w:type="page"/>
      </w:r>
    </w:p>
    <w:p w14:paraId="4DD7C7BF" w14:textId="18A706D1" w:rsidR="007A2398" w:rsidRDefault="007A2398" w:rsidP="007D252D">
      <w:pPr>
        <w:widowControl w:val="0"/>
        <w:spacing w:after="120" w:line="360" w:lineRule="auto"/>
        <w:rPr>
          <w:rFonts w:cs="Arial"/>
        </w:rPr>
      </w:pPr>
      <w:bookmarkStart w:id="3" w:name="_Hlk127380614"/>
      <w:r>
        <w:rPr>
          <w:rFonts w:cs="Arial"/>
          <w:b/>
          <w:bCs/>
        </w:rPr>
        <w:lastRenderedPageBreak/>
        <w:t>Supplementa</w:t>
      </w:r>
      <w:r w:rsidR="00C72B9E">
        <w:rPr>
          <w:rFonts w:cs="Arial"/>
          <w:b/>
          <w:bCs/>
        </w:rPr>
        <w:t>ry</w:t>
      </w:r>
      <w:r>
        <w:rPr>
          <w:rFonts w:cs="Arial"/>
          <w:b/>
          <w:bCs/>
        </w:rPr>
        <w:t xml:space="preserve"> </w:t>
      </w:r>
      <w:r w:rsidRPr="005C1CC0">
        <w:rPr>
          <w:rFonts w:cs="Arial"/>
          <w:b/>
          <w:bCs/>
        </w:rPr>
        <w:t xml:space="preserve">Table </w:t>
      </w:r>
      <w:r>
        <w:rPr>
          <w:rFonts w:cs="Arial"/>
          <w:b/>
          <w:bCs/>
        </w:rPr>
        <w:t>3</w:t>
      </w:r>
      <w:r>
        <w:rPr>
          <w:rFonts w:cs="Arial"/>
        </w:rPr>
        <w:t xml:space="preserve"> Demographic and clinical characteristics for the primary objective sample from ORD Cohorts 1 and 2.</w:t>
      </w:r>
    </w:p>
    <w:tbl>
      <w:tblPr>
        <w:tblW w:w="8584" w:type="dxa"/>
        <w:tblInd w:w="55" w:type="dxa"/>
        <w:tblLayout w:type="fixed"/>
        <w:tblCellMar>
          <w:top w:w="55" w:type="dxa"/>
          <w:left w:w="55" w:type="dxa"/>
          <w:bottom w:w="55" w:type="dxa"/>
          <w:right w:w="55" w:type="dxa"/>
        </w:tblCellMar>
        <w:tblLook w:val="0000" w:firstRow="0" w:lastRow="0" w:firstColumn="0" w:lastColumn="0" w:noHBand="0" w:noVBand="0"/>
      </w:tblPr>
      <w:tblGrid>
        <w:gridCol w:w="3994"/>
        <w:gridCol w:w="2295"/>
        <w:gridCol w:w="2295"/>
      </w:tblGrid>
      <w:tr w:rsidR="007A2398" w:rsidRPr="008E7458" w14:paraId="40481B05" w14:textId="77777777" w:rsidTr="00C6541D">
        <w:tc>
          <w:tcPr>
            <w:tcW w:w="3994" w:type="dxa"/>
            <w:tcBorders>
              <w:top w:val="single" w:sz="1" w:space="0" w:color="000000"/>
              <w:left w:val="single" w:sz="1" w:space="0" w:color="000000"/>
              <w:bottom w:val="single" w:sz="1" w:space="0" w:color="000000"/>
            </w:tcBorders>
          </w:tcPr>
          <w:bookmarkEnd w:id="3"/>
          <w:p w14:paraId="6A16B649" w14:textId="77777777" w:rsidR="007A2398" w:rsidRPr="008E7458" w:rsidRDefault="007A2398" w:rsidP="00D40CF6">
            <w:pPr>
              <w:widowControl w:val="0"/>
              <w:spacing w:before="40" w:after="40" w:line="240" w:lineRule="auto"/>
              <w:rPr>
                <w:rFonts w:cs="Arial"/>
                <w:b/>
                <w:bCs/>
              </w:rPr>
            </w:pPr>
            <w:r>
              <w:rPr>
                <w:rFonts w:cs="Arial"/>
                <w:b/>
                <w:bCs/>
              </w:rPr>
              <w:t>Cohort source</w:t>
            </w:r>
          </w:p>
        </w:tc>
        <w:tc>
          <w:tcPr>
            <w:tcW w:w="2295" w:type="dxa"/>
            <w:tcBorders>
              <w:top w:val="single" w:sz="1" w:space="0" w:color="000000"/>
              <w:left w:val="single" w:sz="1" w:space="0" w:color="000000"/>
              <w:bottom w:val="single" w:sz="1" w:space="0" w:color="000000"/>
            </w:tcBorders>
          </w:tcPr>
          <w:p w14:paraId="045C0ECD" w14:textId="77777777" w:rsidR="007A2398" w:rsidRPr="008E7458" w:rsidRDefault="007A2398" w:rsidP="00D40CF6">
            <w:pPr>
              <w:spacing w:before="40" w:after="40" w:line="240" w:lineRule="auto"/>
              <w:jc w:val="center"/>
              <w:rPr>
                <w:b/>
                <w:bCs/>
              </w:rPr>
            </w:pPr>
            <w:r>
              <w:rPr>
                <w:b/>
                <w:bCs/>
              </w:rPr>
              <w:t>ORD Cohort 1</w:t>
            </w:r>
            <w:r>
              <w:rPr>
                <w:b/>
                <w:bCs/>
              </w:rPr>
              <w:br/>
            </w:r>
            <w:r w:rsidRPr="008E7458">
              <w:rPr>
                <w:b/>
                <w:bCs/>
              </w:rPr>
              <w:t xml:space="preserve">(n = </w:t>
            </w:r>
            <w:r>
              <w:rPr>
                <w:b/>
                <w:bCs/>
              </w:rPr>
              <w:t>38</w:t>
            </w:r>
            <w:r w:rsidRPr="008E7458">
              <w:rPr>
                <w:b/>
                <w:bCs/>
              </w:rPr>
              <w:t>)</w:t>
            </w:r>
          </w:p>
        </w:tc>
        <w:tc>
          <w:tcPr>
            <w:tcW w:w="2295" w:type="dxa"/>
            <w:tcBorders>
              <w:top w:val="single" w:sz="1" w:space="0" w:color="000000"/>
              <w:left w:val="single" w:sz="1" w:space="0" w:color="000000"/>
              <w:bottom w:val="single" w:sz="1" w:space="0" w:color="000000"/>
              <w:right w:val="single" w:sz="1" w:space="0" w:color="000000"/>
            </w:tcBorders>
          </w:tcPr>
          <w:p w14:paraId="5AB080C0" w14:textId="77777777" w:rsidR="007A2398" w:rsidRPr="008E7458" w:rsidRDefault="007A2398" w:rsidP="00D40CF6">
            <w:pPr>
              <w:spacing w:before="40" w:after="40" w:line="240" w:lineRule="auto"/>
              <w:jc w:val="center"/>
              <w:rPr>
                <w:b/>
                <w:bCs/>
              </w:rPr>
            </w:pPr>
            <w:r>
              <w:rPr>
                <w:b/>
                <w:bCs/>
              </w:rPr>
              <w:t>ORD Cohort 2</w:t>
            </w:r>
            <w:r>
              <w:rPr>
                <w:b/>
                <w:bCs/>
              </w:rPr>
              <w:br/>
            </w:r>
            <w:r w:rsidRPr="008E7458">
              <w:rPr>
                <w:b/>
                <w:bCs/>
              </w:rPr>
              <w:t xml:space="preserve">(n = </w:t>
            </w:r>
            <w:r>
              <w:rPr>
                <w:b/>
                <w:bCs/>
              </w:rPr>
              <w:t>117</w:t>
            </w:r>
            <w:r w:rsidRPr="008E7458">
              <w:rPr>
                <w:b/>
                <w:bCs/>
              </w:rPr>
              <w:t>)</w:t>
            </w:r>
          </w:p>
        </w:tc>
      </w:tr>
      <w:tr w:rsidR="007A2398" w:rsidRPr="008E7458" w14:paraId="4BA99A1A" w14:textId="77777777" w:rsidTr="00C6541D">
        <w:tc>
          <w:tcPr>
            <w:tcW w:w="8584" w:type="dxa"/>
            <w:gridSpan w:val="3"/>
            <w:tcBorders>
              <w:top w:val="single" w:sz="1" w:space="0" w:color="000000"/>
              <w:left w:val="single" w:sz="1" w:space="0" w:color="000000"/>
              <w:bottom w:val="single" w:sz="1" w:space="0" w:color="000000"/>
              <w:right w:val="single" w:sz="1" w:space="0" w:color="000000"/>
            </w:tcBorders>
          </w:tcPr>
          <w:p w14:paraId="29415D6B" w14:textId="77777777" w:rsidR="007A2398" w:rsidRPr="008E7458" w:rsidRDefault="007A2398" w:rsidP="00D40CF6">
            <w:pPr>
              <w:spacing w:before="40" w:after="40" w:line="240" w:lineRule="auto"/>
              <w:rPr>
                <w:b/>
                <w:bCs/>
                <w:i/>
                <w:iCs/>
              </w:rPr>
            </w:pPr>
            <w:r w:rsidRPr="008E7458">
              <w:rPr>
                <w:rFonts w:cs="Arial"/>
                <w:b/>
                <w:bCs/>
                <w:i/>
                <w:iCs/>
              </w:rPr>
              <w:t>Claim</w:t>
            </w:r>
            <w:r>
              <w:rPr>
                <w:rFonts w:cs="Arial"/>
                <w:b/>
                <w:bCs/>
                <w:i/>
                <w:iCs/>
              </w:rPr>
              <w:t>s</w:t>
            </w:r>
            <w:r w:rsidRPr="008E7458">
              <w:rPr>
                <w:rFonts w:cs="Arial"/>
                <w:b/>
                <w:bCs/>
                <w:i/>
                <w:iCs/>
              </w:rPr>
              <w:t>-based variables</w:t>
            </w:r>
          </w:p>
        </w:tc>
      </w:tr>
      <w:tr w:rsidR="007A2398" w:rsidRPr="005C1CC0" w14:paraId="760A04A4" w14:textId="77777777" w:rsidTr="00C6541D">
        <w:tc>
          <w:tcPr>
            <w:tcW w:w="3994" w:type="dxa"/>
            <w:tcBorders>
              <w:left w:val="single" w:sz="1" w:space="0" w:color="000000"/>
              <w:bottom w:val="single" w:sz="1" w:space="0" w:color="000000"/>
            </w:tcBorders>
          </w:tcPr>
          <w:p w14:paraId="4489B52E" w14:textId="77777777" w:rsidR="007A2398" w:rsidRPr="005C1CC0" w:rsidRDefault="007A2398" w:rsidP="00D40CF6">
            <w:pPr>
              <w:widowControl w:val="0"/>
              <w:spacing w:before="40" w:after="40" w:line="240" w:lineRule="auto"/>
              <w:ind w:left="158"/>
              <w:rPr>
                <w:rFonts w:cs="Arial"/>
              </w:rPr>
            </w:pPr>
            <w:r w:rsidRPr="00CF37FE">
              <w:t>Age, y</w:t>
            </w:r>
          </w:p>
        </w:tc>
        <w:tc>
          <w:tcPr>
            <w:tcW w:w="2295" w:type="dxa"/>
            <w:tcBorders>
              <w:left w:val="single" w:sz="1" w:space="0" w:color="000000"/>
              <w:bottom w:val="single" w:sz="1" w:space="0" w:color="000000"/>
            </w:tcBorders>
            <w:vAlign w:val="center"/>
          </w:tcPr>
          <w:p w14:paraId="71F88877" w14:textId="77777777" w:rsidR="007A2398" w:rsidRPr="005C1CC0" w:rsidRDefault="007A2398" w:rsidP="00D40CF6">
            <w:pPr>
              <w:spacing w:before="40" w:after="40" w:line="240" w:lineRule="auto"/>
              <w:jc w:val="center"/>
            </w:pPr>
            <w:r>
              <w:t>65.0 (11.5)</w:t>
            </w:r>
          </w:p>
        </w:tc>
        <w:tc>
          <w:tcPr>
            <w:tcW w:w="2295" w:type="dxa"/>
            <w:tcBorders>
              <w:left w:val="single" w:sz="1" w:space="0" w:color="000000"/>
              <w:bottom w:val="single" w:sz="1" w:space="0" w:color="000000"/>
              <w:right w:val="single" w:sz="1" w:space="0" w:color="000000"/>
            </w:tcBorders>
            <w:vAlign w:val="center"/>
          </w:tcPr>
          <w:p w14:paraId="66982681" w14:textId="77777777" w:rsidR="007A2398" w:rsidRPr="005C1CC0" w:rsidRDefault="007A2398" w:rsidP="00D40CF6">
            <w:pPr>
              <w:spacing w:before="40" w:after="40" w:line="240" w:lineRule="auto"/>
              <w:jc w:val="center"/>
            </w:pPr>
            <w:r>
              <w:t>66.8 (10.4)</w:t>
            </w:r>
          </w:p>
        </w:tc>
      </w:tr>
      <w:tr w:rsidR="007A2398" w:rsidRPr="005C1CC0" w14:paraId="124416A3" w14:textId="77777777" w:rsidTr="00C6541D">
        <w:tc>
          <w:tcPr>
            <w:tcW w:w="3994" w:type="dxa"/>
            <w:tcBorders>
              <w:left w:val="single" w:sz="1" w:space="0" w:color="000000"/>
              <w:bottom w:val="single" w:sz="1" w:space="0" w:color="000000"/>
            </w:tcBorders>
          </w:tcPr>
          <w:p w14:paraId="7961095A" w14:textId="77777777" w:rsidR="007A2398" w:rsidRPr="005C1CC0" w:rsidRDefault="007A2398" w:rsidP="00D40CF6">
            <w:pPr>
              <w:widowControl w:val="0"/>
              <w:spacing w:before="40" w:after="40" w:line="240" w:lineRule="auto"/>
              <w:ind w:left="158"/>
              <w:rPr>
                <w:rFonts w:cs="Arial"/>
              </w:rPr>
            </w:pPr>
            <w:r w:rsidRPr="00CF37FE">
              <w:t>Age ≥65 years</w:t>
            </w:r>
          </w:p>
        </w:tc>
        <w:tc>
          <w:tcPr>
            <w:tcW w:w="2295" w:type="dxa"/>
            <w:tcBorders>
              <w:left w:val="single" w:sz="1" w:space="0" w:color="000000"/>
              <w:bottom w:val="single" w:sz="1" w:space="0" w:color="000000"/>
            </w:tcBorders>
            <w:vAlign w:val="center"/>
          </w:tcPr>
          <w:p w14:paraId="1AB0B29D" w14:textId="77777777" w:rsidR="007A2398" w:rsidRPr="005C1CC0" w:rsidRDefault="007A2398" w:rsidP="00D40CF6">
            <w:pPr>
              <w:spacing w:before="40" w:after="40" w:line="240" w:lineRule="auto"/>
              <w:jc w:val="center"/>
            </w:pPr>
            <w:r>
              <w:t>21 (55.3)</w:t>
            </w:r>
          </w:p>
        </w:tc>
        <w:tc>
          <w:tcPr>
            <w:tcW w:w="2295" w:type="dxa"/>
            <w:tcBorders>
              <w:left w:val="single" w:sz="1" w:space="0" w:color="000000"/>
              <w:bottom w:val="single" w:sz="1" w:space="0" w:color="000000"/>
              <w:right w:val="single" w:sz="1" w:space="0" w:color="000000"/>
            </w:tcBorders>
            <w:vAlign w:val="center"/>
          </w:tcPr>
          <w:p w14:paraId="07C100B0" w14:textId="77777777" w:rsidR="007A2398" w:rsidRPr="005C1CC0" w:rsidRDefault="007A2398" w:rsidP="00D40CF6">
            <w:pPr>
              <w:spacing w:before="40" w:after="40" w:line="240" w:lineRule="auto"/>
              <w:jc w:val="center"/>
            </w:pPr>
            <w:r>
              <w:t>76 (65.0)</w:t>
            </w:r>
          </w:p>
        </w:tc>
      </w:tr>
      <w:tr w:rsidR="007A2398" w:rsidRPr="005C1CC0" w14:paraId="1CFBFB1B" w14:textId="77777777" w:rsidTr="00C6541D">
        <w:tc>
          <w:tcPr>
            <w:tcW w:w="3994" w:type="dxa"/>
            <w:tcBorders>
              <w:left w:val="single" w:sz="1" w:space="0" w:color="000000"/>
              <w:bottom w:val="single" w:sz="1" w:space="0" w:color="000000"/>
            </w:tcBorders>
          </w:tcPr>
          <w:p w14:paraId="5925359E" w14:textId="77777777" w:rsidR="007A2398" w:rsidRPr="005C1CC0" w:rsidRDefault="007A2398" w:rsidP="00D40CF6">
            <w:pPr>
              <w:widowControl w:val="0"/>
              <w:spacing w:before="40" w:after="40" w:line="240" w:lineRule="auto"/>
              <w:ind w:left="158"/>
              <w:rPr>
                <w:rFonts w:cs="Arial"/>
              </w:rPr>
            </w:pPr>
            <w:r>
              <w:t>Female</w:t>
            </w:r>
          </w:p>
        </w:tc>
        <w:tc>
          <w:tcPr>
            <w:tcW w:w="2295" w:type="dxa"/>
            <w:tcBorders>
              <w:left w:val="single" w:sz="1" w:space="0" w:color="000000"/>
              <w:bottom w:val="single" w:sz="1" w:space="0" w:color="000000"/>
            </w:tcBorders>
            <w:vAlign w:val="center"/>
          </w:tcPr>
          <w:p w14:paraId="0386D667" w14:textId="77777777" w:rsidR="007A2398" w:rsidRPr="005C1CC0" w:rsidRDefault="007A2398" w:rsidP="00D40CF6">
            <w:pPr>
              <w:spacing w:before="40" w:after="40" w:line="240" w:lineRule="auto"/>
              <w:jc w:val="center"/>
            </w:pPr>
            <w:r>
              <w:t>25 (65.8)</w:t>
            </w:r>
          </w:p>
        </w:tc>
        <w:tc>
          <w:tcPr>
            <w:tcW w:w="2295" w:type="dxa"/>
            <w:tcBorders>
              <w:left w:val="single" w:sz="1" w:space="0" w:color="000000"/>
              <w:bottom w:val="single" w:sz="1" w:space="0" w:color="000000"/>
              <w:right w:val="single" w:sz="1" w:space="0" w:color="000000"/>
            </w:tcBorders>
            <w:vAlign w:val="center"/>
          </w:tcPr>
          <w:p w14:paraId="66DBE563" w14:textId="77777777" w:rsidR="007A2398" w:rsidRPr="005C1CC0" w:rsidRDefault="007A2398" w:rsidP="00D40CF6">
            <w:pPr>
              <w:spacing w:before="40" w:after="40" w:line="240" w:lineRule="auto"/>
              <w:jc w:val="center"/>
            </w:pPr>
            <w:r>
              <w:t>89 (76.1)</w:t>
            </w:r>
          </w:p>
        </w:tc>
      </w:tr>
      <w:tr w:rsidR="007A2398" w:rsidRPr="005C1CC0" w14:paraId="08B10379" w14:textId="77777777" w:rsidTr="00C6541D">
        <w:tc>
          <w:tcPr>
            <w:tcW w:w="3994" w:type="dxa"/>
            <w:tcBorders>
              <w:left w:val="single" w:sz="1" w:space="0" w:color="000000"/>
              <w:bottom w:val="single" w:sz="1" w:space="0" w:color="000000"/>
            </w:tcBorders>
          </w:tcPr>
          <w:p w14:paraId="09DD031E" w14:textId="77777777" w:rsidR="007A2398" w:rsidRPr="005C1CC0" w:rsidRDefault="007A2398" w:rsidP="00D40CF6">
            <w:pPr>
              <w:widowControl w:val="0"/>
              <w:spacing w:before="40" w:after="40" w:line="240" w:lineRule="auto"/>
              <w:ind w:left="158"/>
              <w:rPr>
                <w:rFonts w:cs="Arial"/>
              </w:rPr>
            </w:pPr>
            <w:r>
              <w:rPr>
                <w:rFonts w:cs="Arial"/>
              </w:rPr>
              <w:t>Non-commercial insurance</w:t>
            </w:r>
          </w:p>
        </w:tc>
        <w:tc>
          <w:tcPr>
            <w:tcW w:w="2295" w:type="dxa"/>
            <w:tcBorders>
              <w:left w:val="single" w:sz="1" w:space="0" w:color="000000"/>
              <w:bottom w:val="single" w:sz="1" w:space="0" w:color="000000"/>
            </w:tcBorders>
            <w:vAlign w:val="center"/>
          </w:tcPr>
          <w:p w14:paraId="7ECD543C" w14:textId="77777777" w:rsidR="007A2398" w:rsidRPr="005C1CC0" w:rsidRDefault="007A2398" w:rsidP="00D40CF6">
            <w:pPr>
              <w:spacing w:before="40" w:after="40" w:line="240" w:lineRule="auto"/>
              <w:jc w:val="center"/>
            </w:pPr>
            <w:r>
              <w:t>29 (76.3)</w:t>
            </w:r>
          </w:p>
        </w:tc>
        <w:tc>
          <w:tcPr>
            <w:tcW w:w="2295" w:type="dxa"/>
            <w:tcBorders>
              <w:left w:val="single" w:sz="1" w:space="0" w:color="000000"/>
              <w:bottom w:val="single" w:sz="1" w:space="0" w:color="000000"/>
              <w:right w:val="single" w:sz="1" w:space="0" w:color="000000"/>
            </w:tcBorders>
            <w:vAlign w:val="center"/>
          </w:tcPr>
          <w:p w14:paraId="262586CC" w14:textId="77777777" w:rsidR="007A2398" w:rsidRPr="005C1CC0" w:rsidRDefault="007A2398" w:rsidP="00D40CF6">
            <w:pPr>
              <w:spacing w:before="40" w:after="40" w:line="240" w:lineRule="auto"/>
              <w:jc w:val="center"/>
            </w:pPr>
            <w:r>
              <w:t>96 (82.1)</w:t>
            </w:r>
          </w:p>
        </w:tc>
      </w:tr>
      <w:tr w:rsidR="007A2398" w:rsidRPr="005C1CC0" w14:paraId="35BEE063" w14:textId="77777777" w:rsidTr="00C6541D">
        <w:tc>
          <w:tcPr>
            <w:tcW w:w="3994" w:type="dxa"/>
            <w:tcBorders>
              <w:left w:val="single" w:sz="1" w:space="0" w:color="000000"/>
              <w:bottom w:val="single" w:sz="1" w:space="0" w:color="000000"/>
            </w:tcBorders>
          </w:tcPr>
          <w:p w14:paraId="09DEF7C0" w14:textId="77777777" w:rsidR="007A2398" w:rsidRPr="005C1CC0" w:rsidRDefault="007A2398" w:rsidP="00D40CF6">
            <w:pPr>
              <w:widowControl w:val="0"/>
              <w:spacing w:before="40" w:after="40" w:line="240" w:lineRule="auto"/>
              <w:ind w:left="158"/>
              <w:rPr>
                <w:rFonts w:cs="Arial"/>
              </w:rPr>
            </w:pPr>
            <w:r w:rsidRPr="00D25565">
              <w:t xml:space="preserve">Charlson </w:t>
            </w:r>
            <w:r>
              <w:t>comorbidity s</w:t>
            </w:r>
            <w:r w:rsidRPr="00D25565">
              <w:t>core</w:t>
            </w:r>
          </w:p>
        </w:tc>
        <w:tc>
          <w:tcPr>
            <w:tcW w:w="2295" w:type="dxa"/>
            <w:tcBorders>
              <w:left w:val="single" w:sz="1" w:space="0" w:color="000000"/>
              <w:bottom w:val="single" w:sz="1" w:space="0" w:color="000000"/>
            </w:tcBorders>
            <w:vAlign w:val="center"/>
          </w:tcPr>
          <w:p w14:paraId="49D33C78" w14:textId="77777777" w:rsidR="007A2398" w:rsidRPr="005C1CC0" w:rsidRDefault="007A2398" w:rsidP="00D40CF6">
            <w:pPr>
              <w:spacing w:before="40" w:after="40" w:line="240" w:lineRule="auto"/>
              <w:jc w:val="center"/>
            </w:pPr>
            <w:r>
              <w:t>2.4 (1.8)</w:t>
            </w:r>
          </w:p>
        </w:tc>
        <w:tc>
          <w:tcPr>
            <w:tcW w:w="2295" w:type="dxa"/>
            <w:tcBorders>
              <w:left w:val="single" w:sz="1" w:space="0" w:color="000000"/>
              <w:bottom w:val="single" w:sz="1" w:space="0" w:color="000000"/>
              <w:right w:val="single" w:sz="1" w:space="0" w:color="000000"/>
            </w:tcBorders>
            <w:vAlign w:val="center"/>
          </w:tcPr>
          <w:p w14:paraId="47C39884" w14:textId="77777777" w:rsidR="007A2398" w:rsidRPr="005C1CC0" w:rsidRDefault="007A2398" w:rsidP="00D40CF6">
            <w:pPr>
              <w:spacing w:before="40" w:after="40" w:line="240" w:lineRule="auto"/>
              <w:jc w:val="center"/>
            </w:pPr>
            <w:r>
              <w:t>2.5 (1.7)</w:t>
            </w:r>
          </w:p>
        </w:tc>
      </w:tr>
      <w:tr w:rsidR="007A2398" w:rsidRPr="005C1CC0" w14:paraId="38F1B2C5" w14:textId="77777777" w:rsidTr="00C6541D">
        <w:tc>
          <w:tcPr>
            <w:tcW w:w="3994" w:type="dxa"/>
            <w:tcBorders>
              <w:left w:val="single" w:sz="1" w:space="0" w:color="000000"/>
              <w:bottom w:val="single" w:sz="1" w:space="0" w:color="000000"/>
            </w:tcBorders>
          </w:tcPr>
          <w:p w14:paraId="76B30709" w14:textId="77777777" w:rsidR="007A2398" w:rsidRPr="005C1CC0" w:rsidRDefault="007A2398" w:rsidP="00D40CF6">
            <w:pPr>
              <w:widowControl w:val="0"/>
              <w:spacing w:before="40" w:after="40" w:line="240" w:lineRule="auto"/>
              <w:ind w:left="158"/>
              <w:rPr>
                <w:rFonts w:cs="Arial"/>
              </w:rPr>
            </w:pPr>
            <w:r w:rsidRPr="00D25565">
              <w:t>Follow-up time, d</w:t>
            </w:r>
          </w:p>
        </w:tc>
        <w:tc>
          <w:tcPr>
            <w:tcW w:w="2295" w:type="dxa"/>
            <w:tcBorders>
              <w:left w:val="single" w:sz="1" w:space="0" w:color="000000"/>
              <w:bottom w:val="single" w:sz="1" w:space="0" w:color="000000"/>
            </w:tcBorders>
            <w:vAlign w:val="center"/>
          </w:tcPr>
          <w:p w14:paraId="4D21D2A3" w14:textId="77777777" w:rsidR="007A2398" w:rsidRPr="005C1CC0" w:rsidRDefault="007A2398" w:rsidP="00D40CF6">
            <w:pPr>
              <w:spacing w:before="40" w:after="40" w:line="240" w:lineRule="auto"/>
              <w:jc w:val="center"/>
            </w:pPr>
            <w:r>
              <w:t>626.3 (378.7)</w:t>
            </w:r>
          </w:p>
        </w:tc>
        <w:tc>
          <w:tcPr>
            <w:tcW w:w="2295" w:type="dxa"/>
            <w:tcBorders>
              <w:left w:val="single" w:sz="1" w:space="0" w:color="000000"/>
              <w:bottom w:val="single" w:sz="1" w:space="0" w:color="000000"/>
              <w:right w:val="single" w:sz="1" w:space="0" w:color="000000"/>
            </w:tcBorders>
            <w:vAlign w:val="center"/>
          </w:tcPr>
          <w:p w14:paraId="259AA67C" w14:textId="77777777" w:rsidR="007A2398" w:rsidRPr="005C1CC0" w:rsidRDefault="007A2398" w:rsidP="00D40CF6">
            <w:pPr>
              <w:spacing w:before="40" w:after="40" w:line="240" w:lineRule="auto"/>
              <w:jc w:val="center"/>
            </w:pPr>
            <w:r>
              <w:t>1,004.8 (533.3)</w:t>
            </w:r>
          </w:p>
        </w:tc>
      </w:tr>
      <w:tr w:rsidR="007A2398" w:rsidRPr="005C1CC0" w14:paraId="63A0CD22" w14:textId="77777777" w:rsidTr="00C6541D">
        <w:tc>
          <w:tcPr>
            <w:tcW w:w="3994" w:type="dxa"/>
            <w:tcBorders>
              <w:left w:val="single" w:sz="1" w:space="0" w:color="000000"/>
              <w:bottom w:val="single" w:sz="1" w:space="0" w:color="000000"/>
            </w:tcBorders>
          </w:tcPr>
          <w:p w14:paraId="2B641399" w14:textId="77777777" w:rsidR="007A2398" w:rsidRDefault="007A2398" w:rsidP="00D40CF6">
            <w:pPr>
              <w:widowControl w:val="0"/>
              <w:spacing w:before="40" w:after="40" w:line="240" w:lineRule="auto"/>
              <w:ind w:left="158"/>
              <w:rPr>
                <w:rFonts w:cs="Arial"/>
              </w:rPr>
            </w:pPr>
            <w:r w:rsidRPr="00C33408">
              <w:rPr>
                <w:rFonts w:cs="Arial"/>
              </w:rPr>
              <w:t>RA therapy during follow-up</w:t>
            </w:r>
          </w:p>
          <w:p w14:paraId="39509ADE" w14:textId="77777777" w:rsidR="007A2398" w:rsidRDefault="007A2398" w:rsidP="00D40CF6">
            <w:pPr>
              <w:widowControl w:val="0"/>
              <w:tabs>
                <w:tab w:val="left" w:pos="1238"/>
              </w:tabs>
              <w:spacing w:before="40" w:after="40" w:line="240" w:lineRule="auto"/>
              <w:ind w:left="158"/>
              <w:rPr>
                <w:rFonts w:cs="Arial"/>
              </w:rPr>
            </w:pPr>
            <w:r>
              <w:rPr>
                <w:rFonts w:cs="Arial"/>
              </w:rPr>
              <w:t>TNFi:</w:t>
            </w:r>
            <w:r>
              <w:rPr>
                <w:rFonts w:cs="Arial"/>
              </w:rPr>
              <w:tab/>
              <w:t>adalimumab</w:t>
            </w:r>
            <w:r>
              <w:rPr>
                <w:rFonts w:cs="Arial"/>
              </w:rPr>
              <w:br/>
            </w:r>
            <w:r>
              <w:rPr>
                <w:rFonts w:cs="Arial"/>
              </w:rPr>
              <w:tab/>
              <w:t>certolizumab</w:t>
            </w:r>
            <w:r>
              <w:rPr>
                <w:rFonts w:cs="Arial"/>
              </w:rPr>
              <w:br/>
            </w:r>
            <w:r>
              <w:rPr>
                <w:rFonts w:cs="Arial"/>
              </w:rPr>
              <w:tab/>
              <w:t>etanercept</w:t>
            </w:r>
            <w:r>
              <w:rPr>
                <w:rFonts w:cs="Arial"/>
              </w:rPr>
              <w:br/>
            </w:r>
            <w:r>
              <w:rPr>
                <w:rFonts w:cs="Arial"/>
              </w:rPr>
              <w:tab/>
              <w:t>golimumab SC</w:t>
            </w:r>
            <w:r>
              <w:rPr>
                <w:rFonts w:cs="Arial"/>
              </w:rPr>
              <w:br/>
            </w:r>
            <w:r>
              <w:rPr>
                <w:rFonts w:cs="Arial"/>
              </w:rPr>
              <w:tab/>
              <w:t>golimumab IV</w:t>
            </w:r>
            <w:r>
              <w:rPr>
                <w:rFonts w:cs="Arial"/>
              </w:rPr>
              <w:br/>
            </w:r>
            <w:r>
              <w:rPr>
                <w:rFonts w:cs="Arial"/>
              </w:rPr>
              <w:tab/>
              <w:t>infliximab</w:t>
            </w:r>
          </w:p>
          <w:p w14:paraId="6451F8A9" w14:textId="77777777" w:rsidR="007A2398" w:rsidRDefault="007A2398" w:rsidP="00D40CF6">
            <w:pPr>
              <w:widowControl w:val="0"/>
              <w:tabs>
                <w:tab w:val="left" w:pos="1238"/>
              </w:tabs>
              <w:spacing w:before="40" w:after="40" w:line="240" w:lineRule="auto"/>
              <w:ind w:left="158"/>
              <w:rPr>
                <w:rFonts w:cs="Arial"/>
              </w:rPr>
            </w:pPr>
            <w:r>
              <w:rPr>
                <w:rFonts w:cs="Arial"/>
              </w:rPr>
              <w:t>JAKi:</w:t>
            </w:r>
            <w:r>
              <w:rPr>
                <w:rFonts w:cs="Arial"/>
              </w:rPr>
              <w:tab/>
              <w:t>baricitinib</w:t>
            </w:r>
            <w:r>
              <w:rPr>
                <w:rFonts w:cs="Arial"/>
              </w:rPr>
              <w:br/>
            </w:r>
            <w:r>
              <w:rPr>
                <w:rFonts w:cs="Arial"/>
              </w:rPr>
              <w:tab/>
              <w:t>tofacitinib</w:t>
            </w:r>
            <w:r>
              <w:rPr>
                <w:rFonts w:cs="Arial"/>
              </w:rPr>
              <w:br/>
            </w:r>
            <w:r>
              <w:rPr>
                <w:rFonts w:cs="Arial"/>
              </w:rPr>
              <w:tab/>
              <w:t>upadacitinib</w:t>
            </w:r>
          </w:p>
          <w:p w14:paraId="37BD4635" w14:textId="77777777" w:rsidR="007A2398" w:rsidRPr="005C1CC0" w:rsidRDefault="007A2398" w:rsidP="00D40CF6">
            <w:pPr>
              <w:widowControl w:val="0"/>
              <w:tabs>
                <w:tab w:val="left" w:pos="1238"/>
              </w:tabs>
              <w:spacing w:before="40" w:after="40" w:line="240" w:lineRule="auto"/>
              <w:ind w:left="158"/>
              <w:rPr>
                <w:rFonts w:cs="Arial"/>
              </w:rPr>
            </w:pPr>
            <w:r>
              <w:rPr>
                <w:rFonts w:cs="Arial"/>
              </w:rPr>
              <w:t>Non-TNFi:</w:t>
            </w:r>
            <w:r>
              <w:rPr>
                <w:rFonts w:cs="Arial"/>
              </w:rPr>
              <w:tab/>
              <w:t>abatacept</w:t>
            </w:r>
            <w:r>
              <w:rPr>
                <w:rFonts w:cs="Arial"/>
              </w:rPr>
              <w:br/>
            </w:r>
            <w:r>
              <w:rPr>
                <w:rFonts w:cs="Arial"/>
              </w:rPr>
              <w:tab/>
              <w:t>anakinra</w:t>
            </w:r>
            <w:r>
              <w:rPr>
                <w:rFonts w:cs="Arial"/>
              </w:rPr>
              <w:br/>
            </w:r>
            <w:r>
              <w:rPr>
                <w:rFonts w:cs="Arial"/>
              </w:rPr>
              <w:tab/>
              <w:t xml:space="preserve">sarilumab </w:t>
            </w:r>
            <w:r>
              <w:rPr>
                <w:rFonts w:cs="Arial"/>
              </w:rPr>
              <w:br/>
            </w:r>
            <w:r>
              <w:rPr>
                <w:rFonts w:cs="Arial"/>
              </w:rPr>
              <w:tab/>
              <w:t>tocilizumab</w:t>
            </w:r>
          </w:p>
        </w:tc>
        <w:tc>
          <w:tcPr>
            <w:tcW w:w="2295" w:type="dxa"/>
            <w:tcBorders>
              <w:left w:val="single" w:sz="1" w:space="0" w:color="000000"/>
              <w:bottom w:val="single" w:sz="1" w:space="0" w:color="000000"/>
            </w:tcBorders>
          </w:tcPr>
          <w:p w14:paraId="733B3EC9" w14:textId="77777777" w:rsidR="007A2398" w:rsidRDefault="007A2398" w:rsidP="00D40CF6">
            <w:pPr>
              <w:spacing w:before="40" w:after="40" w:line="240" w:lineRule="auto"/>
              <w:jc w:val="center"/>
            </w:pPr>
          </w:p>
          <w:p w14:paraId="42E49590" w14:textId="77777777" w:rsidR="007A2398" w:rsidRDefault="007A2398" w:rsidP="00D40CF6">
            <w:pPr>
              <w:spacing w:before="40" w:after="40" w:line="240" w:lineRule="auto"/>
              <w:jc w:val="center"/>
            </w:pPr>
            <w:r>
              <w:t>16 (42.1)</w:t>
            </w:r>
            <w:r>
              <w:br/>
              <w:t>1 (2.6)</w:t>
            </w:r>
            <w:r>
              <w:br/>
              <w:t>3 (7.9)</w:t>
            </w:r>
            <w:r>
              <w:br/>
              <w:t>1 (2.6)</w:t>
            </w:r>
            <w:r>
              <w:br/>
              <w:t>3 (7.9)</w:t>
            </w:r>
            <w:r>
              <w:br/>
              <w:t>5 (13.2)</w:t>
            </w:r>
          </w:p>
          <w:p w14:paraId="564A888F" w14:textId="77777777" w:rsidR="007A2398" w:rsidRDefault="007A2398" w:rsidP="00D40CF6">
            <w:pPr>
              <w:spacing w:before="40" w:after="40" w:line="240" w:lineRule="auto"/>
              <w:jc w:val="center"/>
            </w:pPr>
            <w:r>
              <w:t>0</w:t>
            </w:r>
            <w:r>
              <w:br/>
              <w:t>11 (29.0)</w:t>
            </w:r>
            <w:r>
              <w:br/>
              <w:t>0</w:t>
            </w:r>
          </w:p>
          <w:p w14:paraId="0465A839" w14:textId="480156AD" w:rsidR="007A2398" w:rsidRPr="005C1CC0" w:rsidRDefault="007A2398" w:rsidP="00D40CF6">
            <w:pPr>
              <w:spacing w:before="40" w:after="40" w:line="240" w:lineRule="auto"/>
              <w:jc w:val="center"/>
            </w:pPr>
            <w:r>
              <w:t>N</w:t>
            </w:r>
            <w:r w:rsidR="00C72B9E">
              <w:t>R</w:t>
            </w:r>
            <w:r w:rsidR="00C72B9E" w:rsidRPr="00BD3D47">
              <w:rPr>
                <w:vertAlign w:val="superscript"/>
              </w:rPr>
              <w:t>a</w:t>
            </w:r>
            <w:r w:rsidRPr="005C1CC0">
              <w:t xml:space="preserve"> </w:t>
            </w:r>
          </w:p>
        </w:tc>
        <w:tc>
          <w:tcPr>
            <w:tcW w:w="2295" w:type="dxa"/>
            <w:tcBorders>
              <w:left w:val="single" w:sz="1" w:space="0" w:color="000000"/>
              <w:bottom w:val="single" w:sz="1" w:space="0" w:color="000000"/>
              <w:right w:val="single" w:sz="1" w:space="0" w:color="000000"/>
            </w:tcBorders>
          </w:tcPr>
          <w:p w14:paraId="4AF3571E" w14:textId="77777777" w:rsidR="007A2398" w:rsidRDefault="007A2398" w:rsidP="00D40CF6">
            <w:pPr>
              <w:spacing w:before="40" w:after="40" w:line="240" w:lineRule="auto"/>
              <w:jc w:val="center"/>
            </w:pPr>
          </w:p>
          <w:p w14:paraId="7461ED84" w14:textId="77777777" w:rsidR="007A2398" w:rsidRDefault="007A2398" w:rsidP="00D40CF6">
            <w:pPr>
              <w:spacing w:before="40" w:after="40" w:line="240" w:lineRule="auto"/>
              <w:jc w:val="center"/>
            </w:pPr>
            <w:r>
              <w:t>31 (26.5)</w:t>
            </w:r>
            <w:r>
              <w:br/>
              <w:t>6 (5.1)</w:t>
            </w:r>
            <w:r>
              <w:br/>
              <w:t>26 (22.2)</w:t>
            </w:r>
            <w:r>
              <w:br/>
              <w:t>1 (0.9)</w:t>
            </w:r>
            <w:r>
              <w:br/>
              <w:t>8 (6.8)</w:t>
            </w:r>
            <w:r>
              <w:br/>
              <w:t>15 (12.8)</w:t>
            </w:r>
          </w:p>
          <w:p w14:paraId="6BE1D610" w14:textId="77777777" w:rsidR="007A2398" w:rsidRDefault="007A2398" w:rsidP="00D40CF6">
            <w:pPr>
              <w:spacing w:before="40" w:after="40" w:line="240" w:lineRule="auto"/>
              <w:jc w:val="center"/>
            </w:pPr>
            <w:r>
              <w:t>1 (0.9)</w:t>
            </w:r>
            <w:r>
              <w:br/>
              <w:t>21 (17.9)</w:t>
            </w:r>
            <w:r>
              <w:br/>
              <w:t>0</w:t>
            </w:r>
          </w:p>
          <w:p w14:paraId="51DE206B" w14:textId="77777777" w:rsidR="007A2398" w:rsidRDefault="007A2398" w:rsidP="00D40CF6">
            <w:pPr>
              <w:spacing w:before="40" w:after="40" w:line="240" w:lineRule="auto"/>
              <w:jc w:val="center"/>
            </w:pPr>
            <w:r>
              <w:t>20 (17.1)</w:t>
            </w:r>
            <w:r>
              <w:br/>
              <w:t>1 (0.9)</w:t>
            </w:r>
            <w:r>
              <w:br/>
              <w:t>3 (2.6)</w:t>
            </w:r>
          </w:p>
          <w:p w14:paraId="518E8568" w14:textId="77777777" w:rsidR="007A2398" w:rsidRPr="005C1CC0" w:rsidRDefault="007A2398" w:rsidP="00D40CF6">
            <w:pPr>
              <w:spacing w:before="40" w:after="40" w:line="240" w:lineRule="auto"/>
              <w:jc w:val="center"/>
            </w:pPr>
            <w:r>
              <w:t>28 (23.9)</w:t>
            </w:r>
          </w:p>
        </w:tc>
      </w:tr>
      <w:tr w:rsidR="007A2398" w:rsidRPr="008E7458" w14:paraId="7ED14073" w14:textId="77777777" w:rsidTr="00C6541D">
        <w:tc>
          <w:tcPr>
            <w:tcW w:w="8584" w:type="dxa"/>
            <w:gridSpan w:val="3"/>
            <w:tcBorders>
              <w:left w:val="single" w:sz="1" w:space="0" w:color="000000"/>
              <w:bottom w:val="single" w:sz="1" w:space="0" w:color="000000"/>
              <w:right w:val="single" w:sz="1" w:space="0" w:color="000000"/>
            </w:tcBorders>
          </w:tcPr>
          <w:p w14:paraId="2AEA6FD6" w14:textId="77777777" w:rsidR="007A2398" w:rsidRPr="008E7458" w:rsidRDefault="007A2398" w:rsidP="00D40CF6">
            <w:pPr>
              <w:spacing w:before="40" w:after="40" w:line="240" w:lineRule="auto"/>
              <w:rPr>
                <w:b/>
                <w:bCs/>
                <w:i/>
                <w:iCs/>
              </w:rPr>
            </w:pPr>
            <w:r w:rsidRPr="008E7458">
              <w:rPr>
                <w:b/>
                <w:bCs/>
                <w:i/>
                <w:iCs/>
              </w:rPr>
              <w:t>Chart</w:t>
            </w:r>
            <w:r>
              <w:rPr>
                <w:b/>
                <w:bCs/>
                <w:i/>
                <w:iCs/>
              </w:rPr>
              <w:t>/notes</w:t>
            </w:r>
            <w:r w:rsidRPr="008E7458">
              <w:rPr>
                <w:b/>
                <w:bCs/>
                <w:i/>
                <w:iCs/>
              </w:rPr>
              <w:t>-based comorbidities</w:t>
            </w:r>
          </w:p>
        </w:tc>
      </w:tr>
      <w:tr w:rsidR="007A2398" w:rsidRPr="005C1CC0" w14:paraId="0271CB76" w14:textId="77777777" w:rsidTr="00C6541D">
        <w:tc>
          <w:tcPr>
            <w:tcW w:w="3994" w:type="dxa"/>
            <w:tcBorders>
              <w:left w:val="single" w:sz="1" w:space="0" w:color="000000"/>
              <w:bottom w:val="single" w:sz="1" w:space="0" w:color="000000"/>
            </w:tcBorders>
          </w:tcPr>
          <w:p w14:paraId="3CA28891" w14:textId="77777777" w:rsidR="007A2398" w:rsidRPr="005C1CC0" w:rsidRDefault="007A2398" w:rsidP="00D40CF6">
            <w:pPr>
              <w:widowControl w:val="0"/>
              <w:spacing w:before="40" w:after="40" w:line="240" w:lineRule="auto"/>
              <w:ind w:left="158"/>
              <w:rPr>
                <w:rFonts w:cs="Arial"/>
              </w:rPr>
            </w:pPr>
            <w:r>
              <w:rPr>
                <w:rFonts w:cs="Arial"/>
              </w:rPr>
              <w:t>E</w:t>
            </w:r>
            <w:r w:rsidRPr="00C33408">
              <w:rPr>
                <w:rFonts w:cs="Arial"/>
              </w:rPr>
              <w:t>vidence of prior VTE</w:t>
            </w:r>
          </w:p>
        </w:tc>
        <w:tc>
          <w:tcPr>
            <w:tcW w:w="2295" w:type="dxa"/>
            <w:tcBorders>
              <w:left w:val="single" w:sz="1" w:space="0" w:color="000000"/>
              <w:bottom w:val="single" w:sz="1" w:space="0" w:color="000000"/>
            </w:tcBorders>
            <w:vAlign w:val="center"/>
          </w:tcPr>
          <w:p w14:paraId="425E0834" w14:textId="77777777" w:rsidR="007A2398" w:rsidRPr="005C1CC0" w:rsidRDefault="007A2398" w:rsidP="00D40CF6">
            <w:pPr>
              <w:spacing w:before="40" w:after="40" w:line="240" w:lineRule="auto"/>
              <w:jc w:val="center"/>
            </w:pPr>
            <w:r>
              <w:t>9 (23.7)</w:t>
            </w:r>
          </w:p>
        </w:tc>
        <w:tc>
          <w:tcPr>
            <w:tcW w:w="2295" w:type="dxa"/>
            <w:tcBorders>
              <w:left w:val="single" w:sz="1" w:space="0" w:color="000000"/>
              <w:bottom w:val="single" w:sz="1" w:space="0" w:color="000000"/>
              <w:right w:val="single" w:sz="1" w:space="0" w:color="000000"/>
            </w:tcBorders>
            <w:vAlign w:val="center"/>
          </w:tcPr>
          <w:p w14:paraId="2C6D9174" w14:textId="77777777" w:rsidR="007A2398" w:rsidRPr="005C1CC0" w:rsidRDefault="007A2398" w:rsidP="00D40CF6">
            <w:pPr>
              <w:spacing w:before="40" w:after="40" w:line="240" w:lineRule="auto"/>
              <w:jc w:val="center"/>
            </w:pPr>
            <w:r>
              <w:t>35 (29.9)</w:t>
            </w:r>
          </w:p>
        </w:tc>
      </w:tr>
      <w:tr w:rsidR="007A2398" w:rsidRPr="005C1CC0" w14:paraId="68D78187" w14:textId="77777777" w:rsidTr="00C6541D">
        <w:tc>
          <w:tcPr>
            <w:tcW w:w="3994" w:type="dxa"/>
            <w:tcBorders>
              <w:left w:val="single" w:sz="1" w:space="0" w:color="000000"/>
              <w:bottom w:val="single" w:sz="1" w:space="0" w:color="000000"/>
            </w:tcBorders>
          </w:tcPr>
          <w:p w14:paraId="629729CF" w14:textId="77777777" w:rsidR="007A2398" w:rsidRPr="0034582F" w:rsidRDefault="007A2398" w:rsidP="00D40CF6">
            <w:pPr>
              <w:widowControl w:val="0"/>
              <w:tabs>
                <w:tab w:val="left" w:pos="355"/>
              </w:tabs>
              <w:spacing w:before="40" w:after="40" w:line="240" w:lineRule="auto"/>
              <w:ind w:left="158"/>
            </w:pPr>
            <w:r>
              <w:t>Atrial fibrillation</w:t>
            </w:r>
          </w:p>
        </w:tc>
        <w:tc>
          <w:tcPr>
            <w:tcW w:w="2295" w:type="dxa"/>
            <w:tcBorders>
              <w:left w:val="single" w:sz="1" w:space="0" w:color="000000"/>
              <w:bottom w:val="single" w:sz="1" w:space="0" w:color="000000"/>
            </w:tcBorders>
          </w:tcPr>
          <w:p w14:paraId="5C2BD007" w14:textId="77777777" w:rsidR="007A2398" w:rsidRPr="005C1CC0" w:rsidRDefault="007A2398" w:rsidP="00D40CF6">
            <w:pPr>
              <w:spacing w:before="40" w:after="40" w:line="240" w:lineRule="auto"/>
              <w:jc w:val="center"/>
            </w:pPr>
            <w:r>
              <w:t>6 (15.8)</w:t>
            </w:r>
          </w:p>
        </w:tc>
        <w:tc>
          <w:tcPr>
            <w:tcW w:w="2295" w:type="dxa"/>
            <w:tcBorders>
              <w:left w:val="single" w:sz="1" w:space="0" w:color="000000"/>
              <w:bottom w:val="single" w:sz="1" w:space="0" w:color="000000"/>
              <w:right w:val="single" w:sz="1" w:space="0" w:color="000000"/>
            </w:tcBorders>
          </w:tcPr>
          <w:p w14:paraId="17D8879E" w14:textId="77777777" w:rsidR="007A2398" w:rsidRPr="005C1CC0" w:rsidRDefault="007A2398" w:rsidP="00D40CF6">
            <w:pPr>
              <w:spacing w:before="40" w:after="40" w:line="240" w:lineRule="auto"/>
              <w:jc w:val="center"/>
            </w:pPr>
            <w:r>
              <w:t>19 (16.2)</w:t>
            </w:r>
          </w:p>
        </w:tc>
      </w:tr>
      <w:tr w:rsidR="007A2398" w:rsidRPr="005C1CC0" w14:paraId="4C2DA236" w14:textId="77777777" w:rsidTr="00C6541D">
        <w:tc>
          <w:tcPr>
            <w:tcW w:w="3994" w:type="dxa"/>
            <w:tcBorders>
              <w:left w:val="single" w:sz="1" w:space="0" w:color="000000"/>
              <w:bottom w:val="single" w:sz="1" w:space="0" w:color="000000"/>
            </w:tcBorders>
          </w:tcPr>
          <w:p w14:paraId="2E90FCAC" w14:textId="77777777" w:rsidR="007A2398" w:rsidRPr="00741041" w:rsidRDefault="007A2398" w:rsidP="00D40CF6">
            <w:pPr>
              <w:widowControl w:val="0"/>
              <w:tabs>
                <w:tab w:val="left" w:pos="355"/>
              </w:tabs>
              <w:spacing w:before="40" w:after="40" w:line="240" w:lineRule="auto"/>
              <w:ind w:left="158"/>
            </w:pPr>
            <w:r>
              <w:t>COPD</w:t>
            </w:r>
          </w:p>
        </w:tc>
        <w:tc>
          <w:tcPr>
            <w:tcW w:w="2295" w:type="dxa"/>
            <w:tcBorders>
              <w:left w:val="single" w:sz="1" w:space="0" w:color="000000"/>
              <w:bottom w:val="single" w:sz="1" w:space="0" w:color="000000"/>
            </w:tcBorders>
          </w:tcPr>
          <w:p w14:paraId="0B3A2A27" w14:textId="77777777" w:rsidR="007A2398" w:rsidRPr="005C1CC0" w:rsidRDefault="007A2398" w:rsidP="00D40CF6">
            <w:pPr>
              <w:spacing w:before="40" w:after="40" w:line="240" w:lineRule="auto"/>
              <w:jc w:val="center"/>
            </w:pPr>
            <w:r>
              <w:t>11 (29.0)</w:t>
            </w:r>
          </w:p>
        </w:tc>
        <w:tc>
          <w:tcPr>
            <w:tcW w:w="2295" w:type="dxa"/>
            <w:tcBorders>
              <w:left w:val="single" w:sz="1" w:space="0" w:color="000000"/>
              <w:bottom w:val="single" w:sz="1" w:space="0" w:color="000000"/>
              <w:right w:val="single" w:sz="1" w:space="0" w:color="000000"/>
            </w:tcBorders>
          </w:tcPr>
          <w:p w14:paraId="516FE193" w14:textId="77777777" w:rsidR="007A2398" w:rsidRPr="005C1CC0" w:rsidRDefault="007A2398" w:rsidP="00D40CF6">
            <w:pPr>
              <w:spacing w:before="40" w:after="40" w:line="240" w:lineRule="auto"/>
              <w:jc w:val="center"/>
            </w:pPr>
            <w:r>
              <w:t>31 (26.5)</w:t>
            </w:r>
          </w:p>
        </w:tc>
      </w:tr>
      <w:tr w:rsidR="007A2398" w:rsidRPr="005C1CC0" w14:paraId="424A07F2" w14:textId="77777777" w:rsidTr="00C6541D">
        <w:tc>
          <w:tcPr>
            <w:tcW w:w="3994" w:type="dxa"/>
            <w:tcBorders>
              <w:left w:val="single" w:sz="1" w:space="0" w:color="000000"/>
              <w:bottom w:val="single" w:sz="1" w:space="0" w:color="000000"/>
            </w:tcBorders>
          </w:tcPr>
          <w:p w14:paraId="0DB4DB58" w14:textId="77777777" w:rsidR="007A2398" w:rsidRPr="00741041" w:rsidRDefault="007A2398" w:rsidP="00D40CF6">
            <w:pPr>
              <w:widowControl w:val="0"/>
              <w:tabs>
                <w:tab w:val="left" w:pos="355"/>
              </w:tabs>
              <w:spacing w:before="40" w:after="40" w:line="240" w:lineRule="auto"/>
              <w:ind w:left="158"/>
            </w:pPr>
            <w:r>
              <w:t>Hypertension</w:t>
            </w:r>
          </w:p>
        </w:tc>
        <w:tc>
          <w:tcPr>
            <w:tcW w:w="2295" w:type="dxa"/>
            <w:tcBorders>
              <w:left w:val="single" w:sz="1" w:space="0" w:color="000000"/>
              <w:bottom w:val="single" w:sz="1" w:space="0" w:color="000000"/>
            </w:tcBorders>
          </w:tcPr>
          <w:p w14:paraId="6E4F7DC2" w14:textId="77777777" w:rsidR="007A2398" w:rsidRPr="005C1CC0" w:rsidRDefault="007A2398" w:rsidP="00D40CF6">
            <w:pPr>
              <w:spacing w:before="40" w:after="40" w:line="240" w:lineRule="auto"/>
              <w:jc w:val="center"/>
            </w:pPr>
            <w:r>
              <w:t>26 (68.4)</w:t>
            </w:r>
          </w:p>
        </w:tc>
        <w:tc>
          <w:tcPr>
            <w:tcW w:w="2295" w:type="dxa"/>
            <w:tcBorders>
              <w:left w:val="single" w:sz="1" w:space="0" w:color="000000"/>
              <w:bottom w:val="single" w:sz="1" w:space="0" w:color="000000"/>
              <w:right w:val="single" w:sz="1" w:space="0" w:color="000000"/>
            </w:tcBorders>
          </w:tcPr>
          <w:p w14:paraId="7A985D8E" w14:textId="77777777" w:rsidR="007A2398" w:rsidRPr="005C1CC0" w:rsidRDefault="007A2398" w:rsidP="00D40CF6">
            <w:pPr>
              <w:spacing w:before="40" w:after="40" w:line="240" w:lineRule="auto"/>
              <w:jc w:val="center"/>
            </w:pPr>
            <w:r>
              <w:t>86 (73.5)</w:t>
            </w:r>
          </w:p>
        </w:tc>
      </w:tr>
      <w:tr w:rsidR="007A2398" w:rsidRPr="005C1CC0" w14:paraId="6EF65445" w14:textId="77777777" w:rsidTr="00C6541D">
        <w:tc>
          <w:tcPr>
            <w:tcW w:w="3994" w:type="dxa"/>
            <w:tcBorders>
              <w:left w:val="single" w:sz="1" w:space="0" w:color="000000"/>
              <w:bottom w:val="single" w:sz="1" w:space="0" w:color="000000"/>
            </w:tcBorders>
          </w:tcPr>
          <w:p w14:paraId="2D1FB664" w14:textId="77777777" w:rsidR="007A2398" w:rsidRDefault="007A2398" w:rsidP="00D40CF6">
            <w:pPr>
              <w:widowControl w:val="0"/>
              <w:tabs>
                <w:tab w:val="left" w:pos="355"/>
              </w:tabs>
              <w:spacing w:before="40" w:after="40" w:line="240" w:lineRule="auto"/>
              <w:ind w:left="158"/>
            </w:pPr>
            <w:r>
              <w:t>Cancer</w:t>
            </w:r>
          </w:p>
        </w:tc>
        <w:tc>
          <w:tcPr>
            <w:tcW w:w="2295" w:type="dxa"/>
            <w:tcBorders>
              <w:left w:val="single" w:sz="1" w:space="0" w:color="000000"/>
              <w:bottom w:val="single" w:sz="1" w:space="0" w:color="000000"/>
            </w:tcBorders>
          </w:tcPr>
          <w:p w14:paraId="34A4EE40" w14:textId="77777777" w:rsidR="007A2398" w:rsidRPr="005C1CC0" w:rsidRDefault="007A2398" w:rsidP="00D40CF6">
            <w:pPr>
              <w:spacing w:before="40" w:after="40" w:line="240" w:lineRule="auto"/>
              <w:jc w:val="center"/>
            </w:pPr>
            <w:r>
              <w:t>3 (7.9)</w:t>
            </w:r>
          </w:p>
        </w:tc>
        <w:tc>
          <w:tcPr>
            <w:tcW w:w="2295" w:type="dxa"/>
            <w:tcBorders>
              <w:left w:val="single" w:sz="1" w:space="0" w:color="000000"/>
              <w:bottom w:val="single" w:sz="1" w:space="0" w:color="000000"/>
              <w:right w:val="single" w:sz="1" w:space="0" w:color="000000"/>
            </w:tcBorders>
          </w:tcPr>
          <w:p w14:paraId="3654D183" w14:textId="77777777" w:rsidR="007A2398" w:rsidRPr="005C1CC0" w:rsidRDefault="007A2398" w:rsidP="00D40CF6">
            <w:pPr>
              <w:spacing w:before="40" w:after="40" w:line="240" w:lineRule="auto"/>
              <w:jc w:val="center"/>
            </w:pPr>
            <w:r>
              <w:t>9 (7.7)</w:t>
            </w:r>
          </w:p>
        </w:tc>
      </w:tr>
      <w:tr w:rsidR="007A2398" w:rsidRPr="005C1CC0" w14:paraId="678ACE00" w14:textId="77777777" w:rsidTr="00C6541D">
        <w:tc>
          <w:tcPr>
            <w:tcW w:w="3994" w:type="dxa"/>
            <w:tcBorders>
              <w:left w:val="single" w:sz="1" w:space="0" w:color="000000"/>
              <w:bottom w:val="single" w:sz="1" w:space="0" w:color="000000"/>
            </w:tcBorders>
          </w:tcPr>
          <w:p w14:paraId="7B0BD86B" w14:textId="77777777" w:rsidR="007A2398" w:rsidRPr="00841150" w:rsidRDefault="007A2398" w:rsidP="00D40CF6">
            <w:pPr>
              <w:widowControl w:val="0"/>
              <w:spacing w:before="40" w:after="40" w:line="240" w:lineRule="auto"/>
              <w:ind w:left="158"/>
              <w:rPr>
                <w:rFonts w:cs="Arial"/>
                <w:lang w:val="de-DE"/>
              </w:rPr>
            </w:pPr>
            <w:r w:rsidRPr="00841150">
              <w:rPr>
                <w:lang w:val="de-DE"/>
              </w:rPr>
              <w:t xml:space="preserve">Obese (BMI </w:t>
            </w:r>
            <w:r w:rsidRPr="00841150">
              <w:rPr>
                <w:rFonts w:cs="Arial"/>
                <w:lang w:val="de-DE"/>
              </w:rPr>
              <w:t>≥</w:t>
            </w:r>
            <w:r w:rsidRPr="00841150">
              <w:rPr>
                <w:lang w:val="de-DE"/>
              </w:rPr>
              <w:t>30 kg/m</w:t>
            </w:r>
            <w:r w:rsidRPr="00841150">
              <w:rPr>
                <w:vertAlign w:val="superscript"/>
                <w:lang w:val="de-DE"/>
              </w:rPr>
              <w:t>2</w:t>
            </w:r>
            <w:r w:rsidRPr="00841150">
              <w:rPr>
                <w:lang w:val="de-DE"/>
              </w:rPr>
              <w:t>)</w:t>
            </w:r>
            <w:r w:rsidRPr="00841150">
              <w:rPr>
                <w:vertAlign w:val="superscript"/>
                <w:lang w:val="de-DE"/>
              </w:rPr>
              <w:t>b</w:t>
            </w:r>
          </w:p>
        </w:tc>
        <w:tc>
          <w:tcPr>
            <w:tcW w:w="2295" w:type="dxa"/>
            <w:tcBorders>
              <w:left w:val="single" w:sz="1" w:space="0" w:color="000000"/>
              <w:bottom w:val="single" w:sz="1" w:space="0" w:color="000000"/>
            </w:tcBorders>
            <w:vAlign w:val="center"/>
          </w:tcPr>
          <w:p w14:paraId="107A7CBB" w14:textId="77777777" w:rsidR="007A2398" w:rsidRPr="005C1CC0" w:rsidRDefault="007A2398" w:rsidP="00D40CF6">
            <w:pPr>
              <w:spacing w:before="40" w:after="40" w:line="240" w:lineRule="auto"/>
              <w:jc w:val="center"/>
            </w:pPr>
            <w:r>
              <w:t>15 (42.9)</w:t>
            </w:r>
          </w:p>
        </w:tc>
        <w:tc>
          <w:tcPr>
            <w:tcW w:w="2295" w:type="dxa"/>
            <w:tcBorders>
              <w:left w:val="single" w:sz="1" w:space="0" w:color="000000"/>
              <w:bottom w:val="single" w:sz="1" w:space="0" w:color="000000"/>
              <w:right w:val="single" w:sz="1" w:space="0" w:color="000000"/>
            </w:tcBorders>
            <w:vAlign w:val="center"/>
          </w:tcPr>
          <w:p w14:paraId="460FCF26" w14:textId="77777777" w:rsidR="007A2398" w:rsidRPr="005C1CC0" w:rsidRDefault="007A2398" w:rsidP="00D40CF6">
            <w:pPr>
              <w:spacing w:before="40" w:after="40" w:line="240" w:lineRule="auto"/>
              <w:jc w:val="center"/>
            </w:pPr>
            <w:r>
              <w:t>51 (48.1)</w:t>
            </w:r>
          </w:p>
        </w:tc>
      </w:tr>
      <w:tr w:rsidR="007A2398" w:rsidRPr="005C1CC0" w14:paraId="693ACD0C" w14:textId="77777777" w:rsidTr="00C6541D">
        <w:tc>
          <w:tcPr>
            <w:tcW w:w="3994" w:type="dxa"/>
            <w:tcBorders>
              <w:left w:val="single" w:sz="1" w:space="0" w:color="000000"/>
              <w:bottom w:val="single" w:sz="1" w:space="0" w:color="000000"/>
            </w:tcBorders>
          </w:tcPr>
          <w:p w14:paraId="530DD71A" w14:textId="77777777" w:rsidR="007A2398" w:rsidRPr="005C1CC0" w:rsidRDefault="007A2398" w:rsidP="00D40CF6">
            <w:pPr>
              <w:widowControl w:val="0"/>
              <w:spacing w:before="40" w:after="40" w:line="240" w:lineRule="auto"/>
              <w:ind w:left="158"/>
              <w:rPr>
                <w:rFonts w:cs="Arial"/>
              </w:rPr>
            </w:pPr>
            <w:r w:rsidRPr="00741041">
              <w:t>Ever smoker</w:t>
            </w:r>
            <w:r w:rsidRPr="00C33408">
              <w:rPr>
                <w:vertAlign w:val="superscript"/>
              </w:rPr>
              <w:t>b</w:t>
            </w:r>
          </w:p>
        </w:tc>
        <w:tc>
          <w:tcPr>
            <w:tcW w:w="2295" w:type="dxa"/>
            <w:tcBorders>
              <w:left w:val="single" w:sz="1" w:space="0" w:color="000000"/>
              <w:bottom w:val="single" w:sz="1" w:space="0" w:color="000000"/>
            </w:tcBorders>
            <w:vAlign w:val="center"/>
          </w:tcPr>
          <w:p w14:paraId="5501D902" w14:textId="77777777" w:rsidR="007A2398" w:rsidRPr="005C1CC0" w:rsidRDefault="007A2398" w:rsidP="00D40CF6">
            <w:pPr>
              <w:spacing w:before="40" w:after="40" w:line="240" w:lineRule="auto"/>
              <w:jc w:val="center"/>
            </w:pPr>
            <w:r>
              <w:t>19 (52.8)</w:t>
            </w:r>
          </w:p>
        </w:tc>
        <w:tc>
          <w:tcPr>
            <w:tcW w:w="2295" w:type="dxa"/>
            <w:tcBorders>
              <w:left w:val="single" w:sz="1" w:space="0" w:color="000000"/>
              <w:bottom w:val="single" w:sz="1" w:space="0" w:color="000000"/>
              <w:right w:val="single" w:sz="1" w:space="0" w:color="000000"/>
            </w:tcBorders>
            <w:vAlign w:val="center"/>
          </w:tcPr>
          <w:p w14:paraId="42EF1664" w14:textId="77777777" w:rsidR="007A2398" w:rsidRPr="005C1CC0" w:rsidRDefault="007A2398" w:rsidP="00D40CF6">
            <w:pPr>
              <w:spacing w:before="40" w:after="40" w:line="240" w:lineRule="auto"/>
              <w:jc w:val="center"/>
            </w:pPr>
            <w:r>
              <w:t>63 (56.8)</w:t>
            </w:r>
          </w:p>
        </w:tc>
      </w:tr>
    </w:tbl>
    <w:p w14:paraId="0FD93395" w14:textId="77777777" w:rsidR="007A2398" w:rsidRPr="005C1CC0" w:rsidRDefault="007A2398" w:rsidP="007D252D">
      <w:pPr>
        <w:widowControl w:val="0"/>
        <w:spacing w:after="120" w:line="360" w:lineRule="auto"/>
        <w:rPr>
          <w:rFonts w:cs="Arial"/>
          <w:szCs w:val="20"/>
        </w:rPr>
      </w:pPr>
    </w:p>
    <w:p w14:paraId="1A9C9606" w14:textId="4812BD0B" w:rsidR="007A2398" w:rsidRPr="00281575" w:rsidRDefault="007A2398" w:rsidP="007D252D">
      <w:pPr>
        <w:spacing w:after="120" w:line="360" w:lineRule="auto"/>
        <w:rPr>
          <w:rFonts w:eastAsiaTheme="minorHAnsi" w:cs="Arial"/>
          <w:szCs w:val="20"/>
        </w:rPr>
      </w:pPr>
      <w:r w:rsidRPr="005C1CC0">
        <w:rPr>
          <w:b/>
        </w:rPr>
        <w:t>Notes:</w:t>
      </w:r>
      <w:r w:rsidRPr="005C1CC0">
        <w:t xml:space="preserve"> </w:t>
      </w:r>
      <w:r>
        <w:t xml:space="preserve">Data represent mean (SD) for continuous variables and n (%) for categorical variables. </w:t>
      </w:r>
      <w:r w:rsidRPr="00281575">
        <w:rPr>
          <w:vertAlign w:val="superscript"/>
        </w:rPr>
        <w:t>a</w:t>
      </w:r>
      <w:r w:rsidRPr="00281575">
        <w:rPr>
          <w:rFonts w:eastAsiaTheme="minorHAnsi" w:cs="Arial"/>
          <w:szCs w:val="20"/>
        </w:rPr>
        <w:t xml:space="preserve">Claims for </w:t>
      </w:r>
      <w:r w:rsidR="00C72B9E">
        <w:rPr>
          <w:rFonts w:eastAsiaTheme="minorHAnsi" w:cs="Arial"/>
          <w:szCs w:val="20"/>
        </w:rPr>
        <w:t xml:space="preserve">non-TNFi </w:t>
      </w:r>
      <w:r>
        <w:rPr>
          <w:rFonts w:eastAsiaTheme="minorHAnsi" w:cs="Arial"/>
          <w:szCs w:val="20"/>
        </w:rPr>
        <w:t>RA therapies</w:t>
      </w:r>
      <w:r w:rsidRPr="00281575">
        <w:rPr>
          <w:rFonts w:eastAsiaTheme="minorHAnsi" w:cs="Arial"/>
          <w:szCs w:val="20"/>
        </w:rPr>
        <w:t xml:space="preserve"> were not reported in ORD Cohort 1</w:t>
      </w:r>
      <w:r>
        <w:rPr>
          <w:rFonts w:eastAsiaTheme="minorHAnsi" w:cs="Arial"/>
          <w:szCs w:val="20"/>
        </w:rPr>
        <w:t>.</w:t>
      </w:r>
      <w:r w:rsidR="008027AC">
        <w:rPr>
          <w:rFonts w:eastAsiaTheme="minorHAnsi" w:cs="Arial"/>
          <w:szCs w:val="20"/>
        </w:rPr>
        <w:t xml:space="preserve"> </w:t>
      </w:r>
      <w:r w:rsidR="008027AC" w:rsidRPr="00281575">
        <w:rPr>
          <w:rFonts w:cs="Arial"/>
          <w:szCs w:val="20"/>
          <w:vertAlign w:val="superscript"/>
        </w:rPr>
        <w:t>b</w:t>
      </w:r>
      <w:r w:rsidR="008027AC" w:rsidRPr="00281575">
        <w:rPr>
          <w:rFonts w:cs="Arial"/>
          <w:szCs w:val="20"/>
        </w:rPr>
        <w:t xml:space="preserve">Denominator varies </w:t>
      </w:r>
      <w:r w:rsidR="005E006C">
        <w:rPr>
          <w:rFonts w:cs="Arial"/>
          <w:szCs w:val="20"/>
        </w:rPr>
        <w:t>because of</w:t>
      </w:r>
      <w:r w:rsidR="008027AC" w:rsidRPr="00281575">
        <w:rPr>
          <w:rFonts w:cs="Arial"/>
          <w:szCs w:val="20"/>
        </w:rPr>
        <w:t xml:space="preserve"> missing data.</w:t>
      </w:r>
    </w:p>
    <w:p w14:paraId="0434352E" w14:textId="6A6217A4" w:rsidR="007A2398" w:rsidRPr="00BF2019" w:rsidRDefault="007A2398" w:rsidP="007D252D">
      <w:pPr>
        <w:widowControl w:val="0"/>
        <w:spacing w:after="120" w:line="360" w:lineRule="auto"/>
        <w:rPr>
          <w:rFonts w:cs="Arial"/>
          <w:szCs w:val="20"/>
        </w:rPr>
      </w:pPr>
      <w:r w:rsidRPr="005C1CC0">
        <w:rPr>
          <w:rFonts w:cs="Arial"/>
          <w:b/>
          <w:szCs w:val="20"/>
        </w:rPr>
        <w:lastRenderedPageBreak/>
        <w:t>Abbreviations:</w:t>
      </w:r>
      <w:r w:rsidRPr="005C1CC0">
        <w:rPr>
          <w:rFonts w:cs="Arial"/>
          <w:szCs w:val="20"/>
        </w:rPr>
        <w:t xml:space="preserve"> </w:t>
      </w:r>
      <w:r>
        <w:rPr>
          <w:rFonts w:cs="Arial"/>
          <w:szCs w:val="20"/>
        </w:rPr>
        <w:t xml:space="preserve">BMI, body mass index; COPD, chronic obstructive pulmonary disease; IV, intravenous; </w:t>
      </w:r>
      <w:r w:rsidRPr="00313FC0">
        <w:t>JAKi</w:t>
      </w:r>
      <w:r>
        <w:t>,</w:t>
      </w:r>
      <w:r w:rsidRPr="00313FC0">
        <w:t xml:space="preserve"> Janus kinase inhibitor</w:t>
      </w:r>
      <w:r>
        <w:t>;</w:t>
      </w:r>
      <w:r w:rsidRPr="00313FC0">
        <w:t xml:space="preserve"> </w:t>
      </w:r>
      <w:r>
        <w:t>N</w:t>
      </w:r>
      <w:r w:rsidR="008027AC">
        <w:t>R</w:t>
      </w:r>
      <w:r>
        <w:t xml:space="preserve">, not </w:t>
      </w:r>
      <w:r w:rsidR="005E006C">
        <w:t>reported</w:t>
      </w:r>
      <w:r>
        <w:t xml:space="preserve">; ORD, Optum Research Database; </w:t>
      </w:r>
      <w:r w:rsidRPr="00313FC0">
        <w:t>RA</w:t>
      </w:r>
      <w:r>
        <w:t>,</w:t>
      </w:r>
      <w:r w:rsidRPr="00313FC0">
        <w:t xml:space="preserve"> rheumatoid arthritis</w:t>
      </w:r>
      <w:r>
        <w:t>;</w:t>
      </w:r>
      <w:r w:rsidRPr="00313FC0">
        <w:t xml:space="preserve"> </w:t>
      </w:r>
      <w:r>
        <w:t xml:space="preserve">SC, subcutaneous; SD, standard deviation; </w:t>
      </w:r>
      <w:r w:rsidRPr="00313FC0">
        <w:t>TNFi</w:t>
      </w:r>
      <w:r>
        <w:t>,</w:t>
      </w:r>
      <w:r w:rsidRPr="00313FC0">
        <w:t xml:space="preserve"> tumor necrosis factor inhibitor</w:t>
      </w:r>
      <w:r>
        <w:t>; VTE, venous thromboembolism.</w:t>
      </w:r>
      <w:r w:rsidRPr="00167A5E">
        <w:rPr>
          <w:rFonts w:cs="Arial"/>
          <w:b/>
          <w:bCs/>
        </w:rPr>
        <w:t xml:space="preserve"> </w:t>
      </w:r>
      <w:r>
        <w:rPr>
          <w:rFonts w:cs="Arial"/>
          <w:b/>
          <w:bCs/>
        </w:rPr>
        <w:br w:type="page"/>
      </w:r>
    </w:p>
    <w:p w14:paraId="61E8E6BF" w14:textId="5031D767" w:rsidR="007A2398" w:rsidRPr="0052716E" w:rsidRDefault="007A2398" w:rsidP="007D252D">
      <w:pPr>
        <w:widowControl w:val="0"/>
        <w:spacing w:after="120" w:line="360" w:lineRule="auto"/>
        <w:rPr>
          <w:rFonts w:cs="Arial"/>
        </w:rPr>
      </w:pPr>
      <w:bookmarkStart w:id="4" w:name="_Hlk127380661"/>
      <w:bookmarkStart w:id="5" w:name="_Hlk116999370"/>
      <w:r>
        <w:rPr>
          <w:rFonts w:cs="Arial"/>
          <w:b/>
          <w:bCs/>
        </w:rPr>
        <w:lastRenderedPageBreak/>
        <w:t>Supplementa</w:t>
      </w:r>
      <w:r w:rsidR="00C72B9E">
        <w:rPr>
          <w:rFonts w:cs="Arial"/>
          <w:b/>
          <w:bCs/>
        </w:rPr>
        <w:t>ry</w:t>
      </w:r>
      <w:r>
        <w:rPr>
          <w:rFonts w:cs="Arial"/>
          <w:b/>
          <w:bCs/>
        </w:rPr>
        <w:t xml:space="preserve"> </w:t>
      </w:r>
      <w:r w:rsidRPr="005C1CC0">
        <w:rPr>
          <w:rFonts w:cs="Arial"/>
          <w:b/>
          <w:bCs/>
        </w:rPr>
        <w:t xml:space="preserve">Figure </w:t>
      </w:r>
      <w:r>
        <w:rPr>
          <w:rFonts w:cs="Arial"/>
          <w:b/>
          <w:bCs/>
        </w:rPr>
        <w:t>1</w:t>
      </w:r>
      <w:r w:rsidRPr="005C1CC0">
        <w:rPr>
          <w:rFonts w:cs="Arial"/>
        </w:rPr>
        <w:t xml:space="preserve"> </w:t>
      </w:r>
      <w:r>
        <w:rPr>
          <w:rFonts w:cs="Arial"/>
        </w:rPr>
        <w:t>Patient attrition and samples for performance evaluation of VTE case definitions.</w:t>
      </w:r>
      <w:bookmarkEnd w:id="4"/>
    </w:p>
    <w:p w14:paraId="3EE920B4" w14:textId="77777777" w:rsidR="007A2398" w:rsidRPr="005C1CC0" w:rsidRDefault="007A2398" w:rsidP="007A2398">
      <w:pPr>
        <w:widowControl w:val="0"/>
      </w:pPr>
      <w:r>
        <w:rPr>
          <w:noProof/>
        </w:rPr>
        <w:drawing>
          <wp:inline distT="0" distB="0" distL="0" distR="0" wp14:anchorId="2C8834AD" wp14:editId="00599483">
            <wp:extent cx="5486400" cy="7512469"/>
            <wp:effectExtent l="0" t="0" r="0" b="0"/>
            <wp:docPr id="7" name="Picture 7"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ime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7512469"/>
                    </a:xfrm>
                    <a:prstGeom prst="rect">
                      <a:avLst/>
                    </a:prstGeom>
                    <a:noFill/>
                  </pic:spPr>
                </pic:pic>
              </a:graphicData>
            </a:graphic>
          </wp:inline>
        </w:drawing>
      </w:r>
    </w:p>
    <w:bookmarkEnd w:id="5"/>
    <w:p w14:paraId="109861C6" w14:textId="77777777" w:rsidR="007A2398" w:rsidRDefault="007A2398" w:rsidP="007D252D">
      <w:pPr>
        <w:spacing w:after="120" w:line="360" w:lineRule="auto"/>
      </w:pPr>
      <w:r>
        <w:rPr>
          <w:b/>
          <w:bCs/>
        </w:rPr>
        <w:lastRenderedPageBreak/>
        <w:t>Notes:</w:t>
      </w:r>
      <w:r>
        <w:t xml:space="preserve"> </w:t>
      </w:r>
      <w:r w:rsidRPr="00BA79DB">
        <w:rPr>
          <w:vertAlign w:val="superscript"/>
        </w:rPr>
        <w:t>a</w:t>
      </w:r>
      <w:r>
        <w:t xml:space="preserve">TNFi therapy included adalimumab, certolizumab pegol, etanercept, golimumab, or infliximab. </w:t>
      </w:r>
      <w:r w:rsidRPr="00BA79DB">
        <w:rPr>
          <w:vertAlign w:val="superscript"/>
        </w:rPr>
        <w:t>b</w:t>
      </w:r>
      <w:r>
        <w:t xml:space="preserve">JAKi therapy included baricitinib, tofacitinib, or upadacitinib. </w:t>
      </w:r>
      <w:r w:rsidRPr="00BA79DB">
        <w:rPr>
          <w:vertAlign w:val="superscript"/>
        </w:rPr>
        <w:t>c</w:t>
      </w:r>
      <w:r>
        <w:t xml:space="preserve">Non-TNFi therapy included abatacept, anakinra, tocilizumab, or sarilumab. </w:t>
      </w:r>
      <w:r w:rsidRPr="00BA79DB">
        <w:rPr>
          <w:vertAlign w:val="superscript"/>
        </w:rPr>
        <w:t>d</w:t>
      </w:r>
      <w:r>
        <w:t xml:space="preserve">With patient and provider identifiable information available to support medical chart identification and abstraction. </w:t>
      </w:r>
      <w:r w:rsidRPr="00BA79DB">
        <w:rPr>
          <w:vertAlign w:val="superscript"/>
        </w:rPr>
        <w:t>e</w:t>
      </w:r>
      <w:r>
        <w:t xml:space="preserve">Patients with </w:t>
      </w:r>
      <w:r w:rsidRPr="004826A5">
        <w:t>no missing insurance information</w:t>
      </w:r>
      <w:r>
        <w:t>,</w:t>
      </w:r>
      <w:r w:rsidRPr="004826A5">
        <w:t xml:space="preserve"> with partner claims or </w:t>
      </w:r>
      <w:r>
        <w:t xml:space="preserve">administrative service only, and with provider(s) who had contributed free-text clinical notes within the 3-month observation period in an EHR database that could be extracted and redacted for abstraction. </w:t>
      </w:r>
      <w:r>
        <w:rPr>
          <w:vertAlign w:val="superscript"/>
        </w:rPr>
        <w:t>f</w:t>
      </w:r>
      <w:r>
        <w:t xml:space="preserve">Exclusion of patients with </w:t>
      </w:r>
      <w:r>
        <w:rPr>
          <w:rFonts w:cs="Arial"/>
        </w:rPr>
        <w:t>≥</w:t>
      </w:r>
      <w:r>
        <w:t xml:space="preserve">1 claim for </w:t>
      </w:r>
      <w:r w:rsidRPr="00E11BBA">
        <w:t>AC</w:t>
      </w:r>
      <w:r>
        <w:t xml:space="preserve"> therapy (</w:t>
      </w:r>
      <w:r w:rsidRPr="00F35C83">
        <w:t>apixaban, dabigatran, dalteparin, edoxaban, enoxaparin, fondaparinux, rivaroxaban, tinzaparin, and warfarin</w:t>
      </w:r>
      <w:r>
        <w:t>) prescribed before the VTE qualifying event and with a runout date that overlaps with the VTE qualifying ED.</w:t>
      </w:r>
    </w:p>
    <w:p w14:paraId="40EBAE3D" w14:textId="77777777" w:rsidR="007A2398" w:rsidRPr="00313FC0" w:rsidRDefault="007A2398" w:rsidP="007D252D">
      <w:pPr>
        <w:spacing w:after="120" w:line="360" w:lineRule="auto"/>
      </w:pPr>
      <w:r>
        <w:rPr>
          <w:b/>
          <w:bCs/>
        </w:rPr>
        <w:t>Abbreviations:</w:t>
      </w:r>
      <w:r>
        <w:t xml:space="preserve"> AC, anticoagulant; ED, event date; EHR, electronic health record; </w:t>
      </w:r>
      <w:r w:rsidRPr="00313FC0">
        <w:t>JAKi</w:t>
      </w:r>
      <w:r>
        <w:t>,</w:t>
      </w:r>
      <w:r w:rsidRPr="00313FC0">
        <w:t xml:space="preserve"> Janus kinase inhibitor</w:t>
      </w:r>
      <w:r>
        <w:t>;</w:t>
      </w:r>
      <w:r w:rsidRPr="00313FC0">
        <w:t xml:space="preserve"> </w:t>
      </w:r>
      <w:r>
        <w:t xml:space="preserve">ORD, Optum Research Database; </w:t>
      </w:r>
      <w:r w:rsidRPr="00313FC0">
        <w:t>RA</w:t>
      </w:r>
      <w:r>
        <w:t>,</w:t>
      </w:r>
      <w:r w:rsidRPr="00313FC0">
        <w:t xml:space="preserve"> rheumatoid arthritis</w:t>
      </w:r>
      <w:r>
        <w:t>;</w:t>
      </w:r>
      <w:r w:rsidRPr="00313FC0">
        <w:t xml:space="preserve"> TNFi</w:t>
      </w:r>
      <w:r>
        <w:t>,</w:t>
      </w:r>
      <w:r w:rsidRPr="00313FC0">
        <w:t xml:space="preserve"> tumor necrosis factor inhibitor</w:t>
      </w:r>
      <w:r>
        <w:t>;</w:t>
      </w:r>
      <w:r w:rsidRPr="00313FC0">
        <w:t xml:space="preserve"> VTE</w:t>
      </w:r>
      <w:r>
        <w:t>,</w:t>
      </w:r>
      <w:r w:rsidRPr="00313FC0">
        <w:t xml:space="preserve"> venous </w:t>
      </w:r>
      <w:r>
        <w:t>thromboembolism</w:t>
      </w:r>
      <w:r w:rsidRPr="00313FC0">
        <w:t>.</w:t>
      </w:r>
    </w:p>
    <w:p w14:paraId="19F16E91" w14:textId="77777777" w:rsidR="001B7364" w:rsidRDefault="001B7364" w:rsidP="007D252D">
      <w:pPr>
        <w:spacing w:after="120" w:line="360" w:lineRule="auto"/>
      </w:pPr>
    </w:p>
    <w:sectPr w:rsidR="001B7364" w:rsidSect="00EA5C6B">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AA2E" w14:textId="77777777" w:rsidR="00355B98" w:rsidRDefault="00355B98" w:rsidP="00AE5E8A">
      <w:pPr>
        <w:spacing w:line="240" w:lineRule="auto"/>
      </w:pPr>
      <w:r>
        <w:separator/>
      </w:r>
    </w:p>
  </w:endnote>
  <w:endnote w:type="continuationSeparator" w:id="0">
    <w:p w14:paraId="77B8ED42" w14:textId="77777777" w:rsidR="00355B98" w:rsidRDefault="00355B98" w:rsidP="00AE5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CAB7" w14:textId="77777777" w:rsidR="00035843" w:rsidRDefault="00035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5DE1" w14:textId="13EC77D6" w:rsidR="00AE5E8A" w:rsidRDefault="00035843" w:rsidP="00AE5E8A">
    <w:pPr>
      <w:pStyle w:val="Footer"/>
      <w:jc w:val="center"/>
    </w:pPr>
    <w:r>
      <w:rPr>
        <w:noProof/>
        <w14:ligatures w14:val="standardContextual"/>
      </w:rPr>
      <mc:AlternateContent>
        <mc:Choice Requires="wps">
          <w:drawing>
            <wp:anchor distT="0" distB="0" distL="114300" distR="114300" simplePos="0" relativeHeight="251659264" behindDoc="0" locked="0" layoutInCell="0" allowOverlap="1" wp14:anchorId="71BE1785" wp14:editId="2E70DB1E">
              <wp:simplePos x="0" y="0"/>
              <wp:positionH relativeFrom="page">
                <wp:align>left</wp:align>
              </wp:positionH>
              <wp:positionV relativeFrom="page">
                <wp:align>bottom</wp:align>
              </wp:positionV>
              <wp:extent cx="7772400" cy="454025"/>
              <wp:effectExtent l="0" t="0" r="0" b="3175"/>
              <wp:wrapNone/>
              <wp:docPr id="1" name="MSIPCM8c234c84afc73e1ede9198f6"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351210" w14:textId="3C6279E5" w:rsidR="00035843" w:rsidRPr="00035843" w:rsidRDefault="00035843" w:rsidP="00035843">
                          <w:pPr>
                            <w:rPr>
                              <w:rFonts w:ascii="Rockwell" w:hAnsi="Rockwell"/>
                              <w:color w:val="0078D7"/>
                              <w:sz w:val="18"/>
                            </w:rPr>
                          </w:pPr>
                          <w:r w:rsidRPr="00035843">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1BE1785" id="_x0000_t202" coordsize="21600,21600" o:spt="202" path="m,l,21600r21600,l21600,xe">
              <v:stroke joinstyle="miter"/>
              <v:path gradientshapeok="t" o:connecttype="rect"/>
            </v:shapetype>
            <v:shape id="MSIPCM8c234c84afc73e1ede9198f6" o:spid="_x0000_s1026" type="#_x0000_t202" alt="{&quot;HashCode&quot;:-1348403003,&quot;Height&quot;:9999999.0,&quot;Width&quot;:9999999.0,&quot;Placement&quot;:&quot;Footer&quot;,&quot;Index&quot;:&quot;Primary&quot;,&quot;Section&quot;:1,&quot;Top&quot;:0.0,&quot;Left&quot;:0.0}" style="position:absolute;left:0;text-align:left;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4D351210" w14:textId="3C6279E5" w:rsidR="00035843" w:rsidRPr="00035843" w:rsidRDefault="00035843" w:rsidP="00035843">
                    <w:pPr>
                      <w:rPr>
                        <w:rFonts w:ascii="Rockwell" w:hAnsi="Rockwell"/>
                        <w:color w:val="0078D7"/>
                        <w:sz w:val="18"/>
                      </w:rPr>
                    </w:pPr>
                    <w:r w:rsidRPr="00035843">
                      <w:rPr>
                        <w:rFonts w:ascii="Rockwell" w:hAnsi="Rockwell"/>
                        <w:color w:val="0078D7"/>
                        <w:sz w:val="18"/>
                      </w:rPr>
                      <w:t>Information Classification: General</w:t>
                    </w:r>
                  </w:p>
                </w:txbxContent>
              </v:textbox>
              <w10:wrap anchorx="page" anchory="page"/>
            </v:shape>
          </w:pict>
        </mc:Fallback>
      </mc:AlternateContent>
    </w:r>
    <w:sdt>
      <w:sdtPr>
        <w:id w:val="-1740234562"/>
        <w:docPartObj>
          <w:docPartGallery w:val="Page Numbers (Bottom of Page)"/>
          <w:docPartUnique/>
        </w:docPartObj>
      </w:sdtPr>
      <w:sdtEndPr>
        <w:rPr>
          <w:noProof/>
        </w:rPr>
      </w:sdtEndPr>
      <w:sdtContent>
        <w:r w:rsidR="00AE5E8A">
          <w:fldChar w:fldCharType="begin"/>
        </w:r>
        <w:r w:rsidR="00AE5E8A">
          <w:instrText xml:space="preserve"> PAGE   \* MERGEFORMAT </w:instrText>
        </w:r>
        <w:r w:rsidR="00AE5E8A">
          <w:fldChar w:fldCharType="separate"/>
        </w:r>
        <w:r w:rsidR="00AE5E8A">
          <w:rPr>
            <w:noProof/>
          </w:rPr>
          <w:t>2</w:t>
        </w:r>
        <w:r w:rsidR="00AE5E8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6B08" w14:textId="77777777" w:rsidR="00035843" w:rsidRDefault="0003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8307" w14:textId="77777777" w:rsidR="00355B98" w:rsidRDefault="00355B98" w:rsidP="00AE5E8A">
      <w:pPr>
        <w:spacing w:line="240" w:lineRule="auto"/>
      </w:pPr>
      <w:r>
        <w:separator/>
      </w:r>
    </w:p>
  </w:footnote>
  <w:footnote w:type="continuationSeparator" w:id="0">
    <w:p w14:paraId="7B3535DA" w14:textId="77777777" w:rsidR="00355B98" w:rsidRDefault="00355B98" w:rsidP="00AE5E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4E82" w14:textId="77777777" w:rsidR="00035843" w:rsidRDefault="00035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8731" w14:textId="77777777" w:rsidR="00035843" w:rsidRDefault="00035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E739" w14:textId="77777777" w:rsidR="00035843" w:rsidRDefault="00035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98"/>
    <w:rsid w:val="00035843"/>
    <w:rsid w:val="00131C68"/>
    <w:rsid w:val="001B7364"/>
    <w:rsid w:val="001F1420"/>
    <w:rsid w:val="00200C7C"/>
    <w:rsid w:val="0025670C"/>
    <w:rsid w:val="002642D3"/>
    <w:rsid w:val="002B09C5"/>
    <w:rsid w:val="00355B98"/>
    <w:rsid w:val="003D001E"/>
    <w:rsid w:val="005E006C"/>
    <w:rsid w:val="00634847"/>
    <w:rsid w:val="007A2398"/>
    <w:rsid w:val="007A6EB3"/>
    <w:rsid w:val="007D252D"/>
    <w:rsid w:val="008027AC"/>
    <w:rsid w:val="00894103"/>
    <w:rsid w:val="009E2423"/>
    <w:rsid w:val="00A063DB"/>
    <w:rsid w:val="00AC0EBD"/>
    <w:rsid w:val="00AE5E8A"/>
    <w:rsid w:val="00B1416A"/>
    <w:rsid w:val="00C72B9E"/>
    <w:rsid w:val="00CC309D"/>
    <w:rsid w:val="00CE6510"/>
    <w:rsid w:val="00CF7C67"/>
    <w:rsid w:val="00D40CF6"/>
    <w:rsid w:val="00EE0FC8"/>
    <w:rsid w:val="00EF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86375"/>
  <w15:chartTrackingRefBased/>
  <w15:docId w15:val="{17AC2CDC-9D98-450B-A8DA-ECC72008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98"/>
    <w:pPr>
      <w:spacing w:after="0" w:line="480" w:lineRule="auto"/>
    </w:pPr>
    <w:rPr>
      <w:rFonts w:ascii="Arial" w:eastAsia="Times New Roman" w:hAnsi="Arial" w:cs="Times New Roman"/>
      <w:kern w:val="0"/>
      <w:sz w:val="20"/>
      <w:szCs w:val="24"/>
      <w14:ligatures w14:val="none"/>
    </w:rPr>
  </w:style>
  <w:style w:type="paragraph" w:styleId="Heading1">
    <w:name w:val="heading 1"/>
    <w:basedOn w:val="Normal"/>
    <w:next w:val="Normal"/>
    <w:link w:val="Heading1Char"/>
    <w:qFormat/>
    <w:rsid w:val="007A239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A239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7A239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398"/>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7A2398"/>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7A2398"/>
    <w:rPr>
      <w:rFonts w:ascii="Arial" w:eastAsia="Times New Roman" w:hAnsi="Arial" w:cs="Arial"/>
      <w:b/>
      <w:bCs/>
      <w:kern w:val="0"/>
      <w:sz w:val="26"/>
      <w:szCs w:val="26"/>
      <w14:ligatures w14:val="none"/>
    </w:rPr>
  </w:style>
  <w:style w:type="character" w:styleId="LineNumber">
    <w:name w:val="line number"/>
    <w:basedOn w:val="DefaultParagraphFont"/>
    <w:uiPriority w:val="99"/>
    <w:semiHidden/>
    <w:unhideWhenUsed/>
    <w:rsid w:val="007A2398"/>
  </w:style>
  <w:style w:type="paragraph" w:styleId="Header">
    <w:name w:val="header"/>
    <w:basedOn w:val="Normal"/>
    <w:link w:val="HeaderChar"/>
    <w:uiPriority w:val="99"/>
    <w:unhideWhenUsed/>
    <w:rsid w:val="00AE5E8A"/>
    <w:pPr>
      <w:tabs>
        <w:tab w:val="center" w:pos="4680"/>
        <w:tab w:val="right" w:pos="9360"/>
      </w:tabs>
      <w:spacing w:line="240" w:lineRule="auto"/>
    </w:pPr>
  </w:style>
  <w:style w:type="character" w:customStyle="1" w:styleId="HeaderChar">
    <w:name w:val="Header Char"/>
    <w:basedOn w:val="DefaultParagraphFont"/>
    <w:link w:val="Header"/>
    <w:uiPriority w:val="99"/>
    <w:rsid w:val="00AE5E8A"/>
    <w:rPr>
      <w:rFonts w:ascii="Arial" w:eastAsia="Times New Roman" w:hAnsi="Arial" w:cs="Times New Roman"/>
      <w:kern w:val="0"/>
      <w:sz w:val="20"/>
      <w:szCs w:val="24"/>
      <w14:ligatures w14:val="none"/>
    </w:rPr>
  </w:style>
  <w:style w:type="paragraph" w:styleId="Footer">
    <w:name w:val="footer"/>
    <w:basedOn w:val="Normal"/>
    <w:link w:val="FooterChar"/>
    <w:uiPriority w:val="99"/>
    <w:unhideWhenUsed/>
    <w:rsid w:val="00AE5E8A"/>
    <w:pPr>
      <w:tabs>
        <w:tab w:val="center" w:pos="4680"/>
        <w:tab w:val="right" w:pos="9360"/>
      </w:tabs>
      <w:spacing w:line="240" w:lineRule="auto"/>
    </w:pPr>
  </w:style>
  <w:style w:type="character" w:customStyle="1" w:styleId="FooterChar">
    <w:name w:val="Footer Char"/>
    <w:basedOn w:val="DefaultParagraphFont"/>
    <w:link w:val="Footer"/>
    <w:uiPriority w:val="99"/>
    <w:rsid w:val="00AE5E8A"/>
    <w:rPr>
      <w:rFonts w:ascii="Arial" w:eastAsia="Times New Roman" w:hAnsi="Arial" w:cs="Times New Roman"/>
      <w:kern w:val="0"/>
      <w:sz w:val="20"/>
      <w:szCs w:val="24"/>
      <w14:ligatures w14:val="none"/>
    </w:rPr>
  </w:style>
  <w:style w:type="paragraph" w:styleId="Revision">
    <w:name w:val="Revision"/>
    <w:hidden/>
    <w:uiPriority w:val="99"/>
    <w:semiHidden/>
    <w:rsid w:val="001F1420"/>
    <w:pPr>
      <w:spacing w:after="0" w:line="240" w:lineRule="auto"/>
    </w:pPr>
    <w:rPr>
      <w:rFonts w:ascii="Arial" w:eastAsia="Times New Roman" w:hAnsi="Arial" w:cs="Times New Roman"/>
      <w:kern w:val="0"/>
      <w:sz w:val="20"/>
      <w:szCs w:val="24"/>
      <w14:ligatures w14:val="none"/>
    </w:rPr>
  </w:style>
  <w:style w:type="character" w:styleId="CommentReference">
    <w:name w:val="annotation reference"/>
    <w:basedOn w:val="DefaultParagraphFont"/>
    <w:uiPriority w:val="99"/>
    <w:semiHidden/>
    <w:unhideWhenUsed/>
    <w:rsid w:val="001F1420"/>
    <w:rPr>
      <w:sz w:val="16"/>
      <w:szCs w:val="16"/>
    </w:rPr>
  </w:style>
  <w:style w:type="paragraph" w:styleId="CommentText">
    <w:name w:val="annotation text"/>
    <w:basedOn w:val="Normal"/>
    <w:link w:val="CommentTextChar"/>
    <w:uiPriority w:val="99"/>
    <w:semiHidden/>
    <w:unhideWhenUsed/>
    <w:rsid w:val="001F1420"/>
    <w:pPr>
      <w:spacing w:line="240" w:lineRule="auto"/>
    </w:pPr>
    <w:rPr>
      <w:szCs w:val="20"/>
    </w:rPr>
  </w:style>
  <w:style w:type="character" w:customStyle="1" w:styleId="CommentTextChar">
    <w:name w:val="Comment Text Char"/>
    <w:basedOn w:val="DefaultParagraphFont"/>
    <w:link w:val="CommentText"/>
    <w:uiPriority w:val="99"/>
    <w:semiHidden/>
    <w:rsid w:val="001F1420"/>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1420"/>
    <w:rPr>
      <w:b/>
      <w:bCs/>
    </w:rPr>
  </w:style>
  <w:style w:type="character" w:customStyle="1" w:styleId="CommentSubjectChar">
    <w:name w:val="Comment Subject Char"/>
    <w:basedOn w:val="CommentTextChar"/>
    <w:link w:val="CommentSubject"/>
    <w:uiPriority w:val="99"/>
    <w:semiHidden/>
    <w:rsid w:val="001F1420"/>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2064e-040c-41ef-a3b7-6ddd5940dc82">
      <Terms xmlns="http://schemas.microsoft.com/office/infopath/2007/PartnerControls"/>
    </lcf76f155ced4ddcb4097134ff3c332f>
    <DateTime xmlns="5932064e-040c-41ef-a3b7-6ddd5940dc82" xsi:nil="true"/>
    <TaxCatchAll xmlns="7127645d-ceb2-48b0-ab7d-2452cd852dd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DA7E8F157E743B902383EB5236960" ma:contentTypeVersion="16" ma:contentTypeDescription="Create a new document." ma:contentTypeScope="" ma:versionID="ce9299256dedaa2e916921bfba489f48">
  <xsd:schema xmlns:xsd="http://www.w3.org/2001/XMLSchema" xmlns:xs="http://www.w3.org/2001/XMLSchema" xmlns:p="http://schemas.microsoft.com/office/2006/metadata/properties" xmlns:ns2="5932064e-040c-41ef-a3b7-6ddd5940dc82" xmlns:ns3="7127645d-ceb2-48b0-ab7d-2452cd852dd2" targetNamespace="http://schemas.microsoft.com/office/2006/metadata/properties" ma:root="true" ma:fieldsID="847c8dd6f09a0a244732349fe18d9775" ns2:_="" ns3:_="">
    <xsd:import namespace="5932064e-040c-41ef-a3b7-6ddd5940dc82"/>
    <xsd:import namespace="7127645d-ceb2-48b0-ab7d-2452cd852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Date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2064e-040c-41ef-a3b7-6ddd5940d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DateTime" ma:index="19" nillable="true" ma:displayName="Date &amp; Time" ma:format="DateTime" ma:internalName="DateTime">
      <xsd:simpleType>
        <xsd:restriction base="dms:DateTim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65b880-47b9-40fd-8a89-121c3681de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27645d-ceb2-48b0-ab7d-2452cd852d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af2691-4a72-4de0-b409-5250094091e5}" ma:internalName="TaxCatchAll" ma:showField="CatchAllData" ma:web="7127645d-ceb2-48b0-ab7d-2452cd852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2E81A-1F4B-494C-86F4-FD99CF35152C}">
  <ds:schemaRefs>
    <ds:schemaRef ds:uri="http://schemas.microsoft.com/office/2006/metadata/properties"/>
    <ds:schemaRef ds:uri="http://schemas.microsoft.com/office/infopath/2007/PartnerControls"/>
    <ds:schemaRef ds:uri="5932064e-040c-41ef-a3b7-6ddd5940dc82"/>
    <ds:schemaRef ds:uri="7127645d-ceb2-48b0-ab7d-2452cd852dd2"/>
  </ds:schemaRefs>
</ds:datastoreItem>
</file>

<file path=customXml/itemProps2.xml><?xml version="1.0" encoding="utf-8"?>
<ds:datastoreItem xmlns:ds="http://schemas.openxmlformats.org/officeDocument/2006/customXml" ds:itemID="{DFAE5A7D-8C5E-4496-B2EB-923BD1C0E991}">
  <ds:schemaRefs>
    <ds:schemaRef ds:uri="http://schemas.microsoft.com/sharepoint/v3/contenttype/forms"/>
  </ds:schemaRefs>
</ds:datastoreItem>
</file>

<file path=customXml/itemProps3.xml><?xml version="1.0" encoding="utf-8"?>
<ds:datastoreItem xmlns:ds="http://schemas.openxmlformats.org/officeDocument/2006/customXml" ds:itemID="{70FE7517-DC8A-4BA5-89B5-05C3A9F3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2064e-040c-41ef-a3b7-6ddd5940dc82"/>
    <ds:schemaRef ds:uri="7127645d-ceb2-48b0-ab7d-2452cd852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Champagne</dc:creator>
  <cp:keywords/>
  <dc:description/>
  <cp:lastModifiedBy>Thadani, Lavina</cp:lastModifiedBy>
  <cp:revision>3</cp:revision>
  <dcterms:created xsi:type="dcterms:W3CDTF">2023-05-03T16:30:00Z</dcterms:created>
  <dcterms:modified xsi:type="dcterms:W3CDTF">2023-05-15T23:22:00Z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0x010100B1DDA7E8F157E743B902383EB5236960</vt:lpwstr>
  </property>
  <property fmtid="{D5CDD505-2E9C-101B-9397-08002B2CF9AE}" pid="3" name="MSIP_Label_320f21ee-9bdc-4991-8abe-58f53448e302_Enabled">
    <vt:lpwstr>true</vt:lpwstr>
  </property>
  <property fmtid="{D5CDD505-2E9C-101B-9397-08002B2CF9AE}" pid="4" name="MSIP_Label_320f21ee-9bdc-4991-8abe-58f53448e302_SetDate">
    <vt:lpwstr>2023-05-02T21:48:37Z</vt:lpwstr>
  </property>
  <property fmtid="{D5CDD505-2E9C-101B-9397-08002B2CF9AE}" pid="5" name="MSIP_Label_320f21ee-9bdc-4991-8abe-58f53448e302_Method">
    <vt:lpwstr>Privileged</vt:lpwstr>
  </property>
  <property fmtid="{D5CDD505-2E9C-101B-9397-08002B2CF9AE}" pid="6" name="MSIP_Label_320f21ee-9bdc-4991-8abe-58f53448e302_Name">
    <vt:lpwstr>External Label</vt:lpwstr>
  </property>
  <property fmtid="{D5CDD505-2E9C-101B-9397-08002B2CF9AE}" pid="7" name="MSIP_Label_320f21ee-9bdc-4991-8abe-58f53448e302_SiteId">
    <vt:lpwstr>db05faca-c82a-4b9d-b9c5-0f64b6755421</vt:lpwstr>
  </property>
  <property fmtid="{D5CDD505-2E9C-101B-9397-08002B2CF9AE}" pid="8" name="MSIP_Label_320f21ee-9bdc-4991-8abe-58f53448e302_ActionId">
    <vt:lpwstr>6662eed7-a5a2-4cac-92ae-31f8ea1781b9</vt:lpwstr>
  </property>
  <property fmtid="{D5CDD505-2E9C-101B-9397-08002B2CF9AE}" pid="9" name="MSIP_Label_320f21ee-9bdc-4991-8abe-58f53448e302_ContentBits">
    <vt:lpwstr>0</vt:lpwstr>
  </property>
  <property fmtid="{D5CDD505-2E9C-101B-9397-08002B2CF9AE}" pid="10" name="MSIP_Label_2bbab825-a111-45e4-86a1-18cee0005896_Enabled">
    <vt:lpwstr>true</vt:lpwstr>
  </property>
  <property fmtid="{D5CDD505-2E9C-101B-9397-08002B2CF9AE}" pid="11" name="MSIP_Label_2bbab825-a111-45e4-86a1-18cee0005896_SetDate">
    <vt:lpwstr>2023-05-15T23:22:51Z</vt:lpwstr>
  </property>
  <property fmtid="{D5CDD505-2E9C-101B-9397-08002B2CF9AE}" pid="12" name="MSIP_Label_2bbab825-a111-45e4-86a1-18cee0005896_Method">
    <vt:lpwstr>Standard</vt:lpwstr>
  </property>
  <property fmtid="{D5CDD505-2E9C-101B-9397-08002B2CF9AE}" pid="13" name="MSIP_Label_2bbab825-a111-45e4-86a1-18cee0005896_Name">
    <vt:lpwstr>2bbab825-a111-45e4-86a1-18cee0005896</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ActionId">
    <vt:lpwstr>cf00d749-8aa7-49d5-b6a1-cbf000be26ee</vt:lpwstr>
  </property>
  <property fmtid="{D5CDD505-2E9C-101B-9397-08002B2CF9AE}" pid="16" name="MSIP_Label_2bbab825-a111-45e4-86a1-18cee0005896_ContentBits">
    <vt:lpwstr>2</vt:lpwstr>
  </property>
</Properties>
</file>