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B586B" w14:textId="4B98A98D" w:rsidR="00195D3B" w:rsidRPr="00727F98" w:rsidRDefault="00875673" w:rsidP="00B10FB9">
      <w:pPr>
        <w:pStyle w:val="EndNoteBibliography"/>
        <w:spacing w:line="480" w:lineRule="auto"/>
        <w:ind w:left="480" w:hangingChars="20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673">
        <w:rPr>
          <w:rFonts w:ascii="Times New Roman" w:hAnsi="Times New Roman" w:cs="Times New Roman"/>
          <w:b/>
          <w:sz w:val="24"/>
          <w:szCs w:val="24"/>
        </w:rPr>
        <w:t>Supplementary</w:t>
      </w:r>
    </w:p>
    <w:p w14:paraId="5D30468C" w14:textId="77777777" w:rsidR="00B10FB9" w:rsidRPr="00727F98" w:rsidRDefault="00B10FB9" w:rsidP="00B10FB9">
      <w:pPr>
        <w:spacing w:before="0" w:after="0" w:line="480" w:lineRule="auto"/>
      </w:pPr>
      <w:r w:rsidRPr="00727F98">
        <w:rPr>
          <w:b/>
          <w:bCs/>
        </w:rPr>
        <w:t>Table S1.</w:t>
      </w:r>
      <w:r w:rsidRPr="00727F98">
        <w:t xml:space="preserve"> </w:t>
      </w:r>
      <w:r w:rsidRPr="00727F98">
        <w:rPr>
          <w:szCs w:val="24"/>
        </w:rPr>
        <w:t>Antibody details and dilution ratios.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B10FB9" w:rsidRPr="00727F98" w14:paraId="748CF303" w14:textId="77777777" w:rsidTr="004D4259">
        <w:tc>
          <w:tcPr>
            <w:tcW w:w="2765" w:type="dxa"/>
            <w:tcBorders>
              <w:bottom w:val="single" w:sz="4" w:space="0" w:color="auto"/>
            </w:tcBorders>
          </w:tcPr>
          <w:p w14:paraId="200F60F9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Antibody name</w:t>
            </w: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14:paraId="0907EA75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Catalog number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14:paraId="0FBA2E3F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Dilution ratio</w:t>
            </w:r>
          </w:p>
        </w:tc>
      </w:tr>
      <w:tr w:rsidR="00B10FB9" w:rsidRPr="00727F98" w14:paraId="184931EB" w14:textId="77777777" w:rsidTr="004D4259">
        <w:tc>
          <w:tcPr>
            <w:tcW w:w="2765" w:type="dxa"/>
            <w:tcBorders>
              <w:bottom w:val="nil"/>
            </w:tcBorders>
          </w:tcPr>
          <w:p w14:paraId="5E53A8E8" w14:textId="6497D0DD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Gapdh (HRP conjugate)</w:t>
            </w:r>
          </w:p>
        </w:tc>
        <w:tc>
          <w:tcPr>
            <w:tcW w:w="2765" w:type="dxa"/>
            <w:tcBorders>
              <w:bottom w:val="nil"/>
            </w:tcBorders>
          </w:tcPr>
          <w:p w14:paraId="4A83BEFF" w14:textId="0905560D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rFonts w:eastAsia="Microsoft YaHei"/>
                <w:color w:val="333333"/>
                <w:szCs w:val="24"/>
                <w:shd w:val="clear" w:color="auto" w:fill="FFFFFF"/>
              </w:rPr>
              <w:t>HRP-60004 (Proteintech)</w:t>
            </w:r>
          </w:p>
        </w:tc>
        <w:tc>
          <w:tcPr>
            <w:tcW w:w="2766" w:type="dxa"/>
            <w:tcBorders>
              <w:bottom w:val="nil"/>
            </w:tcBorders>
          </w:tcPr>
          <w:p w14:paraId="3B4319FF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1:2000</w:t>
            </w:r>
          </w:p>
        </w:tc>
      </w:tr>
      <w:tr w:rsidR="00B10FB9" w:rsidRPr="00727F98" w14:paraId="0AABA48E" w14:textId="77777777" w:rsidTr="004D4259">
        <w:tc>
          <w:tcPr>
            <w:tcW w:w="2765" w:type="dxa"/>
            <w:tcBorders>
              <w:top w:val="nil"/>
              <w:bottom w:val="nil"/>
            </w:tcBorders>
          </w:tcPr>
          <w:p w14:paraId="4B0CB586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Anti-hnRNPA1 antibody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419CB583" w14:textId="220CA2FB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Ab5832 (abcam)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33EC48A5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1:1000</w:t>
            </w:r>
          </w:p>
        </w:tc>
      </w:tr>
      <w:tr w:rsidR="00B10FB9" w:rsidRPr="00727F98" w14:paraId="0554288A" w14:textId="77777777" w:rsidTr="004D4259">
        <w:tc>
          <w:tcPr>
            <w:tcW w:w="2765" w:type="dxa"/>
            <w:tcBorders>
              <w:top w:val="nil"/>
              <w:bottom w:val="nil"/>
            </w:tcBorders>
          </w:tcPr>
          <w:p w14:paraId="75D4A16B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Phospho-p44/42MAPK (Erk1/2) (Thr202/Tyr204)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9416ACC" w14:textId="66DD0CFF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4370T (CST)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5DAB07B9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1:1000</w:t>
            </w:r>
          </w:p>
        </w:tc>
      </w:tr>
      <w:tr w:rsidR="00B10FB9" w:rsidRPr="00727F98" w14:paraId="598D7227" w14:textId="77777777" w:rsidTr="004D4259">
        <w:tc>
          <w:tcPr>
            <w:tcW w:w="2765" w:type="dxa"/>
            <w:tcBorders>
              <w:top w:val="nil"/>
              <w:bottom w:val="nil"/>
            </w:tcBorders>
          </w:tcPr>
          <w:p w14:paraId="08A3F1EE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p44/42 MAPK (Erk1/2)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484E8FE" w14:textId="7ECEC3F1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4695T (CST)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49EB0E39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1:1000</w:t>
            </w:r>
          </w:p>
        </w:tc>
      </w:tr>
      <w:tr w:rsidR="00B10FB9" w:rsidRPr="00727F98" w14:paraId="55BFF317" w14:textId="77777777" w:rsidTr="004D4259">
        <w:tc>
          <w:tcPr>
            <w:tcW w:w="2765" w:type="dxa"/>
            <w:tcBorders>
              <w:top w:val="nil"/>
              <w:bottom w:val="nil"/>
            </w:tcBorders>
          </w:tcPr>
          <w:p w14:paraId="22612D05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PhosphoMEK1/2</w:t>
            </w:r>
          </w:p>
          <w:p w14:paraId="0508CD0C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(Ser217/221)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3DAEE9A0" w14:textId="5D3FDE59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rFonts w:eastAsia="Microsoft YaHei"/>
                <w:color w:val="333333"/>
                <w:szCs w:val="24"/>
                <w:shd w:val="clear" w:color="auto" w:fill="FFFFFF"/>
              </w:rPr>
              <w:t>9154T (CST)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7A4575AA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1:1000</w:t>
            </w:r>
          </w:p>
        </w:tc>
      </w:tr>
      <w:tr w:rsidR="00B10FB9" w:rsidRPr="00727F98" w14:paraId="5350D31D" w14:textId="77777777" w:rsidTr="004D4259">
        <w:tc>
          <w:tcPr>
            <w:tcW w:w="2765" w:type="dxa"/>
            <w:tcBorders>
              <w:top w:val="nil"/>
              <w:bottom w:val="single" w:sz="4" w:space="0" w:color="auto"/>
            </w:tcBorders>
          </w:tcPr>
          <w:p w14:paraId="3FDDAEC5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MEK1/2 antibody</w:t>
            </w:r>
          </w:p>
          <w:p w14:paraId="3686873F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Anti-mouse IgG</w:t>
            </w:r>
          </w:p>
          <w:p w14:paraId="61FF40E5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Anti-rabbit IgG</w:t>
            </w:r>
          </w:p>
        </w:tc>
        <w:tc>
          <w:tcPr>
            <w:tcW w:w="2765" w:type="dxa"/>
            <w:tcBorders>
              <w:top w:val="nil"/>
              <w:bottom w:val="single" w:sz="4" w:space="0" w:color="auto"/>
            </w:tcBorders>
          </w:tcPr>
          <w:p w14:paraId="18697633" w14:textId="4FCEFBAD" w:rsidR="00B10FB9" w:rsidRPr="00727F98" w:rsidRDefault="00B10FB9" w:rsidP="00B10FB9">
            <w:pPr>
              <w:spacing w:before="0" w:after="0" w:line="480" w:lineRule="auto"/>
              <w:rPr>
                <w:rFonts w:eastAsia="Microsoft YaHei"/>
                <w:color w:val="333333"/>
                <w:szCs w:val="24"/>
                <w:shd w:val="clear" w:color="auto" w:fill="FFFFFF"/>
              </w:rPr>
            </w:pPr>
            <w:r w:rsidRPr="00727F98">
              <w:rPr>
                <w:rFonts w:eastAsia="Microsoft YaHei"/>
                <w:color w:val="333333"/>
                <w:szCs w:val="24"/>
                <w:shd w:val="clear" w:color="auto" w:fill="FFFFFF"/>
              </w:rPr>
              <w:t>9122S (CST)</w:t>
            </w:r>
          </w:p>
          <w:p w14:paraId="20E83050" w14:textId="778FF150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7076 (CST)</w:t>
            </w:r>
          </w:p>
          <w:p w14:paraId="06921FDE" w14:textId="5636AFE5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7074P2 (CST)</w:t>
            </w:r>
          </w:p>
        </w:tc>
        <w:tc>
          <w:tcPr>
            <w:tcW w:w="2766" w:type="dxa"/>
            <w:tcBorders>
              <w:top w:val="nil"/>
              <w:bottom w:val="single" w:sz="4" w:space="0" w:color="auto"/>
            </w:tcBorders>
          </w:tcPr>
          <w:p w14:paraId="2EDD40F8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1:1000</w:t>
            </w:r>
          </w:p>
          <w:p w14:paraId="79124235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1:2000</w:t>
            </w:r>
          </w:p>
          <w:p w14:paraId="4C82DC78" w14:textId="77777777" w:rsidR="00B10FB9" w:rsidRPr="00727F98" w:rsidRDefault="00B10FB9" w:rsidP="00B10FB9">
            <w:pPr>
              <w:spacing w:before="0" w:after="0" w:line="480" w:lineRule="auto"/>
              <w:rPr>
                <w:szCs w:val="24"/>
              </w:rPr>
            </w:pPr>
            <w:r w:rsidRPr="00727F98">
              <w:rPr>
                <w:szCs w:val="24"/>
              </w:rPr>
              <w:t>1:2000</w:t>
            </w:r>
          </w:p>
        </w:tc>
      </w:tr>
    </w:tbl>
    <w:p w14:paraId="5EBFF279" w14:textId="2893F897" w:rsidR="00B10FB9" w:rsidRPr="00727F98" w:rsidRDefault="007C1615" w:rsidP="007C1615">
      <w:pPr>
        <w:spacing w:before="0" w:after="0" w:line="48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4FB48DAC" wp14:editId="7228E59B">
            <wp:extent cx="5400039" cy="4053396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39" cy="40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AA9F" w14:textId="7BDD5B95" w:rsidR="00B10FB9" w:rsidRPr="00727F98" w:rsidRDefault="00B10FB9" w:rsidP="00B10FB9">
      <w:pPr>
        <w:spacing w:before="0" w:after="0" w:line="480" w:lineRule="auto"/>
        <w:rPr>
          <w:szCs w:val="24"/>
        </w:rPr>
      </w:pPr>
      <w:r w:rsidRPr="00727F98">
        <w:rPr>
          <w:b/>
          <w:bCs/>
          <w:szCs w:val="24"/>
        </w:rPr>
        <w:t>Figure S1</w:t>
      </w:r>
      <w:r w:rsidRPr="00727F98">
        <w:rPr>
          <w:szCs w:val="24"/>
        </w:rPr>
        <w:t>. GO Enrichment analysis.</w:t>
      </w:r>
    </w:p>
    <w:p w14:paraId="0CBC6E68" w14:textId="76B3B2FA" w:rsidR="00B10FB9" w:rsidRPr="00727F98" w:rsidRDefault="007C1615" w:rsidP="00B10FB9">
      <w:pPr>
        <w:spacing w:before="0" w:after="0" w:line="480" w:lineRule="auto"/>
      </w:pPr>
      <w:r>
        <w:rPr>
          <w:noProof/>
          <w:lang w:eastAsia="zh-CN"/>
        </w:rPr>
        <w:lastRenderedPageBreak/>
        <w:drawing>
          <wp:inline distT="0" distB="0" distL="0" distR="0" wp14:anchorId="66E61AA7" wp14:editId="39158810">
            <wp:extent cx="5400039" cy="4053396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39" cy="405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0B692" w14:textId="77777777" w:rsidR="007C1615" w:rsidRDefault="00B10FB9" w:rsidP="00B10FB9">
      <w:pPr>
        <w:spacing w:before="0" w:after="0" w:line="480" w:lineRule="auto"/>
        <w:rPr>
          <w:szCs w:val="24"/>
        </w:rPr>
        <w:sectPr w:rsidR="007C1615" w:rsidSect="001A3F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701" w:bottom="1701" w:left="1701" w:header="851" w:footer="992" w:gutter="0"/>
          <w:lnNumType w:countBy="1" w:restart="continuous"/>
          <w:cols w:space="425"/>
          <w:docGrid w:type="lines" w:linePitch="326"/>
        </w:sectPr>
      </w:pPr>
      <w:r w:rsidRPr="00727F98">
        <w:rPr>
          <w:b/>
          <w:bCs/>
          <w:szCs w:val="24"/>
        </w:rPr>
        <w:t>Figure S2.</w:t>
      </w:r>
      <w:r w:rsidRPr="00727F98">
        <w:rPr>
          <w:szCs w:val="24"/>
        </w:rPr>
        <w:t xml:space="preserve"> </w:t>
      </w:r>
      <w:r w:rsidRPr="00727F98">
        <w:rPr>
          <w:rFonts w:eastAsia="Microsoft YaHei"/>
          <w:color w:val="121212"/>
          <w:szCs w:val="24"/>
          <w:shd w:val="clear" w:color="auto" w:fill="FFFFFF"/>
        </w:rPr>
        <w:t xml:space="preserve">Kyoto encyclopedia of genes and genomes </w:t>
      </w:r>
      <w:r w:rsidRPr="00727F98">
        <w:rPr>
          <w:szCs w:val="24"/>
        </w:rPr>
        <w:t>analysis.</w:t>
      </w:r>
    </w:p>
    <w:p w14:paraId="55AC4089" w14:textId="318A9271" w:rsidR="00B10FB9" w:rsidRPr="00727F98" w:rsidRDefault="00B10FB9" w:rsidP="00B10FB9">
      <w:pPr>
        <w:spacing w:before="0" w:after="0" w:line="480" w:lineRule="auto"/>
        <w:rPr>
          <w:szCs w:val="24"/>
        </w:rPr>
      </w:pPr>
    </w:p>
    <w:p w14:paraId="4C34B65D" w14:textId="36BFA2FA" w:rsidR="00B10FB9" w:rsidRPr="00727F98" w:rsidRDefault="007C1615" w:rsidP="007C1615">
      <w:pPr>
        <w:spacing w:before="0" w:after="0" w:line="480" w:lineRule="auto"/>
        <w:jc w:val="center"/>
      </w:pPr>
      <w:r>
        <w:rPr>
          <w:noProof/>
          <w:lang w:eastAsia="zh-CN"/>
        </w:rPr>
        <w:drawing>
          <wp:inline distT="0" distB="0" distL="0" distR="0" wp14:anchorId="70DC160D" wp14:editId="7C350EB1">
            <wp:extent cx="5400039" cy="366145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39" cy="366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1E1F" w14:textId="51D371D3" w:rsidR="00D61B7B" w:rsidRPr="00D243FA" w:rsidRDefault="00B10FB9" w:rsidP="00D61B7B">
      <w:pPr>
        <w:spacing w:before="0" w:after="0" w:line="480" w:lineRule="auto"/>
        <w:jc w:val="both"/>
        <w:rPr>
          <w:rFonts w:cs="Times New Roman"/>
          <w:color w:val="000000"/>
          <w:szCs w:val="24"/>
        </w:rPr>
      </w:pPr>
      <w:r w:rsidRPr="00727F98">
        <w:rPr>
          <w:b/>
          <w:bCs/>
          <w:szCs w:val="24"/>
        </w:rPr>
        <w:t xml:space="preserve">Figure S3. </w:t>
      </w:r>
      <w:r w:rsidRPr="00727F98">
        <w:rPr>
          <w:szCs w:val="24"/>
        </w:rPr>
        <w:t xml:space="preserve">Screening of si-RNA knockdown effect. </w:t>
      </w:r>
      <w:r w:rsidRPr="00727F98">
        <w:rPr>
          <w:b/>
          <w:bCs/>
          <w:szCs w:val="24"/>
        </w:rPr>
        <w:t>A-B.</w:t>
      </w:r>
      <w:r w:rsidRPr="00727F98">
        <w:rPr>
          <w:szCs w:val="24"/>
        </w:rPr>
        <w:t xml:space="preserve"> Relative hnRNPA1 expression level in HepG2 (</w:t>
      </w:r>
      <w:r w:rsidRPr="00727F98">
        <w:rPr>
          <w:b/>
          <w:bCs/>
          <w:szCs w:val="24"/>
        </w:rPr>
        <w:t>A</w:t>
      </w:r>
      <w:r w:rsidRPr="00727F98">
        <w:rPr>
          <w:szCs w:val="24"/>
        </w:rPr>
        <w:t>) and Huh7 (</w:t>
      </w:r>
      <w:r w:rsidRPr="00727F98">
        <w:rPr>
          <w:b/>
          <w:bCs/>
          <w:szCs w:val="24"/>
        </w:rPr>
        <w:t>B</w:t>
      </w:r>
      <w:r w:rsidRPr="00727F98">
        <w:rPr>
          <w:szCs w:val="24"/>
        </w:rPr>
        <w:t xml:space="preserve">) cells transfected with si-RNAs targeting hnRNPA1 by qRT-PCR. </w:t>
      </w:r>
      <w:r w:rsidRPr="00727F98">
        <w:rPr>
          <w:b/>
          <w:bCs/>
          <w:szCs w:val="24"/>
        </w:rPr>
        <w:t xml:space="preserve">C-D. </w:t>
      </w:r>
      <w:r w:rsidRPr="00727F98">
        <w:rPr>
          <w:szCs w:val="24"/>
        </w:rPr>
        <w:t>HnRNPA1 protein expression level in HepG2 (</w:t>
      </w:r>
      <w:r w:rsidRPr="00727F98">
        <w:rPr>
          <w:b/>
          <w:bCs/>
          <w:szCs w:val="24"/>
        </w:rPr>
        <w:t>C</w:t>
      </w:r>
      <w:r w:rsidRPr="00727F98">
        <w:rPr>
          <w:szCs w:val="24"/>
        </w:rPr>
        <w:t>) and Huh7 (</w:t>
      </w:r>
      <w:r w:rsidRPr="00727F98">
        <w:rPr>
          <w:b/>
          <w:bCs/>
          <w:szCs w:val="24"/>
        </w:rPr>
        <w:t>D</w:t>
      </w:r>
      <w:r w:rsidRPr="00727F98">
        <w:rPr>
          <w:szCs w:val="24"/>
        </w:rPr>
        <w:t xml:space="preserve">) cells transfected with si-RNAs targeting hnRNPA1. </w:t>
      </w:r>
      <w:r w:rsidRPr="00727F98">
        <w:rPr>
          <w:b/>
          <w:bCs/>
          <w:szCs w:val="24"/>
        </w:rPr>
        <w:t>E-F.</w:t>
      </w:r>
      <w:r w:rsidRPr="00727F98">
        <w:rPr>
          <w:szCs w:val="24"/>
        </w:rPr>
        <w:t xml:space="preserve"> Proliferation of HepG2 (</w:t>
      </w:r>
      <w:r w:rsidRPr="00727F98">
        <w:rPr>
          <w:b/>
          <w:bCs/>
          <w:szCs w:val="24"/>
        </w:rPr>
        <w:t>E</w:t>
      </w:r>
      <w:r w:rsidRPr="00727F98">
        <w:rPr>
          <w:szCs w:val="24"/>
        </w:rPr>
        <w:t>) and Huh7 (</w:t>
      </w:r>
      <w:r w:rsidRPr="00727F98">
        <w:rPr>
          <w:b/>
          <w:bCs/>
          <w:szCs w:val="24"/>
        </w:rPr>
        <w:t>F</w:t>
      </w:r>
      <w:r w:rsidRPr="00727F98">
        <w:rPr>
          <w:szCs w:val="24"/>
        </w:rPr>
        <w:t>) cells after knockdown of hnRNPA1 by CCK-8</w:t>
      </w:r>
      <w:r w:rsidRPr="005E7791">
        <w:rPr>
          <w:szCs w:val="24"/>
        </w:rPr>
        <w:t>.</w:t>
      </w:r>
      <w:r w:rsidR="00D61B7B" w:rsidRPr="005E7791">
        <w:rPr>
          <w:szCs w:val="24"/>
        </w:rPr>
        <w:t xml:space="preserve"> </w:t>
      </w:r>
      <w:r w:rsidR="00D61B7B" w:rsidRPr="005E7791">
        <w:rPr>
          <w:rFonts w:cs="Times New Roman"/>
          <w:color w:val="000000"/>
          <w:szCs w:val="24"/>
        </w:rPr>
        <w:t>Data are expressed as the means ± SD from three independent experiments.</w:t>
      </w:r>
      <w:r w:rsidR="00774657" w:rsidRPr="005E7791">
        <w:rPr>
          <w:rFonts w:cs="Times New Roman"/>
          <w:color w:val="000000"/>
          <w:szCs w:val="24"/>
        </w:rPr>
        <w:t xml:space="preserve"> Nc: no statistical significance,</w:t>
      </w:r>
      <w:r w:rsidR="00D61B7B" w:rsidRPr="005E7791">
        <w:rPr>
          <w:rFonts w:cs="Times New Roman"/>
          <w:color w:val="000000"/>
          <w:szCs w:val="24"/>
        </w:rPr>
        <w:t xml:space="preserve"> *</w:t>
      </w:r>
      <w:r w:rsidR="00D61B7B" w:rsidRPr="005E7791">
        <w:rPr>
          <w:rFonts w:cs="Times New Roman"/>
          <w:i/>
          <w:color w:val="000000"/>
          <w:szCs w:val="24"/>
        </w:rPr>
        <w:t>P</w:t>
      </w:r>
      <w:r w:rsidR="00D61B7B" w:rsidRPr="005E7791">
        <w:rPr>
          <w:rFonts w:cs="Times New Roman"/>
          <w:color w:val="000000"/>
          <w:szCs w:val="24"/>
        </w:rPr>
        <w:t xml:space="preserve"> &lt; 0.05, **</w:t>
      </w:r>
      <w:r w:rsidR="00D61B7B" w:rsidRPr="005E7791">
        <w:rPr>
          <w:rFonts w:cs="Times New Roman"/>
          <w:i/>
          <w:color w:val="000000"/>
          <w:szCs w:val="24"/>
        </w:rPr>
        <w:t>P</w:t>
      </w:r>
      <w:r w:rsidR="00D61B7B" w:rsidRPr="005E7791">
        <w:rPr>
          <w:rFonts w:cs="Times New Roman"/>
          <w:color w:val="000000"/>
          <w:szCs w:val="24"/>
        </w:rPr>
        <w:t xml:space="preserve"> &lt; 0.01, ***</w:t>
      </w:r>
      <w:r w:rsidR="00D61B7B" w:rsidRPr="005E7791">
        <w:rPr>
          <w:rFonts w:cs="Times New Roman"/>
          <w:i/>
          <w:color w:val="000000"/>
          <w:szCs w:val="24"/>
        </w:rPr>
        <w:t>P</w:t>
      </w:r>
      <w:r w:rsidR="00D61B7B" w:rsidRPr="005E7791">
        <w:rPr>
          <w:rFonts w:cs="Times New Roman"/>
          <w:color w:val="000000"/>
          <w:szCs w:val="24"/>
        </w:rPr>
        <w:t xml:space="preserve"> &lt; 0.001 and ****</w:t>
      </w:r>
      <w:r w:rsidR="00D61B7B" w:rsidRPr="005E7791">
        <w:rPr>
          <w:rFonts w:cs="Times New Roman"/>
          <w:i/>
          <w:color w:val="000000"/>
          <w:szCs w:val="24"/>
        </w:rPr>
        <w:t xml:space="preserve"> P</w:t>
      </w:r>
      <w:r w:rsidR="00D61B7B" w:rsidRPr="005E7791">
        <w:rPr>
          <w:rFonts w:cs="Times New Roman"/>
          <w:color w:val="000000"/>
          <w:szCs w:val="24"/>
        </w:rPr>
        <w:t xml:space="preserve"> &lt; 0.0001.</w:t>
      </w:r>
    </w:p>
    <w:p w14:paraId="1D44EB86" w14:textId="3EDC5391" w:rsidR="00B10FB9" w:rsidRPr="00727F98" w:rsidRDefault="00B10FB9" w:rsidP="00B10FB9">
      <w:pPr>
        <w:spacing w:before="0" w:after="0" w:line="480" w:lineRule="auto"/>
        <w:jc w:val="both"/>
        <w:rPr>
          <w:b/>
          <w:bCs/>
          <w:szCs w:val="24"/>
        </w:rPr>
      </w:pPr>
    </w:p>
    <w:p w14:paraId="780C3012" w14:textId="100A2872" w:rsidR="00B10FB9" w:rsidRPr="00727F98" w:rsidRDefault="007C1615" w:rsidP="007C1615">
      <w:pPr>
        <w:spacing w:before="0" w:after="0" w:line="48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70BE5DED" wp14:editId="11850990">
            <wp:extent cx="5092301" cy="8530213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2301" cy="85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1910" w14:textId="538FFDDB" w:rsidR="00BA2632" w:rsidRPr="00B10FB9" w:rsidRDefault="00B10FB9" w:rsidP="00B10FB9">
      <w:pPr>
        <w:spacing w:before="0" w:after="0" w:line="480" w:lineRule="auto"/>
        <w:jc w:val="both"/>
        <w:rPr>
          <w:szCs w:val="24"/>
        </w:rPr>
      </w:pPr>
      <w:r w:rsidRPr="00727F98">
        <w:rPr>
          <w:b/>
          <w:bCs/>
          <w:szCs w:val="24"/>
        </w:rPr>
        <w:lastRenderedPageBreak/>
        <w:t>Figure S4.</w:t>
      </w:r>
      <w:r w:rsidRPr="00727F98">
        <w:rPr>
          <w:szCs w:val="24"/>
        </w:rPr>
        <w:t xml:space="preserve"> Overexpression of hnRNPA1 promotes the proliferation, migration, and invasion of HCC cells. (</w:t>
      </w:r>
      <w:r w:rsidRPr="00727F98">
        <w:rPr>
          <w:b/>
          <w:bCs/>
          <w:szCs w:val="24"/>
        </w:rPr>
        <w:t>A</w:t>
      </w:r>
      <w:r w:rsidRPr="00727F98">
        <w:rPr>
          <w:szCs w:val="24"/>
        </w:rPr>
        <w:t xml:space="preserve">). Relative hnRNPA1 expression level in HepG2 and Huh7 cells after hnRNPA1 overexpression by q-PCR. </w:t>
      </w:r>
      <w:r w:rsidRPr="00727F98">
        <w:rPr>
          <w:b/>
          <w:bCs/>
          <w:szCs w:val="24"/>
        </w:rPr>
        <w:t>B-E</w:t>
      </w:r>
      <w:r w:rsidRPr="00727F98">
        <w:rPr>
          <w:szCs w:val="24"/>
        </w:rPr>
        <w:t>. Proliferation of HepG2 and Huh7 cells after hnRNPA1 overexpression by CCK-8 (</w:t>
      </w:r>
      <w:r w:rsidRPr="00727F98">
        <w:rPr>
          <w:b/>
          <w:bCs/>
          <w:szCs w:val="24"/>
        </w:rPr>
        <w:t>B</w:t>
      </w:r>
      <w:r w:rsidRPr="00727F98">
        <w:rPr>
          <w:szCs w:val="24"/>
        </w:rPr>
        <w:t>) and EDU assay (</w:t>
      </w:r>
      <w:r w:rsidRPr="00727F98">
        <w:rPr>
          <w:b/>
          <w:bCs/>
          <w:szCs w:val="24"/>
        </w:rPr>
        <w:t>C-E</w:t>
      </w:r>
      <w:r w:rsidRPr="00727F98">
        <w:rPr>
          <w:szCs w:val="24"/>
        </w:rPr>
        <w:t>)</w:t>
      </w:r>
      <w:r w:rsidR="00774657">
        <w:rPr>
          <w:szCs w:val="24"/>
        </w:rPr>
        <w:t xml:space="preserve">, </w:t>
      </w:r>
      <w:r w:rsidR="00774657" w:rsidRPr="00727F98">
        <w:rPr>
          <w:szCs w:val="24"/>
        </w:rPr>
        <w:t xml:space="preserve">scale bar = </w:t>
      </w:r>
      <w:r w:rsidR="00774657">
        <w:rPr>
          <w:szCs w:val="24"/>
        </w:rPr>
        <w:t>5</w:t>
      </w:r>
      <w:r w:rsidR="00774657" w:rsidRPr="00727F98">
        <w:rPr>
          <w:szCs w:val="24"/>
        </w:rPr>
        <w:t>0 μm</w:t>
      </w:r>
      <w:r w:rsidRPr="00727F98">
        <w:rPr>
          <w:szCs w:val="24"/>
        </w:rPr>
        <w:t xml:space="preserve">. </w:t>
      </w:r>
      <w:r w:rsidRPr="00727F98">
        <w:rPr>
          <w:b/>
          <w:bCs/>
          <w:szCs w:val="24"/>
        </w:rPr>
        <w:t>F-H</w:t>
      </w:r>
      <w:r w:rsidRPr="00727F98">
        <w:rPr>
          <w:szCs w:val="24"/>
        </w:rPr>
        <w:t>. Representative results and statistical analysis of apoptosis in HepG2 (</w:t>
      </w:r>
      <w:r w:rsidRPr="00727F98">
        <w:rPr>
          <w:b/>
          <w:bCs/>
          <w:szCs w:val="24"/>
        </w:rPr>
        <w:t>G</w:t>
      </w:r>
      <w:r w:rsidRPr="00727F98">
        <w:rPr>
          <w:szCs w:val="24"/>
        </w:rPr>
        <w:t>) and Huh7 cells (</w:t>
      </w:r>
      <w:r w:rsidRPr="00727F98">
        <w:rPr>
          <w:b/>
          <w:bCs/>
          <w:szCs w:val="24"/>
        </w:rPr>
        <w:t>H</w:t>
      </w:r>
      <w:r w:rsidRPr="00727F98">
        <w:rPr>
          <w:szCs w:val="24"/>
        </w:rPr>
        <w:t xml:space="preserve">). </w:t>
      </w:r>
      <w:r w:rsidRPr="00727F98">
        <w:rPr>
          <w:b/>
          <w:bCs/>
          <w:szCs w:val="24"/>
        </w:rPr>
        <w:t>I-L</w:t>
      </w:r>
      <w:r w:rsidRPr="00727F98">
        <w:rPr>
          <w:szCs w:val="24"/>
        </w:rPr>
        <w:t>. Representative results and statistical analysis of the transwell assay (scale bar = 100 μm) in HepG2 and Huh7 cells after overexpression of hnRNPA1. Data are expressed as the means ± S</w:t>
      </w:r>
      <w:r w:rsidR="00D61B7B">
        <w:rPr>
          <w:szCs w:val="24"/>
        </w:rPr>
        <w:t>D</w:t>
      </w:r>
      <w:r w:rsidRPr="00727F98">
        <w:rPr>
          <w:szCs w:val="24"/>
        </w:rPr>
        <w:t xml:space="preserve"> from three independent experiments. </w:t>
      </w:r>
      <w:r w:rsidR="00774657">
        <w:rPr>
          <w:szCs w:val="24"/>
        </w:rPr>
        <w:t xml:space="preserve">Nc: no statistical significance, </w:t>
      </w:r>
      <w:r w:rsidRPr="00727F98">
        <w:rPr>
          <w:szCs w:val="24"/>
        </w:rPr>
        <w:t>*</w:t>
      </w:r>
      <w:r w:rsidRPr="00727F98">
        <w:rPr>
          <w:i/>
          <w:szCs w:val="24"/>
        </w:rPr>
        <w:t>P</w:t>
      </w:r>
      <w:r w:rsidRPr="00727F98">
        <w:rPr>
          <w:szCs w:val="24"/>
        </w:rPr>
        <w:t xml:space="preserve"> &lt; 0.05, **</w:t>
      </w:r>
      <w:r w:rsidRPr="00727F98">
        <w:rPr>
          <w:i/>
          <w:szCs w:val="24"/>
        </w:rPr>
        <w:t>P</w:t>
      </w:r>
      <w:r w:rsidRPr="00727F98">
        <w:rPr>
          <w:szCs w:val="24"/>
        </w:rPr>
        <w:t xml:space="preserve"> &lt; 0.01, ***</w:t>
      </w:r>
      <w:r w:rsidRPr="00727F98">
        <w:rPr>
          <w:i/>
          <w:szCs w:val="24"/>
        </w:rPr>
        <w:t>P</w:t>
      </w:r>
      <w:r w:rsidRPr="00727F98">
        <w:rPr>
          <w:szCs w:val="24"/>
        </w:rPr>
        <w:t xml:space="preserve"> &lt; 0.001</w:t>
      </w:r>
      <w:r w:rsidR="00D61B7B">
        <w:rPr>
          <w:szCs w:val="24"/>
        </w:rPr>
        <w:t xml:space="preserve"> </w:t>
      </w:r>
      <w:r w:rsidR="00D61B7B" w:rsidRPr="00D61B7B">
        <w:rPr>
          <w:rFonts w:cs="Times New Roman"/>
          <w:color w:val="000000"/>
          <w:szCs w:val="24"/>
        </w:rPr>
        <w:t>and ****</w:t>
      </w:r>
      <w:r w:rsidR="00D61B7B" w:rsidRPr="00D61B7B">
        <w:rPr>
          <w:rFonts w:cs="Times New Roman"/>
          <w:i/>
          <w:color w:val="000000"/>
          <w:szCs w:val="24"/>
        </w:rPr>
        <w:t xml:space="preserve"> P</w:t>
      </w:r>
      <w:r w:rsidR="00D61B7B" w:rsidRPr="00D61B7B">
        <w:rPr>
          <w:rFonts w:cs="Times New Roman"/>
          <w:color w:val="000000"/>
          <w:szCs w:val="24"/>
        </w:rPr>
        <w:t xml:space="preserve"> &lt; 0.0001</w:t>
      </w:r>
      <w:r w:rsidRPr="00D61B7B">
        <w:rPr>
          <w:szCs w:val="24"/>
        </w:rPr>
        <w:t>.</w:t>
      </w:r>
    </w:p>
    <w:sectPr w:rsidR="00BA2632" w:rsidRPr="00B10FB9" w:rsidSect="001A3F8F">
      <w:pgSz w:w="11906" w:h="16838"/>
      <w:pgMar w:top="1701" w:right="1701" w:bottom="1701" w:left="1701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61E2A" w14:textId="77777777" w:rsidR="00817ED9" w:rsidRDefault="00817ED9">
      <w:pPr>
        <w:spacing w:before="0" w:after="0"/>
      </w:pPr>
      <w:r>
        <w:separator/>
      </w:r>
    </w:p>
  </w:endnote>
  <w:endnote w:type="continuationSeparator" w:id="0">
    <w:p w14:paraId="6FF6B51C" w14:textId="77777777" w:rsidR="00817ED9" w:rsidRDefault="00817ED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677B2" w14:textId="77777777" w:rsidR="005E7791" w:rsidRDefault="005E77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3CAEB" w14:textId="1BB756D1" w:rsidR="001A3F8F" w:rsidRPr="001A3F8F" w:rsidRDefault="000F7247" w:rsidP="001A3F8F">
    <w:pPr>
      <w:pStyle w:val="Footer"/>
      <w:jc w:val="center"/>
      <w:rPr>
        <w:sz w:val="24"/>
        <w:szCs w:val="24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8A5289" wp14:editId="15C2EC50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34204222bc88fba2f2810c9a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9DB754" w14:textId="5F8CC41A" w:rsidR="000F7247" w:rsidRPr="000F7247" w:rsidRDefault="000F7247" w:rsidP="000F7247">
                          <w:pPr>
                            <w:spacing w:before="0"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0F724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8A5289" id="_x0000_t202" coordsize="21600,21600" o:spt="202" path="m,l,21600r21600,l21600,xe">
              <v:stroke joinstyle="miter"/>
              <v:path gradientshapeok="t" o:connecttype="rect"/>
            </v:shapetype>
            <v:shape id="MSIPCM34204222bc88fba2f2810c9a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089DB754" w14:textId="5F8CC41A" w:rsidR="000F7247" w:rsidRPr="000F7247" w:rsidRDefault="000F7247" w:rsidP="000F7247">
                    <w:pPr>
                      <w:spacing w:before="0"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0F724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sz w:val="24"/>
          <w:szCs w:val="24"/>
        </w:rPr>
        <w:id w:val="1882134515"/>
        <w:docPartObj>
          <w:docPartGallery w:val="Page Numbers (Bottom of Page)"/>
          <w:docPartUnique/>
        </w:docPartObj>
      </w:sdtPr>
      <w:sdtEndPr/>
      <w:sdtContent>
        <w:r w:rsidR="001A3F8F" w:rsidRPr="001A3F8F">
          <w:rPr>
            <w:sz w:val="24"/>
            <w:szCs w:val="24"/>
          </w:rPr>
          <w:fldChar w:fldCharType="begin"/>
        </w:r>
        <w:r w:rsidR="001A3F8F" w:rsidRPr="001A3F8F">
          <w:rPr>
            <w:sz w:val="24"/>
            <w:szCs w:val="24"/>
          </w:rPr>
          <w:instrText>PAGE   \* MERGEFORMAT</w:instrText>
        </w:r>
        <w:r w:rsidR="001A3F8F" w:rsidRPr="001A3F8F">
          <w:rPr>
            <w:sz w:val="24"/>
            <w:szCs w:val="24"/>
          </w:rPr>
          <w:fldChar w:fldCharType="separate"/>
        </w:r>
        <w:r w:rsidR="007C1615" w:rsidRPr="007C1615">
          <w:rPr>
            <w:noProof/>
            <w:sz w:val="24"/>
            <w:szCs w:val="24"/>
            <w:lang w:val="zh-CN" w:eastAsia="zh-CN"/>
          </w:rPr>
          <w:t>6</w:t>
        </w:r>
        <w:r w:rsidR="001A3F8F" w:rsidRPr="001A3F8F">
          <w:rPr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58FDA" w14:textId="77777777" w:rsidR="005E7791" w:rsidRDefault="005E77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14A5C" w14:textId="77777777" w:rsidR="00817ED9" w:rsidRDefault="00817ED9">
      <w:pPr>
        <w:spacing w:before="0" w:after="0"/>
      </w:pPr>
      <w:r>
        <w:separator/>
      </w:r>
    </w:p>
  </w:footnote>
  <w:footnote w:type="continuationSeparator" w:id="0">
    <w:p w14:paraId="22745FB6" w14:textId="77777777" w:rsidR="00817ED9" w:rsidRDefault="00817ED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021B1" w14:textId="77777777" w:rsidR="005E7791" w:rsidRDefault="005E77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3CAC3" w14:textId="77777777" w:rsidR="005E7791" w:rsidRDefault="005E77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09AC" w14:textId="77777777" w:rsidR="005E7791" w:rsidRDefault="005E77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3FAAB6B8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4265762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  <w:b/>
        </w:rPr>
      </w:lvl>
    </w:lvlOverride>
  </w:num>
  <w:num w:numId="2" w16cid:durableId="23335408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3" w16cid:durableId="1044066152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4" w16cid:durableId="694236437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5" w16cid:durableId="249194553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6" w16cid:durableId="770777065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7" w16cid:durableId="1809975249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8" w16cid:durableId="1359306817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9" w16cid:durableId="1317994952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0" w16cid:durableId="1999268210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1" w16cid:durableId="1196625315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2" w16cid:durableId="74396462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3" w16cid:durableId="1609653217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4" w16cid:durableId="577832633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5" w16cid:durableId="472257999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6" w16cid:durableId="1838614806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7" w16cid:durableId="1633713517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8" w16cid:durableId="1879127864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19" w16cid:durableId="562370681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0" w16cid:durableId="2007588985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1" w16cid:durableId="1833061123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2" w16cid:durableId="1905950091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3" w16cid:durableId="596643355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4" w16cid:durableId="2127313557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5" w16cid:durableId="341710676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6" w16cid:durableId="1917981542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7" w16cid:durableId="1791970581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  <w:num w:numId="28" w16cid:durableId="1590000372">
    <w:abstractNumId w:val="0"/>
  </w:num>
  <w:num w:numId="29" w16cid:durableId="98722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Y4YjU2N2FlZTI4Y2FkYzkxYTlmMWQwZjVjZWViNGUifQ=="/>
  </w:docVars>
  <w:rsids>
    <w:rsidRoot w:val="00D552CC"/>
    <w:rsid w:val="00071EE4"/>
    <w:rsid w:val="000F7247"/>
    <w:rsid w:val="00110BDE"/>
    <w:rsid w:val="00133660"/>
    <w:rsid w:val="00191679"/>
    <w:rsid w:val="00195D3B"/>
    <w:rsid w:val="001A3F8F"/>
    <w:rsid w:val="001B5C9B"/>
    <w:rsid w:val="001C13FF"/>
    <w:rsid w:val="00235CAE"/>
    <w:rsid w:val="00235D96"/>
    <w:rsid w:val="003364E5"/>
    <w:rsid w:val="003510CE"/>
    <w:rsid w:val="003C4ACA"/>
    <w:rsid w:val="00402DCE"/>
    <w:rsid w:val="00411610"/>
    <w:rsid w:val="00462DA9"/>
    <w:rsid w:val="005E7791"/>
    <w:rsid w:val="00636C71"/>
    <w:rsid w:val="006C55BC"/>
    <w:rsid w:val="00712BFC"/>
    <w:rsid w:val="00727F98"/>
    <w:rsid w:val="00761C0B"/>
    <w:rsid w:val="00774657"/>
    <w:rsid w:val="0079497D"/>
    <w:rsid w:val="007C1615"/>
    <w:rsid w:val="00817ED9"/>
    <w:rsid w:val="00875673"/>
    <w:rsid w:val="008D5737"/>
    <w:rsid w:val="008D7E4F"/>
    <w:rsid w:val="009401BE"/>
    <w:rsid w:val="0094510E"/>
    <w:rsid w:val="00AC1C8E"/>
    <w:rsid w:val="00B10FB9"/>
    <w:rsid w:val="00B43F13"/>
    <w:rsid w:val="00BA2632"/>
    <w:rsid w:val="00BC7367"/>
    <w:rsid w:val="00C62F54"/>
    <w:rsid w:val="00C761DF"/>
    <w:rsid w:val="00CA34EB"/>
    <w:rsid w:val="00D552CC"/>
    <w:rsid w:val="00D61B7B"/>
    <w:rsid w:val="00F53B22"/>
    <w:rsid w:val="00F564BB"/>
    <w:rsid w:val="0F9A6E44"/>
    <w:rsid w:val="6749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7EFDDA"/>
  <w14:defaultImageDpi w14:val="330"/>
  <w15:docId w15:val="{4AC6E2EE-C22F-4B6B-AD46-0CB5C729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firstLine="420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60" w:line="312" w:lineRule="auto"/>
      <w:jc w:val="center"/>
      <w:outlineLvl w:val="1"/>
    </w:pPr>
    <w:rPr>
      <w:rFonts w:asciiTheme="minorHAnsi" w:hAnsiTheme="minorHAnsi"/>
      <w:b/>
      <w:bCs/>
      <w:kern w:val="28"/>
      <w:sz w:val="32"/>
      <w:szCs w:val="32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TableGrid">
    <w:name w:val="Table Grid"/>
    <w:basedOn w:val="TableNormal"/>
    <w:uiPriority w:val="3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pPr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</w:rPr>
  </w:style>
  <w:style w:type="character" w:customStyle="1" w:styleId="15">
    <w:name w:val="15"/>
    <w:basedOn w:val="DefaultParagraphFont"/>
    <w:qFormat/>
    <w:rPr>
      <w:rFonts w:ascii="Calibri" w:hAnsi="Calibri" w:cs="Calibri" w:hint="default"/>
      <w:color w:val="0000FF"/>
      <w:u w:val="single"/>
    </w:rPr>
  </w:style>
  <w:style w:type="character" w:customStyle="1" w:styleId="jlqj4b">
    <w:name w:val="jlqj4b"/>
    <w:basedOn w:val="DefaultParagraphFont"/>
    <w:qFormat/>
  </w:style>
  <w:style w:type="paragraph" w:customStyle="1" w:styleId="MDPI31text">
    <w:name w:val="MDPI_3.1_text"/>
    <w:qFormat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Cs w:val="22"/>
      <w:lang w:eastAsia="de-DE" w:bidi="en-US"/>
    </w:rPr>
  </w:style>
  <w:style w:type="character" w:customStyle="1" w:styleId="17">
    <w:name w:val="17"/>
    <w:basedOn w:val="DefaultParagraphFont"/>
    <w:qFormat/>
    <w:rPr>
      <w:rFonts w:ascii="Times New Roman" w:hAnsi="Times New Roman" w:cs="Times New Roman" w:hint="default"/>
      <w:b/>
      <w:bCs/>
    </w:rPr>
  </w:style>
  <w:style w:type="paragraph" w:customStyle="1" w:styleId="EndNoteBibliography">
    <w:name w:val="EndNote Bibliography"/>
    <w:basedOn w:val="Normal"/>
    <w:link w:val="EndNoteBibliography0"/>
    <w:qFormat/>
    <w:pPr>
      <w:widowControl w:val="0"/>
      <w:spacing w:before="0" w:after="0"/>
      <w:jc w:val="both"/>
    </w:pPr>
    <w:rPr>
      <w:rFonts w:ascii="DengXian" w:eastAsia="DengXian" w:hAnsi="DengXian"/>
      <w:kern w:val="2"/>
      <w:sz w:val="20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DengXian" w:eastAsia="DengXian" w:hAnsi="DengXian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bCs/>
      <w:kern w:val="28"/>
      <w:sz w:val="32"/>
      <w:szCs w:val="3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kern w:val="0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kern w:val="0"/>
      <w:sz w:val="18"/>
      <w:szCs w:val="18"/>
      <w:lang w:eastAsia="en-US"/>
    </w:rPr>
  </w:style>
  <w:style w:type="numbering" w:customStyle="1" w:styleId="Headings">
    <w:name w:val="Headings"/>
    <w:uiPriority w:val="99"/>
    <w:rsid w:val="00411610"/>
  </w:style>
  <w:style w:type="character" w:styleId="SubtleEmphasis">
    <w:name w:val="Subtle Emphasis"/>
    <w:uiPriority w:val="19"/>
    <w:qFormat/>
    <w:rsid w:val="00411610"/>
    <w:rPr>
      <w:rFonts w:ascii="Times New Roman" w:hAnsi="Times New Roman"/>
      <w:i/>
      <w:iCs/>
      <w:color w:val="404040"/>
    </w:rPr>
  </w:style>
  <w:style w:type="character" w:styleId="FollowedHyperlink">
    <w:name w:val="FollowedHyperlink"/>
    <w:uiPriority w:val="99"/>
    <w:semiHidden/>
    <w:unhideWhenUsed/>
    <w:rsid w:val="00411610"/>
    <w:rPr>
      <w:color w:val="954F72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1610"/>
    <w:pPr>
      <w:spacing w:before="0" w:after="0" w:line="276" w:lineRule="auto"/>
    </w:pPr>
    <w:rPr>
      <w:rFonts w:ascii="Calibri" w:eastAsia="SimSu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1610"/>
    <w:rPr>
      <w:rFonts w:ascii="Calibri" w:eastAsia="SimSun" w:hAnsi="Calibri" w:cs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411610"/>
    <w:rPr>
      <w:vertAlign w:val="superscript"/>
    </w:rPr>
  </w:style>
  <w:style w:type="character" w:styleId="IntenseReference">
    <w:name w:val="Intense Reference"/>
    <w:uiPriority w:val="32"/>
    <w:qFormat/>
    <w:rsid w:val="00411610"/>
    <w:rPr>
      <w:b/>
      <w:bCs/>
      <w:smallCaps/>
      <w:color w:val="auto"/>
      <w:spacing w:val="5"/>
    </w:rPr>
  </w:style>
  <w:style w:type="character" w:styleId="IntenseEmphasis">
    <w:name w:val="Intense Emphasis"/>
    <w:uiPriority w:val="21"/>
    <w:unhideWhenUsed/>
    <w:rsid w:val="00411610"/>
    <w:rPr>
      <w:rFonts w:ascii="Times New Roman" w:hAnsi="Times New Roman"/>
      <w:i/>
      <w:iCs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610"/>
    <w:pPr>
      <w:spacing w:before="0" w:after="0" w:line="276" w:lineRule="auto"/>
    </w:pPr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610"/>
    <w:rPr>
      <w:rFonts w:ascii="Tahoma" w:eastAsia="SimSun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1610"/>
    <w:pPr>
      <w:spacing w:before="0" w:after="200" w:line="276" w:lineRule="auto"/>
    </w:pPr>
    <w:rPr>
      <w:rFonts w:ascii="Calibri" w:eastAsia="SimSun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1610"/>
    <w:rPr>
      <w:rFonts w:ascii="Calibri" w:eastAsia="SimSun" w:hAnsi="Calibri" w:cs="Times New Roman"/>
      <w:lang w:eastAsia="en-US"/>
    </w:rPr>
  </w:style>
  <w:style w:type="character" w:styleId="CommentReference">
    <w:name w:val="annotation reference"/>
    <w:uiPriority w:val="99"/>
    <w:semiHidden/>
    <w:unhideWhenUsed/>
    <w:rsid w:val="0041161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610"/>
    <w:rPr>
      <w:rFonts w:ascii="Calibri" w:eastAsia="SimSun" w:hAnsi="Calibri" w:cs="Times New Roman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411610"/>
    <w:pPr>
      <w:spacing w:before="100" w:beforeAutospacing="1" w:after="100" w:afterAutospacing="1" w:line="276" w:lineRule="auto"/>
    </w:pPr>
    <w:rPr>
      <w:rFonts w:ascii="Calibri" w:eastAsia="Times New Roman" w:hAnsi="Calibri" w:cs="Times New Roman"/>
      <w:sz w:val="22"/>
      <w:szCs w:val="24"/>
    </w:rPr>
  </w:style>
  <w:style w:type="character" w:styleId="Emphasis">
    <w:name w:val="Emphasis"/>
    <w:uiPriority w:val="20"/>
    <w:qFormat/>
    <w:rsid w:val="00411610"/>
    <w:rPr>
      <w:rFonts w:ascii="Times New Roman" w:hAnsi="Times New Roman"/>
      <w:i/>
      <w:iCs/>
    </w:rPr>
  </w:style>
  <w:style w:type="character" w:styleId="BookTitle">
    <w:name w:val="Book Title"/>
    <w:uiPriority w:val="33"/>
    <w:qFormat/>
    <w:rsid w:val="00411610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411610"/>
    <w:pPr>
      <w:keepNext/>
      <w:spacing w:before="0" w:after="200" w:line="276" w:lineRule="auto"/>
    </w:pPr>
    <w:rPr>
      <w:rFonts w:ascii="Calibri" w:eastAsia="SimSun" w:hAnsi="Calibri" w:cs="Times New Roman"/>
      <w:b/>
      <w:bCs/>
      <w:sz w:val="22"/>
      <w:szCs w:val="24"/>
    </w:rPr>
  </w:style>
  <w:style w:type="paragraph" w:styleId="NoSpacing">
    <w:name w:val="No Spacing"/>
    <w:uiPriority w:val="99"/>
    <w:unhideWhenUsed/>
    <w:qFormat/>
    <w:rsid w:val="00411610"/>
    <w:rPr>
      <w:rFonts w:ascii="Times New Roman" w:eastAsia="SimSun" w:hAnsi="Times New Roman" w:cs="Times New Roman"/>
      <w:sz w:val="24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1610"/>
    <w:pPr>
      <w:spacing w:before="0" w:after="0" w:line="276" w:lineRule="auto"/>
    </w:pPr>
    <w:rPr>
      <w:rFonts w:ascii="Calibri" w:eastAsia="SimSun" w:hAnsi="Calibri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1610"/>
    <w:rPr>
      <w:rFonts w:ascii="Calibri" w:eastAsia="SimSun" w:hAnsi="Calibri" w:cs="Times New Roman"/>
      <w:lang w:eastAsia="en-US"/>
    </w:rPr>
  </w:style>
  <w:style w:type="character" w:styleId="EndnoteReference">
    <w:name w:val="endnote reference"/>
    <w:uiPriority w:val="99"/>
    <w:semiHidden/>
    <w:unhideWhenUsed/>
    <w:rsid w:val="00411610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411610"/>
  </w:style>
  <w:style w:type="character" w:styleId="Strong">
    <w:name w:val="Strong"/>
    <w:uiPriority w:val="22"/>
    <w:qFormat/>
    <w:rsid w:val="00411610"/>
    <w:rPr>
      <w:rFonts w:ascii="Times New Roman" w:hAnsi="Times New Roman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11610"/>
    <w:pPr>
      <w:spacing w:before="200" w:after="160" w:line="276" w:lineRule="auto"/>
      <w:ind w:left="864" w:right="864"/>
      <w:jc w:val="center"/>
    </w:pPr>
    <w:rPr>
      <w:rFonts w:ascii="Calibri" w:eastAsia="SimSun" w:hAnsi="Calibri" w:cs="Times New Roman"/>
      <w:i/>
      <w:iCs/>
      <w:color w:val="40404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411610"/>
    <w:rPr>
      <w:rFonts w:ascii="Calibri" w:eastAsia="SimSun" w:hAnsi="Calibri" w:cs="Times New Roman"/>
      <w:i/>
      <w:iCs/>
      <w:color w:val="404040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411610"/>
  </w:style>
  <w:style w:type="paragraph" w:customStyle="1" w:styleId="References">
    <w:name w:val="References"/>
    <w:basedOn w:val="NoSpacing"/>
    <w:autoRedefine/>
    <w:qFormat/>
    <w:rsid w:val="00411610"/>
    <w:pPr>
      <w:spacing w:before="100" w:beforeAutospacing="1" w:after="100" w:afterAutospacing="1"/>
    </w:pPr>
    <w:rPr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11610"/>
  </w:style>
  <w:style w:type="paragraph" w:customStyle="1" w:styleId="MTDisplayEquation">
    <w:name w:val="MTDisplayEquation"/>
    <w:basedOn w:val="Normal"/>
    <w:next w:val="Normal"/>
    <w:link w:val="MTDisplayEquationChar"/>
    <w:rsid w:val="00411610"/>
    <w:pPr>
      <w:tabs>
        <w:tab w:val="center" w:pos="4160"/>
        <w:tab w:val="right" w:pos="8300"/>
      </w:tabs>
      <w:spacing w:before="0" w:after="200" w:line="276" w:lineRule="auto"/>
    </w:pPr>
    <w:rPr>
      <w:rFonts w:ascii="Calibri" w:eastAsia="SimSun" w:hAnsi="Calibri" w:cs="Times New Roman"/>
      <w:sz w:val="22"/>
    </w:rPr>
  </w:style>
  <w:style w:type="character" w:customStyle="1" w:styleId="MTDisplayEquationChar">
    <w:name w:val="MTDisplayEquation Char"/>
    <w:link w:val="MTDisplayEquation"/>
    <w:rsid w:val="00411610"/>
    <w:rPr>
      <w:rFonts w:ascii="Calibri" w:eastAsia="SimSun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643187953@qq.com</dc:creator>
  <cp:lastModifiedBy>Lee, Boon</cp:lastModifiedBy>
  <cp:revision>2</cp:revision>
  <dcterms:created xsi:type="dcterms:W3CDTF">2023-03-24T01:39:00Z</dcterms:created>
  <dcterms:modified xsi:type="dcterms:W3CDTF">2023-03-24T01:39:00Z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A04D059C276246DC80ED04F23093B380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2023-03-24T01:39:51Z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99abddbd-4f02-4042-b864-b03af1044b95</vt:lpwstr>
  </property>
  <property fmtid="{D5CDD505-2E9C-101B-9397-08002B2CF9AE}" pid="10" name="MSIP_Label_2bbab825-a111-45e4-86a1-18cee0005896_ContentBits">
    <vt:lpwstr>2</vt:lpwstr>
  </property>
</Properties>
</file>