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Arial" w:hAnsi="Arial" w:cs="Arial"/>
        </w:rPr>
      </w:pPr>
      <w:r>
        <w:rPr>
          <w:rFonts w:hint="default" w:ascii="Arial" w:hAnsi="Arial" w:cs="Arial"/>
        </w:rPr>
        <w:t>Is co-occurrence of frailty and multimorbidity associated with increased risk of catastrophic health expenditure? A prospective cohort analysis in China</w:t>
      </w:r>
    </w:p>
    <w:p>
      <w:pPr>
        <w:spacing w:line="480" w:lineRule="auto"/>
        <w:rPr>
          <w:rFonts w:hint="default" w:ascii="Arial" w:hAnsi="Arial" w:cs="Arial"/>
          <w:sz w:val="24"/>
          <w:szCs w:val="24"/>
        </w:rPr>
      </w:pPr>
    </w:p>
    <w:p>
      <w:pPr>
        <w:spacing w:line="480" w:lineRule="auto"/>
        <w:rPr>
          <w:rFonts w:hint="default" w:ascii="Arial" w:hAnsi="Arial" w:cs="Arial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en-US" w:eastAsia="zh-CN"/>
        </w:rPr>
        <w:t>Supplementary tables: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480" w:lineRule="auto"/>
        <w:rPr>
          <w:rFonts w:hint="default" w:ascii="Arial" w:hAnsi="Arial" w:cs="Arial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en-US" w:eastAsia="zh-CN"/>
        </w:rPr>
        <w:t>Table S1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en-US" w:eastAsia="zh-CN"/>
        </w:rPr>
        <w:t xml:space="preserve"> Selection of items to calculate frailty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 xml:space="preserve"> score</w:t>
      </w:r>
    </w:p>
    <w:p>
      <w:pPr>
        <w:spacing w:line="480" w:lineRule="auto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</w:rPr>
        <w:t xml:space="preserve">Table 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en-US" w:eastAsia="zh-CN"/>
        </w:rPr>
        <w:t>S2</w:t>
      </w:r>
      <w:r>
        <w:rPr>
          <w:rFonts w:hint="default" w:ascii="Arial" w:hAnsi="Arial" w:cs="Arial"/>
          <w:color w:val="auto"/>
          <w:sz w:val="24"/>
          <w:szCs w:val="24"/>
        </w:rPr>
        <w:t xml:space="preserve"> Analysis strategy</w:t>
      </w:r>
    </w:p>
    <w:p>
      <w:pPr>
        <w:spacing w:line="480" w:lineRule="auto"/>
        <w:rPr>
          <w:rFonts w:hint="default" w:ascii="Arial" w:hAnsi="Arial" w:cs="Arial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</w:rPr>
        <w:t>Table S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en-US" w:eastAsia="zh-CN"/>
        </w:rPr>
        <w:t xml:space="preserve"> E-Value Calculation, Related to Table 4 and 5</w:t>
      </w:r>
    </w:p>
    <w:p>
      <w:pPr>
        <w:spacing w:line="480" w:lineRule="auto"/>
        <w:rPr>
          <w:rFonts w:hint="default" w:ascii="Arial" w:hAnsi="Arial" w:cs="Arial"/>
          <w:color w:val="auto"/>
          <w:sz w:val="22"/>
          <w:szCs w:val="22"/>
        </w:rPr>
      </w:pPr>
    </w:p>
    <w:p>
      <w:pPr>
        <w:spacing w:line="480" w:lineRule="auto"/>
        <w:rPr>
          <w:rFonts w:hint="default" w:ascii="Arial" w:hAnsi="Arial" w:cs="Arial"/>
          <w:color w:val="auto"/>
          <w:sz w:val="22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 w:val="0"/>
          <w:bCs w:val="0"/>
          <w:color w:val="auto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Arial" w:hAnsi="Arial" w:cs="Arial"/>
          <w:b/>
          <w:bCs/>
          <w:color w:val="auto"/>
          <w:sz w:val="22"/>
          <w:szCs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Arial" w:hAnsi="Arial" w:cs="Arial"/>
          <w:color w:val="auto"/>
          <w:sz w:val="22"/>
          <w:szCs w:val="22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  <w:lang w:val="en-US" w:eastAsia="zh-CN"/>
        </w:rPr>
        <w:t>Table S1</w:t>
      </w:r>
      <w:r>
        <w:rPr>
          <w:rFonts w:hint="default" w:ascii="Arial" w:hAnsi="Arial" w:cs="Arial"/>
          <w:b w:val="0"/>
          <w:bCs w:val="0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auto"/>
          <w:sz w:val="22"/>
          <w:szCs w:val="22"/>
          <w:lang w:val="en-US" w:eastAsia="zh-CN"/>
        </w:rPr>
        <w:t>S</w:t>
      </w:r>
      <w:r>
        <w:rPr>
          <w:rFonts w:hint="default" w:ascii="Arial" w:hAnsi="Arial" w:cs="Arial"/>
          <w:b w:val="0"/>
          <w:bCs w:val="0"/>
          <w:color w:val="auto"/>
          <w:sz w:val="22"/>
          <w:szCs w:val="22"/>
          <w:lang w:val="en-US" w:eastAsia="zh-CN"/>
        </w:rPr>
        <w:t>election of items</w:t>
      </w:r>
      <w:r>
        <w:rPr>
          <w:rFonts w:hint="default" w:ascii="Arial" w:hAnsi="Arial" w:cs="Arial"/>
          <w:color w:val="auto"/>
          <w:sz w:val="22"/>
          <w:szCs w:val="22"/>
          <w:lang w:val="en-US" w:eastAsia="zh-CN"/>
        </w:rPr>
        <w:t xml:space="preserve"> to calculate </w:t>
      </w:r>
      <w:r>
        <w:rPr>
          <w:rFonts w:hint="default" w:ascii="Arial" w:hAnsi="Arial" w:cs="Arial"/>
          <w:color w:val="auto"/>
          <w:sz w:val="22"/>
          <w:szCs w:val="22"/>
          <w:lang w:val="en-US" w:eastAsia="zh-CN"/>
        </w:rPr>
        <w:t>frailty</w:t>
      </w:r>
      <w:r>
        <w:rPr>
          <w:rFonts w:hint="default" w:ascii="Arial" w:hAnsi="Arial" w:cs="Arial"/>
          <w:color w:val="auto"/>
          <w:sz w:val="22"/>
          <w:szCs w:val="22"/>
        </w:rPr>
        <w:t xml:space="preserve"> score</w:t>
      </w:r>
      <w:r>
        <w:rPr>
          <w:rFonts w:hint="default" w:ascii="Arial" w:hAnsi="Arial" w:cs="Arial"/>
          <w:color w:val="auto"/>
          <w:sz w:val="22"/>
          <w:szCs w:val="22"/>
        </w:rPr>
        <w:tab/>
      </w:r>
    </w:p>
    <w:tbl>
      <w:tblPr>
        <w:tblStyle w:val="3"/>
        <w:tblW w:w="62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5"/>
        <w:gridCol w:w="4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Items</w:t>
            </w:r>
          </w:p>
        </w:tc>
        <w:tc>
          <w:tcPr>
            <w:tcW w:w="19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ategorization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FEF2CC" w:themeFill="accent4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Physical/ADL/IADL limitations (n=1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994" w:type="pct"/>
            <w:shd w:val="clear" w:color="auto" w:fill="FEF2CC" w:themeFill="accent4" w:themeFillTint="32"/>
            <w:noWrap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Difficulty with walking 100 Metres.</w:t>
            </w:r>
          </w:p>
        </w:tc>
        <w:tc>
          <w:tcPr>
            <w:tcW w:w="199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0=did not have any problems with the activity;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1=some difficulty with the activity or could not do the activity.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Difficulty with walking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 K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Difficulty with controlling urination and defecation.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Difficulty with getting up from chair after sitting for long periods.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Difficulty with climbing several flights of stairs without resting.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Difficulty with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tooping,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k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neeling,or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rouching.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Difficulty with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eaching or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xtending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rms above shoulder level.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Difficulty with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ifting or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arrying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eights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ver 10 Jin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(5kg)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Difficulty with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icking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mall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oin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rom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able.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Difficulty with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ressing.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Difficulty with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athing or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howering.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Difficulty with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ating.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Difficulty with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etting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ut of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ed and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alking.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Difficulty with using the toilet, including getting up or down.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Difficulty with managing money.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Difficulty with taking medications.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Difficulty with shopping for groceries.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Difficulty with preparing a hot meal.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Difficulty with cleaning house.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FEF2CC" w:themeFill="accent4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CES-D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(n=10)</w:t>
            </w:r>
          </w:p>
        </w:tc>
        <w:tc>
          <w:tcPr>
            <w:tcW w:w="1994" w:type="pct"/>
            <w:shd w:val="clear" w:color="auto" w:fill="FEF2CC" w:themeFill="accent4" w:themeFillTint="32"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Felt depressed much of the time during the past week.</w:t>
            </w:r>
          </w:p>
        </w:tc>
        <w:tc>
          <w:tcPr>
            <w:tcW w:w="199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0=Rarely or none of the time; 1= Some or a little of the time/ Occasionally or a moderate amount of the time/ Most or all of the time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Felt sleep was restless.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Was not happy most of the time.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bookmarkStart w:id="0" w:name="OLE_LINK3"/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Felt</w:t>
            </w:r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lonely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Bothered by little things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Could not get going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Had trouble keeping mind on what is doing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Felt fearful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Felt everything they did during the past week was an effort.</w:t>
            </w:r>
          </w:p>
        </w:tc>
        <w:tc>
          <w:tcPr>
            <w:tcW w:w="199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0=Most or all of the time; 1=Some or a little of the time/ Occasionally or a moderate amount of the time/ Rarely or none of the time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lt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hopeful about the future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FEF2CC" w:themeFill="accent4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Cognition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(n=4)</w:t>
            </w:r>
          </w:p>
        </w:tc>
        <w:tc>
          <w:tcPr>
            <w:tcW w:w="1994" w:type="pct"/>
            <w:shd w:val="clear" w:color="auto" w:fill="FEF2CC" w:themeFill="accent4" w:themeFillTint="32"/>
            <w:noWrap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Cannot answer correct day of the month given.</w:t>
            </w:r>
          </w:p>
        </w:tc>
        <w:tc>
          <w:tcPr>
            <w:tcW w:w="199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0=can correctly answer; 1=cannot correctly answer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Cannot answer correct month given.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Cannot answer correct year given.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Cannot answer correct day given.</w:t>
            </w:r>
          </w:p>
        </w:tc>
        <w:tc>
          <w:tcPr>
            <w:tcW w:w="19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FEF2CC" w:themeFill="accent4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Others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(n=1)</w:t>
            </w:r>
          </w:p>
        </w:tc>
        <w:tc>
          <w:tcPr>
            <w:tcW w:w="1994" w:type="pct"/>
            <w:shd w:val="clear" w:color="auto" w:fill="FEF2CC" w:themeFill="accent4" w:themeFillTint="32"/>
            <w:noWrap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Self reported health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9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0=very good/ good; 1=fair/ poor/ very poor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color w:val="auto"/>
          <w:sz w:val="22"/>
          <w:szCs w:val="22"/>
        </w:rPr>
      </w:pPr>
    </w:p>
    <w:p>
      <w:pPr>
        <w:spacing w:line="480" w:lineRule="auto"/>
        <w:rPr>
          <w:rFonts w:hint="default" w:ascii="Arial" w:hAnsi="Arial" w:cs="Arial"/>
          <w:b w:val="0"/>
          <w:bCs w:val="0"/>
          <w:color w:val="auto"/>
          <w:sz w:val="22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rPr>
          <w:rFonts w:hint="default" w:ascii="Arial" w:hAnsi="Arial" w:cs="Arial"/>
          <w:color w:val="auto"/>
          <w:sz w:val="22"/>
          <w:szCs w:val="22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</w:rPr>
        <w:t xml:space="preserve">Table 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 w:eastAsia="zh-CN"/>
        </w:rPr>
        <w:t>S2</w:t>
      </w:r>
      <w:r>
        <w:rPr>
          <w:rFonts w:hint="default" w:ascii="Arial" w:hAnsi="Arial" w:cs="Arial"/>
          <w:color w:val="auto"/>
          <w:sz w:val="22"/>
          <w:szCs w:val="22"/>
        </w:rPr>
        <w:t xml:space="preserve"> Analysis strategy</w:t>
      </w:r>
    </w:p>
    <w:tbl>
      <w:tblPr>
        <w:tblStyle w:val="3"/>
        <w:tblW w:w="599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3913"/>
        <w:gridCol w:w="2022"/>
        <w:gridCol w:w="1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GB"/>
              </w:rPr>
              <w:t>Aim</w:t>
            </w:r>
          </w:p>
        </w:tc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1"/>
                <w:szCs w:val="21"/>
                <w:lang w:val="en-GB" w:bidi="ar"/>
              </w:rPr>
              <w:t>xposure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1"/>
                <w:szCs w:val="21"/>
                <w:lang w:val="en-US" w:eastAsia="zh-CN" w:bidi="ar"/>
              </w:rPr>
              <w:t>R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1"/>
                <w:szCs w:val="21"/>
                <w:lang w:val="en-GB" w:bidi="ar"/>
              </w:rPr>
              <w:t>eference group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1"/>
                <w:szCs w:val="21"/>
                <w:lang w:val="en-GB" w:bidi="ar"/>
              </w:rPr>
              <w:t>odel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72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GB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To evaluate independent effect of frailty or chronic conditions on CHE</w:t>
            </w:r>
          </w:p>
        </w:tc>
        <w:tc>
          <w:tcPr>
            <w:tcW w:w="191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Frailty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:</w:t>
            </w:r>
          </w:p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0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=non-frailty;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 xml:space="preserve"> 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1=frailty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on-frail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ty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GB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MSM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2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sz w:val="21"/>
                <w:szCs w:val="21"/>
                <w:lang w:val="en-GB"/>
              </w:rPr>
            </w:pPr>
          </w:p>
        </w:tc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ultimorbidity condition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 xml:space="preserve">: </w:t>
            </w:r>
          </w:p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0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 xml:space="preserve">=without chronic diseases; 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1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=single chronic disease; 2=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 xml:space="preserve"> multimorbidity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GB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 xml:space="preserve">Without 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chronic disease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GB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MSM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sz w:val="21"/>
                <w:szCs w:val="21"/>
                <w:lang w:val="en-GB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To evaluate effects of co-occurrence of frailty and chronic conditions on CHE</w:t>
            </w:r>
          </w:p>
        </w:tc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o-occurrence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:</w:t>
            </w:r>
          </w:p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1=Single chronic disease but not frail; 2=Multimorbidity but not frail;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3=Frailty without chronic diseases; 4=Frailty with single chronic disease; 5=Frailty with multimorbidity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on-frailty and without chronic disease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Time-varying Cox regression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To evaluate effects of frailty co-occurring with chronic diseases on CHE</w:t>
            </w:r>
          </w:p>
        </w:tc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o-occurrence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:</w:t>
            </w:r>
          </w:p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1=Frailty without chronic diseases; 2=Frailty with single chronic disease; 3=Frailty with multimorbidity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F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railty and without chronic disease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Time-varying Cox regression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2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To evaluate effect of multimorbidity co-occurring with frailty on CHE</w:t>
            </w:r>
          </w:p>
        </w:tc>
        <w:tc>
          <w:tcPr>
            <w:tcW w:w="19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o-occurrence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:</w:t>
            </w:r>
          </w:p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 xml:space="preserve">1=Multimorbidity but not frail; </w:t>
            </w:r>
          </w:p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2=Frailty with multimorbidity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Multimorbidity and without frailty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GB" w:bidi="ar"/>
              </w:rPr>
              <w:t>Time-varying Cox regression</w:t>
            </w:r>
          </w:p>
        </w:tc>
      </w:tr>
    </w:tbl>
    <w:p>
      <w:pPr>
        <w:rPr>
          <w:rFonts w:hint="default" w:ascii="Arial" w:hAnsi="Arial" w:eastAsia="宋体" w:cs="Arial"/>
          <w:color w:val="auto"/>
          <w:sz w:val="22"/>
          <w:szCs w:val="22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color w:val="auto"/>
          <w:sz w:val="22"/>
          <w:szCs w:val="22"/>
          <w:lang w:val="en-US" w:eastAsia="zh-CN"/>
        </w:rPr>
        <w:t>CHE,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eastAsia="宋体" w:cs="Arial"/>
          <w:color w:val="auto"/>
          <w:sz w:val="22"/>
          <w:szCs w:val="22"/>
          <w:lang w:val="en-GB" w:bidi="ar"/>
        </w:rPr>
        <w:t>catastrophic health expenditure</w:t>
      </w:r>
      <w:r>
        <w:rPr>
          <w:rFonts w:hint="default" w:ascii="Arial" w:hAnsi="Arial" w:eastAsia="宋体" w:cs="Arial"/>
          <w:color w:val="auto"/>
          <w:sz w:val="22"/>
          <w:szCs w:val="22"/>
          <w:lang w:val="en-US" w:eastAsia="zh-CN" w:bidi="ar"/>
        </w:rPr>
        <w:t>; MSM, marginal structural model.</w:t>
      </w:r>
    </w:p>
    <w:p>
      <w:pPr>
        <w:spacing w:line="360" w:lineRule="auto"/>
        <w:rPr>
          <w:rFonts w:hint="default" w:ascii="Arial" w:hAnsi="Arial" w:cs="Arial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color w:val="auto"/>
          <w:sz w:val="22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Arial" w:hAnsi="Arial" w:cs="Arial"/>
          <w:color w:val="auto"/>
          <w:sz w:val="22"/>
          <w:szCs w:val="22"/>
          <w:lang w:val="en-US" w:eastAsia="zh-CN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</w:rPr>
        <w:t>Table S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 w:eastAsia="zh-CN"/>
        </w:rPr>
        <w:t>3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auto"/>
          <w:sz w:val="22"/>
          <w:szCs w:val="22"/>
          <w:lang w:val="en-US" w:eastAsia="zh-CN"/>
        </w:rPr>
        <w:t>E-Value Calculation, Related to Table 3 and 4</w:t>
      </w:r>
    </w:p>
    <w:tbl>
      <w:tblPr>
        <w:tblStyle w:val="3"/>
        <w:tblW w:w="5515" w:type="pct"/>
        <w:tblInd w:w="-3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4"/>
        <w:gridCol w:w="720"/>
        <w:gridCol w:w="1361"/>
        <w:gridCol w:w="1024"/>
        <w:gridCol w:w="1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95%CI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  <w:tc>
          <w:tcPr>
            <w:tcW w:w="6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MSM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(Table 3)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Multimorbidity (ref. Without chronic diseases)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Single chronic disease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 to 1.40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Multimorbidity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 to 1.99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Frailty (ref. Not frail)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Frailty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 to 1.45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Time varying Cox regression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(Table 4)</w:t>
            </w:r>
            <w:bookmarkStart w:id="1" w:name="_GoBack"/>
            <w:bookmarkEnd w:id="1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 Group: without frailty and chronic diseases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Single chronic disease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 to 1.39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Multimorbidity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 to 1.81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Frailty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 to 1.35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Frailty &amp; single chronic disease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 to 1.67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Frailty &amp; multimorbidity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 to 2.38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 Group: with frailty but without chronic diseases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Without frailty and chronic diseases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 to 1.22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Single chronic disease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 to 1.36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Multimorbidity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 to 1.77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Frailty &amp; single chronic disease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 to 1.60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Frailty &amp; multimorbidity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 to 2.32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 Group: with Multimorbidity but without frailty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Without frailty and chronic diseases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 to 0.70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Single chronic disease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 to 0.86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Frailty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 to 0.84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Frailty &amp; single chronic disease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 to 1.04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Frailty &amp; multimorbidity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 to 1.48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</w:t>
            </w:r>
          </w:p>
        </w:tc>
      </w:tr>
    </w:tbl>
    <w:p>
      <w:pPr>
        <w:spacing w:line="240" w:lineRule="auto"/>
        <w:rPr>
          <w:rFonts w:hint="default" w:ascii="Arial" w:hAnsi="Arial" w:cs="Arial" w:eastAsiaTheme="minorEastAsia"/>
          <w:color w:val="auto"/>
          <w:szCs w:val="21"/>
          <w:lang w:val="en-US" w:eastAsia="zh-CN"/>
        </w:rPr>
      </w:pPr>
      <w:r>
        <w:rPr>
          <w:rFonts w:hint="default" w:ascii="Arial" w:hAnsi="Arial" w:eastAsia="宋体" w:cs="Arial"/>
          <w:color w:val="auto"/>
          <w:sz w:val="22"/>
          <w:szCs w:val="22"/>
          <w:lang w:val="en-US" w:eastAsia="zh-CN" w:bidi="ar"/>
        </w:rPr>
        <w:t xml:space="preserve">MSM, marginal structural model; </w:t>
      </w:r>
      <w:r>
        <w:rPr>
          <w:rFonts w:hint="default" w:ascii="Arial" w:hAnsi="Arial" w:cs="Arial"/>
          <w:color w:val="auto"/>
          <w:szCs w:val="21"/>
          <w:lang w:val="en-US" w:eastAsia="zh-CN"/>
        </w:rPr>
        <w:t>HR, hazard ratio; CI, Confidence Interval.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color w:val="auto"/>
          <w:sz w:val="22"/>
          <w:szCs w:val="22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color w:val="auto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mRkMzNjMWJkYTI1ZTZlNjM4ZmFiMjYyMzM3NWMifQ=="/>
  </w:docVars>
  <w:rsids>
    <w:rsidRoot w:val="0E7A4ACE"/>
    <w:rsid w:val="00C040A5"/>
    <w:rsid w:val="0E7A4ACE"/>
    <w:rsid w:val="118D22A9"/>
    <w:rsid w:val="15A414A4"/>
    <w:rsid w:val="1BD831A1"/>
    <w:rsid w:val="1C2505B5"/>
    <w:rsid w:val="253C0F20"/>
    <w:rsid w:val="2EAC0194"/>
    <w:rsid w:val="64DC3907"/>
    <w:rsid w:val="73653BD3"/>
    <w:rsid w:val="7420296E"/>
    <w:rsid w:val="74A6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725</Words>
  <Characters>4124</Characters>
  <Lines>0</Lines>
  <Paragraphs>0</Paragraphs>
  <TotalTime>0</TotalTime>
  <ScaleCrop>false</ScaleCrop>
  <LinksUpToDate>false</LinksUpToDate>
  <CharactersWithSpaces>4667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2022-05-24T12:39:00Z</dcterms:created>
  <dc:creator>soulwater</dc:creator>
  <cp:lastModifiedBy>Li_HM</cp:lastModifiedBy>
  <dcterms:modified xsi:type="dcterms:W3CDTF">2022-12-19T08:37:32Z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B63042059B264A93B8D1224FD4B972C1</vt:lpwstr>
  </property>
</Properties>
</file>