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2514" w14:textId="77777777" w:rsidR="00D90FB3" w:rsidRPr="005E6D34" w:rsidRDefault="00D90FB3" w:rsidP="00623CE6">
      <w:pPr>
        <w:spacing w:line="360" w:lineRule="auto"/>
        <w:ind w:right="-1140"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  <w:r w:rsidRPr="005E6D34">
        <w:rPr>
          <w:rFonts w:eastAsia="Times New Roman"/>
          <w:b/>
          <w:color w:val="000000"/>
          <w:sz w:val="24"/>
          <w:szCs w:val="24"/>
          <w:lang w:val="en-US"/>
        </w:rPr>
        <w:t>Supplementary Material</w:t>
      </w:r>
    </w:p>
    <w:p w14:paraId="40BBABDF" w14:textId="77777777" w:rsidR="005E6D34" w:rsidRPr="005E6D34" w:rsidRDefault="005E6D34" w:rsidP="00CA277C">
      <w:pPr>
        <w:spacing w:line="360" w:lineRule="auto"/>
        <w:ind w:right="-43"/>
        <w:jc w:val="both"/>
        <w:rPr>
          <w:color w:val="000000"/>
          <w:lang w:val="en-US"/>
        </w:rPr>
      </w:pPr>
    </w:p>
    <w:p w14:paraId="039D8E11" w14:textId="6A4DAB90" w:rsidR="00D90FB3" w:rsidRPr="005E6D34" w:rsidRDefault="00D90FB3" w:rsidP="00CA277C">
      <w:pPr>
        <w:spacing w:line="360" w:lineRule="auto"/>
        <w:ind w:right="-43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Table S1.</w:t>
      </w:r>
      <w:r w:rsidRPr="005E6D34">
        <w:rPr>
          <w:color w:val="000000"/>
          <w:sz w:val="20"/>
          <w:szCs w:val="20"/>
          <w:lang w:val="en-US"/>
        </w:rPr>
        <w:t xml:space="preserve"> Baseline data, intensive care unit length of stay, hospital length of stay, </w:t>
      </w:r>
      <w:r w:rsidR="00572F7C" w:rsidRPr="005E6D34">
        <w:rPr>
          <w:color w:val="000000"/>
          <w:sz w:val="20"/>
          <w:szCs w:val="20"/>
          <w:lang w:val="en-US"/>
        </w:rPr>
        <w:t>intensive care unit</w:t>
      </w:r>
      <w:r w:rsidRPr="005E6D34">
        <w:rPr>
          <w:color w:val="000000"/>
          <w:sz w:val="20"/>
          <w:szCs w:val="20"/>
          <w:lang w:val="en-US"/>
        </w:rPr>
        <w:t xml:space="preserve"> mortality</w:t>
      </w:r>
      <w:r w:rsidR="00AE125F" w:rsidRPr="005E6D34">
        <w:rPr>
          <w:color w:val="000000"/>
          <w:sz w:val="20"/>
          <w:szCs w:val="20"/>
          <w:lang w:val="en-US"/>
        </w:rPr>
        <w:t>,</w:t>
      </w:r>
      <w:r w:rsidRPr="005E6D34">
        <w:rPr>
          <w:color w:val="000000"/>
          <w:sz w:val="20"/>
          <w:szCs w:val="20"/>
          <w:lang w:val="en-US"/>
        </w:rPr>
        <w:t xml:space="preserve"> and hospital mortality among adult critically ill patients with sepsis from the community (n = 864)</w:t>
      </w:r>
    </w:p>
    <w:tbl>
      <w:tblPr>
        <w:tblW w:w="9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96"/>
        <w:gridCol w:w="3260"/>
      </w:tblGrid>
      <w:tr w:rsidR="00D90FB3" w:rsidRPr="005E6D34" w14:paraId="55B7E112" w14:textId="77777777" w:rsidTr="00633E9E">
        <w:trPr>
          <w:trHeight w:val="502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D9EC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Age, years, mean (SD)</w:t>
            </w:r>
          </w:p>
          <w:p w14:paraId="4E3811F8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Above 60 years, n (%)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2BC3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65.2 (21.3)</w:t>
            </w:r>
          </w:p>
          <w:p w14:paraId="6599BB6B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507 (58.7)</w:t>
            </w:r>
          </w:p>
        </w:tc>
      </w:tr>
      <w:tr w:rsidR="00D90FB3" w:rsidRPr="005E6D34" w14:paraId="23B8BDB9" w14:textId="77777777" w:rsidTr="00633E9E">
        <w:trPr>
          <w:trHeight w:val="293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4A48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Female gender,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5E5C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485 (56.1)</w:t>
            </w:r>
          </w:p>
        </w:tc>
      </w:tr>
      <w:tr w:rsidR="00D90FB3" w:rsidRPr="005E6D34" w14:paraId="0D3EC011" w14:textId="77777777" w:rsidTr="00633E9E">
        <w:trPr>
          <w:trHeight w:val="1363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34EF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Referrer, n (%)</w:t>
            </w:r>
          </w:p>
          <w:p w14:paraId="70225651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Emergency Department</w:t>
            </w:r>
          </w:p>
          <w:p w14:paraId="705642AE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Ward</w:t>
            </w:r>
          </w:p>
          <w:p w14:paraId="7DE10154" w14:textId="77777777" w:rsidR="001A405A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Nursing home or long-term care facility </w:t>
            </w:r>
          </w:p>
          <w:p w14:paraId="3849101D" w14:textId="24FFA170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Surgery </w:t>
            </w:r>
            <w:r w:rsidR="000C6AA6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oom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E899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0C171B0A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637 (73.1)</w:t>
            </w:r>
          </w:p>
          <w:p w14:paraId="6D74FFDC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150 (17</w:t>
            </w:r>
            <w:r w:rsidR="00E8540A" w:rsidRPr="005E6D34">
              <w:rPr>
                <w:color w:val="000000"/>
                <w:sz w:val="20"/>
                <w:szCs w:val="20"/>
                <w:lang w:val="en-US"/>
              </w:rPr>
              <w:t>.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3)</w:t>
            </w:r>
          </w:p>
          <w:p w14:paraId="3C8881B9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69 (8.0)</w:t>
            </w:r>
          </w:p>
          <w:p w14:paraId="5BE57823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 (0.9)</w:t>
            </w:r>
          </w:p>
        </w:tc>
      </w:tr>
      <w:tr w:rsidR="00D90FB3" w:rsidRPr="005E6D34" w14:paraId="2B41A54A" w14:textId="77777777" w:rsidTr="00633E9E">
        <w:trPr>
          <w:trHeight w:val="1855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0E7D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Site of primary infection, n (%)</w:t>
            </w:r>
          </w:p>
          <w:p w14:paraId="2F47A1BC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Lung</w:t>
            </w:r>
          </w:p>
          <w:p w14:paraId="6A147858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Urinary tract</w:t>
            </w:r>
          </w:p>
          <w:p w14:paraId="4341CA19" w14:textId="139A358B" w:rsidR="00D90FB3" w:rsidRPr="005E6D34" w:rsidRDefault="002D0A58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Digestive/Abdominal cavity</w:t>
            </w:r>
            <w:r w:rsidR="001A405A" w:rsidRPr="005E6D34">
              <w:rPr>
                <w:color w:val="000000"/>
                <w:sz w:val="20"/>
                <w:szCs w:val="20"/>
                <w:lang w:val="en-US"/>
              </w:rPr>
              <w:br/>
            </w:r>
            <w:r w:rsidR="00D90FB3" w:rsidRPr="005E6D34">
              <w:rPr>
                <w:color w:val="000000"/>
                <w:sz w:val="20"/>
                <w:szCs w:val="20"/>
                <w:lang w:val="en-US"/>
              </w:rPr>
              <w:t xml:space="preserve">Skin and soft </w:t>
            </w:r>
            <w:r w:rsidR="00E8540A" w:rsidRPr="005E6D34">
              <w:rPr>
                <w:color w:val="000000"/>
                <w:sz w:val="20"/>
                <w:szCs w:val="20"/>
                <w:lang w:val="en-US"/>
              </w:rPr>
              <w:t>tissue</w:t>
            </w:r>
          </w:p>
          <w:p w14:paraId="4DF30616" w14:textId="7A005A33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Others</w:t>
            </w:r>
            <w:r w:rsidR="002D0A58"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4E22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6DEB6DE1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497 (57.5)</w:t>
            </w:r>
          </w:p>
          <w:p w14:paraId="7BE33091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155 (17.9)</w:t>
            </w:r>
          </w:p>
          <w:p w14:paraId="55CB372A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85 (9.8)</w:t>
            </w:r>
          </w:p>
          <w:p w14:paraId="70103646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37 (4.3)</w:t>
            </w:r>
          </w:p>
          <w:p w14:paraId="38FF0A79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90 (10.4)</w:t>
            </w:r>
          </w:p>
        </w:tc>
      </w:tr>
      <w:tr w:rsidR="00D90FB3" w:rsidRPr="005E6D34" w14:paraId="5AB004DC" w14:textId="77777777" w:rsidTr="00633E9E">
        <w:trPr>
          <w:trHeight w:val="381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DFDA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MDR</w:t>
            </w:r>
            <w:r w:rsidR="00E12812" w:rsidRPr="005E6D34">
              <w:rPr>
                <w:color w:val="000000"/>
                <w:sz w:val="20"/>
                <w:szCs w:val="20"/>
                <w:lang w:val="en-US"/>
              </w:rPr>
              <w:t>O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bacterial infection at hospital admission,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6B1E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85 (9.8)</w:t>
            </w:r>
          </w:p>
        </w:tc>
      </w:tr>
      <w:tr w:rsidR="00D90FB3" w:rsidRPr="005E6D34" w14:paraId="13ABC561" w14:textId="77777777" w:rsidTr="00633E9E">
        <w:trPr>
          <w:trHeight w:val="644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5725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APACHE II, mean (SD)</w:t>
            </w:r>
          </w:p>
          <w:p w14:paraId="6D96FD81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Above 16,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409D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15.1 (7.3)</w:t>
            </w:r>
          </w:p>
          <w:p w14:paraId="0A239F87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393 (45.5)</w:t>
            </w:r>
          </w:p>
        </w:tc>
      </w:tr>
      <w:tr w:rsidR="00D90FB3" w:rsidRPr="005E6D34" w14:paraId="51D5A0EE" w14:textId="77777777" w:rsidTr="00633E9E">
        <w:trPr>
          <w:trHeight w:val="336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CAB8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Functional independence,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BC53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331 (38.3)</w:t>
            </w:r>
          </w:p>
        </w:tc>
      </w:tr>
      <w:tr w:rsidR="00D90FB3" w:rsidRPr="005E6D34" w14:paraId="3534817F" w14:textId="77777777" w:rsidTr="00633E9E">
        <w:trPr>
          <w:trHeight w:val="537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B011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SOFA, median (IQ</w:t>
            </w:r>
            <w:r w:rsidR="002B2742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2B2742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  <w:p w14:paraId="08EE3B58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Two or more organ failure,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572A" w14:textId="77777777" w:rsidR="00D90FB3" w:rsidRPr="005E6D34" w:rsidRDefault="00D90FB3" w:rsidP="00C55BD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2.0 (</w:t>
            </w:r>
            <w:r w:rsidR="00750175" w:rsidRPr="005E6D34">
              <w:rPr>
                <w:color w:val="000000"/>
                <w:sz w:val="20"/>
                <w:szCs w:val="20"/>
                <w:lang w:val="en-US"/>
              </w:rPr>
              <w:t>2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.0–4.0)</w:t>
            </w:r>
          </w:p>
          <w:p w14:paraId="3587C8F0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513 (59.4)</w:t>
            </w:r>
          </w:p>
        </w:tc>
      </w:tr>
      <w:tr w:rsidR="00D90FB3" w:rsidRPr="005E6D34" w14:paraId="54FDE4A7" w14:textId="77777777" w:rsidTr="00633E9E">
        <w:trPr>
          <w:trHeight w:val="3453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A49A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Comorbidities, n (%)</w:t>
            </w:r>
          </w:p>
          <w:p w14:paraId="75AF7C03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Diabetes mellitus</w:t>
            </w:r>
          </w:p>
          <w:p w14:paraId="683577A6" w14:textId="3C6A7ED0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Im</w:t>
            </w:r>
            <w:r w:rsidR="00495D92" w:rsidRPr="005E6D34">
              <w:rPr>
                <w:color w:val="000000"/>
                <w:sz w:val="20"/>
                <w:szCs w:val="20"/>
                <w:lang w:val="en-US"/>
              </w:rPr>
              <w:t>m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unosupression</w:t>
            </w:r>
          </w:p>
          <w:p w14:paraId="3AEB6A08" w14:textId="4D995037" w:rsidR="007D1485" w:rsidRPr="005E6D34" w:rsidRDefault="007D1485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Neoplasm</w:t>
            </w:r>
          </w:p>
          <w:p w14:paraId="26B98CC9" w14:textId="18F2EFEF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Psychiatric Disease</w:t>
            </w:r>
          </w:p>
          <w:p w14:paraId="375AC546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Congestive heart failure</w:t>
            </w:r>
          </w:p>
          <w:p w14:paraId="304EE87F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Chronic kidney disease</w:t>
            </w:r>
          </w:p>
          <w:p w14:paraId="5E3A1059" w14:textId="77777777" w:rsidR="00D90FB3" w:rsidRPr="005E6D34" w:rsidRDefault="00D90FB3" w:rsidP="00CA277C">
            <w:pPr>
              <w:spacing w:line="360" w:lineRule="auto"/>
              <w:ind w:left="1417" w:right="-13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Chronic kidney disease on RRT</w:t>
            </w:r>
          </w:p>
          <w:p w14:paraId="749219B8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COPD</w:t>
            </w:r>
          </w:p>
          <w:p w14:paraId="23F19D8F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Stroke with permanent sequel</w:t>
            </w:r>
          </w:p>
          <w:p w14:paraId="07363837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Dementia</w:t>
            </w:r>
          </w:p>
          <w:p w14:paraId="46175179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Liver cirrhosis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7157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3E11DD0A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238 (27.5)</w:t>
            </w:r>
          </w:p>
          <w:p w14:paraId="4E599895" w14:textId="5FBAD379" w:rsidR="00D90FB3" w:rsidRPr="005E6D34" w:rsidRDefault="007D1485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208 (24.1)</w:t>
            </w:r>
          </w:p>
          <w:p w14:paraId="1D4FC078" w14:textId="17978A92" w:rsidR="007D1485" w:rsidRPr="005E6D34" w:rsidRDefault="007D1485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163 (18.9)</w:t>
            </w:r>
          </w:p>
          <w:p w14:paraId="4020D94F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116 (13.4)</w:t>
            </w:r>
          </w:p>
          <w:p w14:paraId="473D9533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91 (10.5)</w:t>
            </w:r>
          </w:p>
          <w:p w14:paraId="209195C7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73 (8.4)</w:t>
            </w:r>
          </w:p>
          <w:p w14:paraId="0C2BBB61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24 (2.8)</w:t>
            </w:r>
          </w:p>
          <w:p w14:paraId="04C021AD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67 (7.8)</w:t>
            </w:r>
          </w:p>
          <w:p w14:paraId="59D8AE7B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48 (5.6)</w:t>
            </w:r>
          </w:p>
          <w:p w14:paraId="68AA8D35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37 (4.3)</w:t>
            </w:r>
          </w:p>
          <w:p w14:paraId="71F81300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 (0.5)</w:t>
            </w:r>
          </w:p>
        </w:tc>
      </w:tr>
      <w:tr w:rsidR="00D90FB3" w:rsidRPr="005E6D34" w14:paraId="59C3229C" w14:textId="77777777" w:rsidTr="00633E9E">
        <w:trPr>
          <w:trHeight w:val="448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CC09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Hypoxemic acute respiratory failure, n (%)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5484A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158 (18.3)</w:t>
            </w:r>
          </w:p>
        </w:tc>
      </w:tr>
      <w:tr w:rsidR="00D90FB3" w:rsidRPr="005E6D34" w14:paraId="422199FB" w14:textId="77777777" w:rsidTr="00633E9E">
        <w:trPr>
          <w:trHeight w:val="505"/>
        </w:trPr>
        <w:tc>
          <w:tcPr>
            <w:tcW w:w="6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B1CF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Vasopressor on the first hour of ICU admission, n (%)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24B2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42 (4.9)</w:t>
            </w:r>
          </w:p>
        </w:tc>
      </w:tr>
      <w:tr w:rsidR="00D90FB3" w:rsidRPr="005E6D34" w14:paraId="0171EE88" w14:textId="77777777" w:rsidTr="00633E9E">
        <w:trPr>
          <w:trHeight w:val="454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F971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Axillary temperature, median (IQ</w:t>
            </w:r>
            <w:r w:rsidR="00C54317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314AF3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  <w:p w14:paraId="589A33EC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Below 35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o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C, n (%)</w:t>
            </w:r>
          </w:p>
          <w:p w14:paraId="2EC6D6B4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Above 38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o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C,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756F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36.1 (35.8–36.6)</w:t>
            </w:r>
          </w:p>
          <w:p w14:paraId="0DD0E617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23 (2.7)</w:t>
            </w:r>
          </w:p>
          <w:p w14:paraId="2217ADC4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29 (3.4)</w:t>
            </w:r>
          </w:p>
        </w:tc>
      </w:tr>
      <w:tr w:rsidR="00D90FB3" w:rsidRPr="005E6D34" w14:paraId="199159CB" w14:textId="77777777" w:rsidTr="00633E9E">
        <w:trPr>
          <w:trHeight w:val="559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7EF9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Glasgow Coma Score, median (IQ</w:t>
            </w:r>
            <w:r w:rsidR="00C54317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C54317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  <w:p w14:paraId="2E8BC657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Below 15,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B935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15 (14–15)</w:t>
            </w:r>
          </w:p>
          <w:p w14:paraId="3E81EDEC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234 (27.5)</w:t>
            </w:r>
          </w:p>
        </w:tc>
      </w:tr>
      <w:tr w:rsidR="00D90FB3" w:rsidRPr="005E6D34" w14:paraId="201BA697" w14:textId="77777777" w:rsidTr="00633E9E">
        <w:trPr>
          <w:trHeight w:val="420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792A" w14:textId="771D290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Hemoglobin, g/dL, median (IQ</w:t>
            </w:r>
            <w:r w:rsidR="008F1842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8F1842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  <w:r w:rsidR="00EC3663"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  <w:p w14:paraId="29EB37D8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Below 10.0 g/dL,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2F69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12.0 (10.0–13.0)</w:t>
            </w:r>
          </w:p>
          <w:p w14:paraId="4A89B618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198 (22.9)</w:t>
            </w:r>
          </w:p>
        </w:tc>
      </w:tr>
      <w:tr w:rsidR="00D90FB3" w:rsidRPr="005E6D34" w14:paraId="604FC187" w14:textId="77777777" w:rsidTr="00633E9E">
        <w:trPr>
          <w:trHeight w:val="480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A999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Leukocytes count,  leukocytes/mm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, median (IQ 25</w:t>
            </w:r>
            <w:r w:rsidR="008F1842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  <w:p w14:paraId="2FC13C02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Less than 4,500 leukocytes/mm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, n (%)</w:t>
            </w:r>
          </w:p>
          <w:p w14:paraId="2327E202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More than 11,000 leukocytes/mm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32EE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8.8 (6.0–13.0)</w:t>
            </w:r>
          </w:p>
          <w:p w14:paraId="0AACA3E3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127 (14.7)</w:t>
            </w:r>
          </w:p>
          <w:p w14:paraId="1C1803A0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303 (35.1)</w:t>
            </w:r>
          </w:p>
        </w:tc>
      </w:tr>
      <w:tr w:rsidR="00D90FB3" w:rsidRPr="005E6D34" w14:paraId="3DE15869" w14:textId="77777777" w:rsidTr="00633E9E">
        <w:trPr>
          <w:trHeight w:val="465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3EEB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Platelets count, platelets/mm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, median (IQ</w:t>
            </w:r>
            <w:r w:rsidR="008F1842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8F1842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  <w:p w14:paraId="603AA645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Lower than 200,000 platelets/mm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8A4B" w14:textId="77777777" w:rsidR="00D90FB3" w:rsidRPr="005E6D34" w:rsidRDefault="00D90FB3" w:rsidP="00CA277C">
            <w:pPr>
              <w:spacing w:line="360" w:lineRule="auto"/>
              <w:ind w:left="-100" w:right="-1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195,000 (152,000–251,7750)</w:t>
            </w:r>
          </w:p>
          <w:p w14:paraId="1A0B484C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455 (52.7)</w:t>
            </w:r>
          </w:p>
        </w:tc>
      </w:tr>
      <w:tr w:rsidR="00D90FB3" w:rsidRPr="005E6D34" w14:paraId="1F2FDAC0" w14:textId="77777777" w:rsidTr="00633E9E">
        <w:trPr>
          <w:trHeight w:val="499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94F5" w14:textId="296C9BC1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Serum creatinine, mg/dL, median (IQ</w:t>
            </w:r>
            <w:r w:rsidR="00707B7C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707B7C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  <w:r w:rsidR="00EC3663"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c</w:t>
            </w:r>
          </w:p>
          <w:p w14:paraId="4FA42231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Above 1.4 mg/dL, n (%)</w:t>
            </w:r>
            <w:r w:rsidRPr="005E6D34">
              <w:rPr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8B90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1.0 (1.0</w:t>
            </w:r>
            <w:r w:rsidR="00707B7C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1.0)</w:t>
            </w:r>
          </w:p>
          <w:p w14:paraId="03B70462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186 (21.6)</w:t>
            </w:r>
          </w:p>
        </w:tc>
      </w:tr>
      <w:tr w:rsidR="00D90FB3" w:rsidRPr="005E6D34" w14:paraId="7DC390EF" w14:textId="77777777" w:rsidTr="00633E9E">
        <w:trPr>
          <w:trHeight w:val="480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C59B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Arterial lactate, mg/dL, median (IQ</w:t>
            </w:r>
            <w:r w:rsidR="00707B7C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707B7C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  <w:p w14:paraId="1B947439" w14:textId="77777777" w:rsidR="00D90FB3" w:rsidRPr="005E6D34" w:rsidRDefault="00D90FB3" w:rsidP="00CA277C">
            <w:pPr>
              <w:spacing w:line="360" w:lineRule="auto"/>
              <w:ind w:left="141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Above 2.0 mg/dL,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68EE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1.0 (1.0</w:t>
            </w:r>
            <w:r w:rsidR="00B6101A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2.0)</w:t>
            </w:r>
          </w:p>
          <w:p w14:paraId="67352B1B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283 (32.8)</w:t>
            </w:r>
          </w:p>
        </w:tc>
      </w:tr>
      <w:tr w:rsidR="00D90FB3" w:rsidRPr="005E6D34" w14:paraId="445BA3D6" w14:textId="77777777" w:rsidTr="00633E9E">
        <w:trPr>
          <w:trHeight w:val="275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10C4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ICU-LOS, days, median (IQ</w:t>
            </w:r>
            <w:r w:rsidR="00B6101A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B6101A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176E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5.0 (3.0–9.0)</w:t>
            </w:r>
          </w:p>
        </w:tc>
      </w:tr>
      <w:tr w:rsidR="00D90FB3" w:rsidRPr="005E6D34" w14:paraId="687CA486" w14:textId="77777777" w:rsidTr="00633E9E">
        <w:trPr>
          <w:trHeight w:val="284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3085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Hospital-LOS, days, median (IQ</w:t>
            </w:r>
            <w:r w:rsidR="00B6101A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B6101A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27C0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8.0 (6.0–15.0)</w:t>
            </w:r>
          </w:p>
        </w:tc>
      </w:tr>
      <w:tr w:rsidR="00D90FB3" w:rsidRPr="005E6D34" w14:paraId="61E9018B" w14:textId="77777777" w:rsidTr="00633E9E">
        <w:trPr>
          <w:trHeight w:val="289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963A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ICU mortality,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F7FA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85 (9.8)</w:t>
            </w:r>
          </w:p>
        </w:tc>
      </w:tr>
      <w:tr w:rsidR="00D90FB3" w:rsidRPr="005E6D34" w14:paraId="1BE33288" w14:textId="77777777" w:rsidTr="00633E9E">
        <w:trPr>
          <w:trHeight w:val="289"/>
        </w:trPr>
        <w:tc>
          <w:tcPr>
            <w:tcW w:w="6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1587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Hospital mortality, n (%)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A254" w14:textId="77777777" w:rsidR="00D90FB3" w:rsidRPr="005E6D34" w:rsidRDefault="00D90FB3" w:rsidP="00CA277C">
            <w:pPr>
              <w:spacing w:line="360" w:lineRule="auto"/>
              <w:ind w:left="-1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100 (11.6)</w:t>
            </w:r>
          </w:p>
        </w:tc>
      </w:tr>
    </w:tbl>
    <w:p w14:paraId="4A3124E4" w14:textId="77A764B1" w:rsidR="00FC28DD" w:rsidRPr="005E6D34" w:rsidRDefault="00FC28DD" w:rsidP="0083484B">
      <w:pPr>
        <w:spacing w:line="360" w:lineRule="auto"/>
        <w:ind w:right="-327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Notes:</w:t>
      </w:r>
      <w:r w:rsidR="002D0A58" w:rsidRPr="005E6D34">
        <w:rPr>
          <w:color w:val="000000"/>
          <w:sz w:val="20"/>
          <w:szCs w:val="20"/>
          <w:lang w:val="en-US"/>
        </w:rPr>
        <w:t xml:space="preserve"> </w:t>
      </w:r>
      <w:r w:rsidR="002D0A58" w:rsidRPr="005E6D34">
        <w:rPr>
          <w:color w:val="000000"/>
          <w:sz w:val="20"/>
          <w:szCs w:val="20"/>
          <w:vertAlign w:val="superscript"/>
          <w:lang w:val="en-US"/>
        </w:rPr>
        <w:t>a</w:t>
      </w:r>
      <w:r w:rsidR="002D0A58" w:rsidRPr="005E6D34">
        <w:rPr>
          <w:color w:val="000000"/>
          <w:sz w:val="20"/>
          <w:szCs w:val="20"/>
          <w:lang w:val="en-US"/>
        </w:rPr>
        <w:t xml:space="preserve"> </w:t>
      </w:r>
      <w:r w:rsidR="0083484B" w:rsidRPr="005E6D34">
        <w:rPr>
          <w:color w:val="000000"/>
          <w:sz w:val="20"/>
          <w:szCs w:val="20"/>
          <w:lang w:val="en-US"/>
        </w:rPr>
        <w:t>G</w:t>
      </w:r>
      <w:r w:rsidR="002D0A58" w:rsidRPr="005E6D34">
        <w:rPr>
          <w:color w:val="000000"/>
          <w:sz w:val="20"/>
          <w:szCs w:val="20"/>
          <w:lang w:val="en-US"/>
        </w:rPr>
        <w:t xml:space="preserve">ynecologic/obstetric, central nervous system, </w:t>
      </w:r>
      <w:r w:rsidR="005821BE" w:rsidRPr="005E6D34">
        <w:rPr>
          <w:color w:val="000000"/>
          <w:sz w:val="20"/>
          <w:szCs w:val="20"/>
          <w:lang w:val="en-US"/>
        </w:rPr>
        <w:t xml:space="preserve">bone, joints, </w:t>
      </w:r>
      <w:r w:rsidR="0083484B" w:rsidRPr="005E6D34">
        <w:rPr>
          <w:color w:val="000000"/>
          <w:sz w:val="20"/>
          <w:szCs w:val="20"/>
          <w:lang w:val="en-US"/>
        </w:rPr>
        <w:t>endocarditis, and unknown origin.</w:t>
      </w:r>
      <w:r w:rsidR="002D0A58" w:rsidRPr="005E6D34">
        <w:rPr>
          <w:color w:val="000000"/>
          <w:sz w:val="20"/>
          <w:szCs w:val="20"/>
          <w:lang w:val="en-US"/>
        </w:rPr>
        <w:t xml:space="preserve"> </w:t>
      </w:r>
      <w:r w:rsidR="002D0A58" w:rsidRPr="005E6D34">
        <w:rPr>
          <w:color w:val="000000"/>
          <w:sz w:val="20"/>
          <w:szCs w:val="20"/>
          <w:vertAlign w:val="superscript"/>
          <w:lang w:val="en-US"/>
        </w:rPr>
        <w:t xml:space="preserve">b </w:t>
      </w:r>
      <w:r w:rsidR="002D0A58" w:rsidRPr="005E6D34">
        <w:rPr>
          <w:color w:val="000000"/>
          <w:sz w:val="20"/>
          <w:szCs w:val="20"/>
          <w:lang w:val="en-US"/>
        </w:rPr>
        <w:t xml:space="preserve">Hemoglobin was not reported in 20 patients. </w:t>
      </w:r>
      <w:r w:rsidR="002D0A58" w:rsidRPr="005E6D34">
        <w:rPr>
          <w:color w:val="000000"/>
          <w:sz w:val="20"/>
          <w:szCs w:val="20"/>
          <w:vertAlign w:val="superscript"/>
          <w:lang w:val="en-US"/>
        </w:rPr>
        <w:t>c</w:t>
      </w:r>
      <w:r w:rsidR="002D0A58" w:rsidRPr="005E6D34">
        <w:rPr>
          <w:color w:val="000000"/>
          <w:sz w:val="20"/>
          <w:szCs w:val="20"/>
          <w:lang w:val="en-US"/>
        </w:rPr>
        <w:t xml:space="preserve"> Serum creatinine was not reported in one patient.</w:t>
      </w:r>
    </w:p>
    <w:p w14:paraId="76163FDA" w14:textId="1FF30C72" w:rsidR="00D90FB3" w:rsidRPr="005E6D34" w:rsidRDefault="00FC28DD" w:rsidP="00FC28DD">
      <w:pPr>
        <w:spacing w:line="360" w:lineRule="auto"/>
        <w:ind w:right="-185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Abbreviations:</w:t>
      </w:r>
      <w:r w:rsidRPr="005E6D34">
        <w:rPr>
          <w:color w:val="000000"/>
          <w:sz w:val="20"/>
          <w:szCs w:val="20"/>
          <w:lang w:val="en-US"/>
        </w:rPr>
        <w:t xml:space="preserve"> </w:t>
      </w:r>
      <w:r w:rsidR="00D90FB3" w:rsidRPr="005E6D34">
        <w:rPr>
          <w:color w:val="000000"/>
          <w:sz w:val="20"/>
          <w:szCs w:val="20"/>
          <w:lang w:val="en-US"/>
        </w:rPr>
        <w:t>APACHE II: Acute Physiology and Chronic Health Evaluation II; MDR</w:t>
      </w:r>
      <w:r w:rsidR="00E12812" w:rsidRPr="005E6D34">
        <w:rPr>
          <w:color w:val="000000"/>
          <w:sz w:val="20"/>
          <w:szCs w:val="20"/>
          <w:lang w:val="en-US"/>
        </w:rPr>
        <w:t>O</w:t>
      </w:r>
      <w:r w:rsidR="00D90FB3" w:rsidRPr="005E6D34">
        <w:rPr>
          <w:color w:val="000000"/>
          <w:sz w:val="20"/>
          <w:szCs w:val="20"/>
          <w:lang w:val="en-US"/>
        </w:rPr>
        <w:t xml:space="preserve">: </w:t>
      </w:r>
      <w:r w:rsidR="0004745B" w:rsidRPr="005E6D34">
        <w:rPr>
          <w:color w:val="000000"/>
          <w:sz w:val="20"/>
          <w:szCs w:val="20"/>
          <w:lang w:val="en-US"/>
        </w:rPr>
        <w:t>multidrug-</w:t>
      </w:r>
      <w:r w:rsidR="00D90FB3" w:rsidRPr="005E6D34">
        <w:rPr>
          <w:color w:val="000000"/>
          <w:sz w:val="20"/>
          <w:szCs w:val="20"/>
          <w:lang w:val="en-US"/>
        </w:rPr>
        <w:t>resistant</w:t>
      </w:r>
      <w:r w:rsidR="00E12812" w:rsidRPr="005E6D34">
        <w:rPr>
          <w:color w:val="000000"/>
          <w:sz w:val="20"/>
          <w:szCs w:val="20"/>
          <w:lang w:val="en-US"/>
        </w:rPr>
        <w:t xml:space="preserve"> organisms</w:t>
      </w:r>
      <w:r w:rsidR="00D90FB3" w:rsidRPr="005E6D34">
        <w:rPr>
          <w:color w:val="000000"/>
          <w:sz w:val="20"/>
          <w:szCs w:val="20"/>
          <w:lang w:val="en-US"/>
        </w:rPr>
        <w:t xml:space="preserve">, SOFA: Sequential Organ Failure Assessment; RRT: </w:t>
      </w:r>
      <w:r w:rsidR="0004745B" w:rsidRPr="005E6D34">
        <w:rPr>
          <w:color w:val="000000"/>
          <w:sz w:val="20"/>
          <w:szCs w:val="20"/>
          <w:lang w:val="en-US"/>
        </w:rPr>
        <w:t>R</w:t>
      </w:r>
      <w:r w:rsidR="00D90FB3" w:rsidRPr="005E6D34">
        <w:rPr>
          <w:color w:val="000000"/>
          <w:sz w:val="20"/>
          <w:szCs w:val="20"/>
          <w:lang w:val="en-US"/>
        </w:rPr>
        <w:t xml:space="preserve">enal replacement therapy; COPD: </w:t>
      </w:r>
      <w:r w:rsidR="0004745B" w:rsidRPr="005E6D34">
        <w:rPr>
          <w:color w:val="000000"/>
          <w:sz w:val="20"/>
          <w:szCs w:val="20"/>
          <w:lang w:val="en-US"/>
        </w:rPr>
        <w:t>C</w:t>
      </w:r>
      <w:r w:rsidR="00D90FB3" w:rsidRPr="005E6D34">
        <w:rPr>
          <w:color w:val="000000"/>
          <w:sz w:val="20"/>
          <w:szCs w:val="20"/>
          <w:lang w:val="en-US"/>
        </w:rPr>
        <w:t xml:space="preserve">hronic obstructive pulmonary disease; </w:t>
      </w:r>
      <w:r w:rsidR="000F4F45" w:rsidRPr="005E6D34">
        <w:rPr>
          <w:color w:val="000000"/>
          <w:sz w:val="20"/>
          <w:szCs w:val="20"/>
          <w:lang w:val="en-US"/>
        </w:rPr>
        <w:t>ICU: Intensive care unit</w:t>
      </w:r>
      <w:r w:rsidR="004524AD" w:rsidRPr="005E6D34">
        <w:rPr>
          <w:color w:val="000000"/>
          <w:sz w:val="20"/>
          <w:szCs w:val="20"/>
          <w:lang w:val="en-US"/>
        </w:rPr>
        <w:t>; ICU-LOS: Intensive care unit length of stay</w:t>
      </w:r>
      <w:r w:rsidR="00602184" w:rsidRPr="005E6D34">
        <w:rPr>
          <w:color w:val="000000"/>
          <w:sz w:val="20"/>
          <w:szCs w:val="20"/>
          <w:lang w:val="en-US"/>
        </w:rPr>
        <w:t>; Hospital-LOS: Hospital length of stay;</w:t>
      </w:r>
      <w:r w:rsidR="004524AD" w:rsidRPr="005E6D34">
        <w:rPr>
          <w:color w:val="000000"/>
          <w:sz w:val="20"/>
          <w:szCs w:val="20"/>
          <w:lang w:val="en-US"/>
        </w:rPr>
        <w:t xml:space="preserve"> </w:t>
      </w:r>
      <w:r w:rsidR="00D90FB3" w:rsidRPr="005E6D34">
        <w:rPr>
          <w:color w:val="000000"/>
          <w:sz w:val="20"/>
          <w:szCs w:val="20"/>
          <w:lang w:val="en-US"/>
        </w:rPr>
        <w:t xml:space="preserve">SD: </w:t>
      </w:r>
      <w:r w:rsidR="00E31371" w:rsidRPr="005E6D34">
        <w:rPr>
          <w:color w:val="000000"/>
          <w:sz w:val="20"/>
          <w:szCs w:val="20"/>
          <w:lang w:val="en-US"/>
        </w:rPr>
        <w:t>S</w:t>
      </w:r>
      <w:r w:rsidR="00D90FB3" w:rsidRPr="005E6D34">
        <w:rPr>
          <w:color w:val="000000"/>
          <w:sz w:val="20"/>
          <w:szCs w:val="20"/>
          <w:lang w:val="en-US"/>
        </w:rPr>
        <w:t>tandard deviation; IQ</w:t>
      </w:r>
      <w:r w:rsidR="00E31371" w:rsidRPr="005E6D34">
        <w:rPr>
          <w:color w:val="000000"/>
          <w:sz w:val="20"/>
          <w:szCs w:val="20"/>
          <w:lang w:val="en-US"/>
        </w:rPr>
        <w:t>R</w:t>
      </w:r>
      <w:r w:rsidR="00D90FB3" w:rsidRPr="005E6D34">
        <w:rPr>
          <w:color w:val="000000"/>
          <w:sz w:val="20"/>
          <w:szCs w:val="20"/>
          <w:lang w:val="en-US"/>
        </w:rPr>
        <w:t xml:space="preserve"> 25</w:t>
      </w:r>
      <w:r w:rsidR="00E31371" w:rsidRPr="005E6D34">
        <w:rPr>
          <w:color w:val="000000"/>
          <w:sz w:val="20"/>
          <w:szCs w:val="20"/>
          <w:lang w:val="en-US"/>
        </w:rPr>
        <w:t>–</w:t>
      </w:r>
      <w:r w:rsidR="00D90FB3" w:rsidRPr="005E6D34">
        <w:rPr>
          <w:color w:val="000000"/>
          <w:sz w:val="20"/>
          <w:szCs w:val="20"/>
          <w:lang w:val="en-US"/>
        </w:rPr>
        <w:t>75%: interquartile range 25</w:t>
      </w:r>
      <w:r w:rsidR="00E31371" w:rsidRPr="005E6D34">
        <w:rPr>
          <w:color w:val="000000"/>
          <w:sz w:val="20"/>
          <w:szCs w:val="20"/>
          <w:lang w:val="en-US"/>
        </w:rPr>
        <w:t>–</w:t>
      </w:r>
      <w:r w:rsidR="00D90FB3" w:rsidRPr="005E6D34">
        <w:rPr>
          <w:color w:val="000000"/>
          <w:sz w:val="20"/>
          <w:szCs w:val="20"/>
          <w:lang w:val="en-US"/>
        </w:rPr>
        <w:t>75%.</w:t>
      </w:r>
    </w:p>
    <w:p w14:paraId="1CE5F886" w14:textId="77777777" w:rsidR="00D90FB3" w:rsidRPr="005E6D34" w:rsidRDefault="00D90FB3" w:rsidP="00CA277C">
      <w:pPr>
        <w:spacing w:line="360" w:lineRule="auto"/>
        <w:rPr>
          <w:color w:val="000000"/>
          <w:sz w:val="20"/>
          <w:szCs w:val="20"/>
          <w:lang w:val="en-US"/>
        </w:rPr>
      </w:pPr>
      <w:r w:rsidRPr="005E6D34">
        <w:rPr>
          <w:color w:val="000000"/>
          <w:sz w:val="20"/>
          <w:szCs w:val="20"/>
          <w:lang w:val="en-US"/>
        </w:rPr>
        <w:br w:type="page"/>
      </w:r>
    </w:p>
    <w:p w14:paraId="3D7BECE5" w14:textId="77777777" w:rsidR="00D90FB3" w:rsidRPr="005E6D34" w:rsidRDefault="00D90FB3" w:rsidP="00CA277C">
      <w:pPr>
        <w:spacing w:line="360" w:lineRule="auto"/>
        <w:ind w:right="-607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Table S2.</w:t>
      </w:r>
      <w:r w:rsidRPr="005E6D34">
        <w:rPr>
          <w:color w:val="000000"/>
          <w:sz w:val="20"/>
          <w:szCs w:val="20"/>
          <w:lang w:val="en-US"/>
        </w:rPr>
        <w:t xml:space="preserve"> Site of primary infection and microbiological agents among patients with multidrug</w:t>
      </w:r>
      <w:r w:rsidR="000D7D95" w:rsidRPr="005E6D34">
        <w:rPr>
          <w:color w:val="000000"/>
          <w:sz w:val="20"/>
          <w:szCs w:val="20"/>
          <w:lang w:val="en-US"/>
        </w:rPr>
        <w:t>-</w:t>
      </w:r>
      <w:r w:rsidRPr="005E6D34">
        <w:rPr>
          <w:color w:val="000000"/>
          <w:sz w:val="20"/>
          <w:szCs w:val="20"/>
          <w:lang w:val="en-US"/>
        </w:rPr>
        <w:t>resistant organisms infection on intensive care unit admission (n = 85)</w:t>
      </w:r>
    </w:p>
    <w:tbl>
      <w:tblPr>
        <w:tblW w:w="9645" w:type="dxa"/>
        <w:tblInd w:w="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1665"/>
      </w:tblGrid>
      <w:tr w:rsidR="00D90FB3" w:rsidRPr="005E6D34" w14:paraId="4C9689AD" w14:textId="77777777" w:rsidTr="00633E9E">
        <w:trPr>
          <w:trHeight w:val="2498"/>
        </w:trPr>
        <w:tc>
          <w:tcPr>
            <w:tcW w:w="7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DA37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Site of primary infection, n (%) (overall events = 85)</w:t>
            </w:r>
          </w:p>
          <w:p w14:paraId="512F65B1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Lung</w:t>
            </w:r>
          </w:p>
          <w:p w14:paraId="225D1EDB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Urinary tract</w:t>
            </w:r>
          </w:p>
          <w:p w14:paraId="0CB2FD5B" w14:textId="43F2A6CA" w:rsidR="009321C0" w:rsidRPr="005E6D34" w:rsidRDefault="0083484B" w:rsidP="009321C0">
            <w:pPr>
              <w:spacing w:line="360" w:lineRule="auto"/>
              <w:ind w:left="124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Digestive/A</w:t>
            </w:r>
            <w:r w:rsidR="009321C0" w:rsidRPr="005E6D34">
              <w:rPr>
                <w:color w:val="000000"/>
                <w:sz w:val="20"/>
                <w:szCs w:val="20"/>
                <w:lang w:val="en-US"/>
              </w:rPr>
              <w:t xml:space="preserve">bdominal cavity </w:t>
            </w:r>
          </w:p>
          <w:p w14:paraId="5C615333" w14:textId="77777777" w:rsidR="009321C0" w:rsidRPr="005E6D34" w:rsidRDefault="00D90FB3" w:rsidP="009321C0">
            <w:pPr>
              <w:spacing w:line="360" w:lineRule="auto"/>
              <w:ind w:left="124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Skin and soft </w:t>
            </w:r>
            <w:r w:rsidR="00E12812" w:rsidRPr="005E6D34">
              <w:rPr>
                <w:color w:val="000000"/>
                <w:sz w:val="20"/>
                <w:szCs w:val="20"/>
                <w:lang w:val="en-US"/>
              </w:rPr>
              <w:t>tissue</w:t>
            </w:r>
          </w:p>
          <w:p w14:paraId="639C0668" w14:textId="09B7D893" w:rsidR="00D90FB3" w:rsidRPr="005E6D34" w:rsidRDefault="00D90FB3" w:rsidP="009321C0">
            <w:pPr>
              <w:spacing w:line="360" w:lineRule="auto"/>
              <w:ind w:left="1247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Bone</w:t>
            </w:r>
            <w:r w:rsidR="005821BE" w:rsidRPr="005E6D34">
              <w:rPr>
                <w:color w:val="000000"/>
                <w:sz w:val="20"/>
                <w:szCs w:val="20"/>
                <w:lang w:val="en-US"/>
              </w:rPr>
              <w:t xml:space="preserve"> and joints</w:t>
            </w:r>
          </w:p>
          <w:p w14:paraId="73AEBD9D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Gynecological / Obstetric</w:t>
            </w:r>
          </w:p>
          <w:p w14:paraId="3E6B762B" w14:textId="77777777" w:rsidR="00D90FB3" w:rsidRPr="005E6D34" w:rsidRDefault="000E7A99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Central nervous system</w:t>
            </w:r>
          </w:p>
          <w:p w14:paraId="05A1D5EB" w14:textId="77777777" w:rsidR="0083484B" w:rsidRPr="005E6D34" w:rsidRDefault="0083484B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Bacteremia of unknown origin </w:t>
            </w:r>
          </w:p>
          <w:p w14:paraId="11AD1737" w14:textId="16102D2D" w:rsidR="000E7A99" w:rsidRPr="005E6D34" w:rsidRDefault="000E7A99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Endocarditis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511A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14:paraId="62142E28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50 (58.8)</w:t>
            </w:r>
          </w:p>
          <w:p w14:paraId="3B3B9AF5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16 (18.8)</w:t>
            </w:r>
          </w:p>
          <w:p w14:paraId="78B48E74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9 (10.6)</w:t>
            </w:r>
          </w:p>
          <w:p w14:paraId="41C9F618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 (3.5)</w:t>
            </w:r>
          </w:p>
          <w:p w14:paraId="7BF2DD98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 (3.5)</w:t>
            </w:r>
          </w:p>
          <w:p w14:paraId="2F2BF91F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 (1.2)</w:t>
            </w:r>
          </w:p>
          <w:p w14:paraId="28CE2BD8" w14:textId="77777777" w:rsidR="00D90FB3" w:rsidRPr="005E6D34" w:rsidRDefault="000E7A99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</w:t>
            </w:r>
            <w:r w:rsidR="00D90FB3" w:rsidRPr="005E6D34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1.2</w:t>
            </w:r>
            <w:r w:rsidR="00D90FB3" w:rsidRPr="005E6D34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14:paraId="0644C61B" w14:textId="77777777" w:rsidR="000E7A99" w:rsidRPr="005E6D34" w:rsidRDefault="000E7A99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 (1.2)</w:t>
            </w:r>
          </w:p>
          <w:p w14:paraId="4500D920" w14:textId="49E6FCC1" w:rsidR="000E7A99" w:rsidRPr="005E6D34" w:rsidRDefault="000E7A99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 (1.2)</w:t>
            </w:r>
          </w:p>
        </w:tc>
      </w:tr>
      <w:tr w:rsidR="00D90FB3" w:rsidRPr="005E6D34" w14:paraId="77977C5B" w14:textId="77777777" w:rsidTr="006E6D3B">
        <w:trPr>
          <w:trHeight w:val="2450"/>
        </w:trPr>
        <w:tc>
          <w:tcPr>
            <w:tcW w:w="7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7EA6" w14:textId="6BCED076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MDR</w:t>
            </w:r>
            <w:r w:rsidR="00B20A71" w:rsidRPr="005E6D34">
              <w:rPr>
                <w:color w:val="000000"/>
                <w:sz w:val="20"/>
                <w:szCs w:val="20"/>
                <w:lang w:val="en-US"/>
              </w:rPr>
              <w:t>O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bacteria, n (%) (overall events = 114)</w:t>
            </w:r>
          </w:p>
          <w:p w14:paraId="3403871D" w14:textId="77777777" w:rsidR="00A03AEB" w:rsidRPr="005E6D34" w:rsidRDefault="00A03AEB" w:rsidP="00A03AEB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ESBL</w:t>
            </w:r>
          </w:p>
          <w:p w14:paraId="06633117" w14:textId="12CA6951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Oxacillin-resistant </w:t>
            </w:r>
            <w:r w:rsidR="009321C0" w:rsidRPr="005E6D34">
              <w:rPr>
                <w:color w:val="000000"/>
                <w:sz w:val="20"/>
                <w:szCs w:val="20"/>
                <w:lang w:val="en-US"/>
              </w:rPr>
              <w:t>coagulase-negative staphylococci</w:t>
            </w:r>
          </w:p>
          <w:p w14:paraId="265EF2C2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MRSA</w:t>
            </w:r>
          </w:p>
          <w:p w14:paraId="2393C72F" w14:textId="77777777" w:rsidR="00A03AEB" w:rsidRPr="005E6D34" w:rsidRDefault="00A03AEB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KPC</w:t>
            </w:r>
          </w:p>
          <w:p w14:paraId="774D0D38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Pan-resistant enterobacteria</w:t>
            </w:r>
          </w:p>
          <w:p w14:paraId="6201118E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VRE</w:t>
            </w:r>
          </w:p>
          <w:p w14:paraId="5E0B6A4C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i/>
                <w:color w:val="000000"/>
                <w:sz w:val="20"/>
                <w:szCs w:val="20"/>
                <w:lang w:val="en-US"/>
              </w:rPr>
              <w:t>Acinetobacter</w:t>
            </w:r>
            <w:r w:rsidRPr="005E6D34">
              <w:rPr>
                <w:iCs/>
                <w:color w:val="000000"/>
                <w:sz w:val="20"/>
                <w:szCs w:val="20"/>
                <w:lang w:val="en-US"/>
              </w:rPr>
              <w:t xml:space="preserve"> spp / </w:t>
            </w:r>
            <w:r w:rsidRPr="005E6D34">
              <w:rPr>
                <w:i/>
                <w:color w:val="000000"/>
                <w:sz w:val="20"/>
                <w:szCs w:val="20"/>
                <w:lang w:val="en-US"/>
              </w:rPr>
              <w:t>Pseudomonas</w:t>
            </w:r>
            <w:r w:rsidRPr="005E6D34">
              <w:rPr>
                <w:iCs/>
                <w:color w:val="000000"/>
                <w:sz w:val="20"/>
                <w:szCs w:val="20"/>
                <w:lang w:val="en-US"/>
              </w:rPr>
              <w:t xml:space="preserve"> spp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non-KPC</w:t>
            </w:r>
          </w:p>
          <w:p w14:paraId="76F9CD28" w14:textId="77777777" w:rsidR="00D90FB3" w:rsidRPr="005E6D34" w:rsidRDefault="00D90FB3" w:rsidP="00CA277C">
            <w:pPr>
              <w:spacing w:line="360" w:lineRule="auto"/>
              <w:ind w:left="1275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78C8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0C66773D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64 (56.1)</w:t>
            </w:r>
          </w:p>
          <w:p w14:paraId="51F905D3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17 (14.9)</w:t>
            </w:r>
          </w:p>
          <w:p w14:paraId="59613F00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10 (8.8)</w:t>
            </w:r>
          </w:p>
          <w:p w14:paraId="02BACA8E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7 (6.1)</w:t>
            </w:r>
          </w:p>
          <w:p w14:paraId="52F95E1C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 (5.3)</w:t>
            </w:r>
          </w:p>
          <w:p w14:paraId="439C3EAD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3 (2.6)</w:t>
            </w:r>
          </w:p>
          <w:p w14:paraId="5C1D4FE8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 (1.8)</w:t>
            </w:r>
          </w:p>
          <w:p w14:paraId="6B8F680C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5 (4.4)</w:t>
            </w:r>
          </w:p>
        </w:tc>
      </w:tr>
    </w:tbl>
    <w:p w14:paraId="098AB3C3" w14:textId="0480E914" w:rsidR="00D90FB3" w:rsidRPr="005E6D34" w:rsidRDefault="00FC28DD" w:rsidP="0072759B">
      <w:pPr>
        <w:spacing w:line="360" w:lineRule="auto"/>
        <w:ind w:left="142" w:right="-610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Abbreviations:</w:t>
      </w:r>
      <w:r w:rsidRPr="005E6D34">
        <w:rPr>
          <w:color w:val="000000"/>
          <w:sz w:val="20"/>
          <w:szCs w:val="20"/>
          <w:lang w:val="en-US"/>
        </w:rPr>
        <w:t xml:space="preserve"> </w:t>
      </w:r>
      <w:r w:rsidR="00D90FB3" w:rsidRPr="005E6D34">
        <w:rPr>
          <w:color w:val="000000"/>
          <w:sz w:val="20"/>
          <w:szCs w:val="20"/>
          <w:lang w:val="en-US"/>
        </w:rPr>
        <w:t>MDR</w:t>
      </w:r>
      <w:r w:rsidR="00B20A71" w:rsidRPr="005E6D34">
        <w:rPr>
          <w:color w:val="000000"/>
          <w:sz w:val="20"/>
          <w:szCs w:val="20"/>
          <w:lang w:val="en-US"/>
        </w:rPr>
        <w:t>O</w:t>
      </w:r>
      <w:r w:rsidR="00D90FB3" w:rsidRPr="005E6D34">
        <w:rPr>
          <w:color w:val="000000"/>
          <w:sz w:val="20"/>
          <w:szCs w:val="20"/>
          <w:lang w:val="en-US"/>
        </w:rPr>
        <w:t xml:space="preserve">: </w:t>
      </w:r>
      <w:r w:rsidR="003D3F08" w:rsidRPr="005E6D34">
        <w:rPr>
          <w:color w:val="000000"/>
          <w:sz w:val="20"/>
          <w:szCs w:val="20"/>
          <w:lang w:val="en-US"/>
        </w:rPr>
        <w:t>M</w:t>
      </w:r>
      <w:r w:rsidR="00D90FB3" w:rsidRPr="005E6D34">
        <w:rPr>
          <w:color w:val="000000"/>
          <w:sz w:val="20"/>
          <w:szCs w:val="20"/>
          <w:lang w:val="en-US"/>
        </w:rPr>
        <w:t>ultidrug</w:t>
      </w:r>
      <w:r w:rsidR="00864AEB" w:rsidRPr="005E6D34">
        <w:rPr>
          <w:color w:val="000000"/>
          <w:sz w:val="20"/>
          <w:szCs w:val="20"/>
          <w:lang w:val="en-US"/>
        </w:rPr>
        <w:t>-</w:t>
      </w:r>
      <w:r w:rsidR="00D90FB3" w:rsidRPr="005E6D34">
        <w:rPr>
          <w:color w:val="000000"/>
          <w:sz w:val="20"/>
          <w:szCs w:val="20"/>
          <w:lang w:val="en-US"/>
        </w:rPr>
        <w:t xml:space="preserve">resistant organisms; </w:t>
      </w:r>
      <w:r w:rsidR="00EC397A" w:rsidRPr="005E6D34">
        <w:rPr>
          <w:color w:val="000000"/>
          <w:sz w:val="20"/>
          <w:szCs w:val="20"/>
          <w:lang w:val="en-US"/>
        </w:rPr>
        <w:t xml:space="preserve">ESBL: Extended-spectrum beta-lactamase </w:t>
      </w:r>
      <w:r w:rsidR="00EC397A" w:rsidRPr="005E6D34">
        <w:rPr>
          <w:i/>
          <w:iCs/>
          <w:color w:val="000000"/>
          <w:sz w:val="20"/>
          <w:szCs w:val="20"/>
          <w:lang w:val="en-US"/>
        </w:rPr>
        <w:t>Enterobacteriaceae;</w:t>
      </w:r>
      <w:r w:rsidR="00EC397A" w:rsidRPr="005E6D34">
        <w:rPr>
          <w:color w:val="000000"/>
          <w:sz w:val="20"/>
          <w:szCs w:val="20"/>
          <w:lang w:val="en-US"/>
        </w:rPr>
        <w:t xml:space="preserve"> </w:t>
      </w:r>
      <w:r w:rsidR="00D90FB3" w:rsidRPr="005E6D34">
        <w:rPr>
          <w:color w:val="000000"/>
          <w:sz w:val="20"/>
          <w:szCs w:val="20"/>
          <w:lang w:val="en-US"/>
        </w:rPr>
        <w:t xml:space="preserve">MRSA: </w:t>
      </w:r>
      <w:r w:rsidR="00864AEB" w:rsidRPr="005E6D34">
        <w:rPr>
          <w:color w:val="000000"/>
          <w:sz w:val="20"/>
          <w:szCs w:val="20"/>
          <w:lang w:val="en-US"/>
        </w:rPr>
        <w:t>M</w:t>
      </w:r>
      <w:r w:rsidR="00D90FB3" w:rsidRPr="005E6D34">
        <w:rPr>
          <w:color w:val="000000"/>
          <w:sz w:val="20"/>
          <w:szCs w:val="20"/>
          <w:lang w:val="en-US"/>
        </w:rPr>
        <w:t xml:space="preserve">ethicillin-resistant </w:t>
      </w:r>
      <w:r w:rsidR="00D90FB3" w:rsidRPr="005E6D34">
        <w:rPr>
          <w:iCs/>
          <w:color w:val="000000"/>
          <w:sz w:val="20"/>
          <w:szCs w:val="20"/>
          <w:lang w:val="en-US"/>
        </w:rPr>
        <w:t>Staphylococcus</w:t>
      </w:r>
      <w:r w:rsidR="00D90FB3" w:rsidRPr="005E6D34">
        <w:rPr>
          <w:i/>
          <w:color w:val="000000"/>
          <w:sz w:val="20"/>
          <w:szCs w:val="20"/>
          <w:lang w:val="en-US"/>
        </w:rPr>
        <w:t xml:space="preserve"> </w:t>
      </w:r>
      <w:r w:rsidR="00D90FB3" w:rsidRPr="005E6D34">
        <w:rPr>
          <w:iCs/>
          <w:color w:val="000000"/>
          <w:sz w:val="20"/>
          <w:szCs w:val="20"/>
          <w:lang w:val="en-US"/>
        </w:rPr>
        <w:t>aureus</w:t>
      </w:r>
      <w:r w:rsidR="00D90FB3" w:rsidRPr="005E6D34">
        <w:rPr>
          <w:color w:val="000000"/>
          <w:sz w:val="20"/>
          <w:szCs w:val="20"/>
          <w:lang w:val="en-US"/>
        </w:rPr>
        <w:t xml:space="preserve">; </w:t>
      </w:r>
      <w:r w:rsidR="00EC397A" w:rsidRPr="005E6D34">
        <w:rPr>
          <w:color w:val="000000"/>
          <w:sz w:val="20"/>
          <w:szCs w:val="20"/>
          <w:lang w:val="en-US"/>
        </w:rPr>
        <w:t xml:space="preserve">KPC: </w:t>
      </w:r>
      <w:r w:rsidR="00EC397A" w:rsidRPr="005E6D34">
        <w:rPr>
          <w:i/>
          <w:color w:val="000000"/>
          <w:sz w:val="20"/>
          <w:szCs w:val="20"/>
          <w:lang w:val="en-US"/>
        </w:rPr>
        <w:t>Pseudomonas</w:t>
      </w:r>
      <w:r w:rsidR="00EC397A" w:rsidRPr="005E6D34">
        <w:rPr>
          <w:iCs/>
          <w:color w:val="000000"/>
          <w:sz w:val="20"/>
          <w:szCs w:val="20"/>
          <w:lang w:val="en-US"/>
        </w:rPr>
        <w:t xml:space="preserve"> spp, </w:t>
      </w:r>
      <w:r w:rsidR="00EC397A" w:rsidRPr="005E6D34">
        <w:rPr>
          <w:i/>
          <w:color w:val="000000"/>
          <w:sz w:val="20"/>
          <w:szCs w:val="20"/>
          <w:lang w:val="en-US"/>
        </w:rPr>
        <w:t>Acinetobacter</w:t>
      </w:r>
      <w:r w:rsidR="00EC397A" w:rsidRPr="005E6D34">
        <w:rPr>
          <w:iCs/>
          <w:color w:val="000000"/>
          <w:sz w:val="20"/>
          <w:szCs w:val="20"/>
          <w:lang w:val="en-US"/>
        </w:rPr>
        <w:t xml:space="preserve"> spp</w:t>
      </w:r>
      <w:r w:rsidR="00EC397A" w:rsidRPr="005E6D34">
        <w:rPr>
          <w:color w:val="000000"/>
          <w:sz w:val="20"/>
          <w:szCs w:val="20"/>
          <w:lang w:val="en-US"/>
        </w:rPr>
        <w:t xml:space="preserve"> or enterobacteria producing carbapenemase; </w:t>
      </w:r>
      <w:r w:rsidR="00D90FB3" w:rsidRPr="005E6D34">
        <w:rPr>
          <w:color w:val="000000"/>
          <w:sz w:val="20"/>
          <w:szCs w:val="20"/>
          <w:lang w:val="en-US"/>
        </w:rPr>
        <w:t xml:space="preserve">VRE: </w:t>
      </w:r>
      <w:r w:rsidR="00F24F4E" w:rsidRPr="005E6D34">
        <w:rPr>
          <w:color w:val="000000"/>
          <w:sz w:val="20"/>
          <w:szCs w:val="20"/>
          <w:lang w:val="en-US"/>
        </w:rPr>
        <w:t>V</w:t>
      </w:r>
      <w:r w:rsidR="00D90FB3" w:rsidRPr="005E6D34">
        <w:rPr>
          <w:color w:val="000000"/>
          <w:sz w:val="20"/>
          <w:szCs w:val="20"/>
          <w:lang w:val="en-US"/>
        </w:rPr>
        <w:t xml:space="preserve">ancomycin-resistant </w:t>
      </w:r>
      <w:r w:rsidR="00D90FB3" w:rsidRPr="005E6D34">
        <w:rPr>
          <w:i/>
          <w:iCs/>
          <w:color w:val="000000"/>
          <w:sz w:val="20"/>
          <w:szCs w:val="20"/>
          <w:lang w:val="en-US"/>
        </w:rPr>
        <w:t>Enterococcus</w:t>
      </w:r>
      <w:r w:rsidR="00D90FB3" w:rsidRPr="005E6D34">
        <w:rPr>
          <w:color w:val="000000"/>
          <w:sz w:val="20"/>
          <w:szCs w:val="20"/>
          <w:lang w:val="en-US"/>
        </w:rPr>
        <w:t>.</w:t>
      </w:r>
    </w:p>
    <w:p w14:paraId="291EE754" w14:textId="77777777" w:rsidR="00D90FB3" w:rsidRPr="005E6D34" w:rsidRDefault="00D90FB3" w:rsidP="00CA277C">
      <w:pPr>
        <w:spacing w:line="360" w:lineRule="auto"/>
        <w:ind w:left="-420" w:right="-1140"/>
        <w:jc w:val="both"/>
        <w:rPr>
          <w:rFonts w:eastAsia="Times New Roman"/>
          <w:color w:val="000000"/>
          <w:sz w:val="20"/>
          <w:szCs w:val="20"/>
          <w:lang w:val="en-US"/>
        </w:rPr>
      </w:pPr>
    </w:p>
    <w:p w14:paraId="2A751C86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09521A43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25566B6C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32AC020A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51B4816D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73E42821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632D702A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46FEE24B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0CB2E782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225B83D1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4A01463C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775E5C5B" w14:textId="77777777" w:rsidR="005A58CB" w:rsidRPr="005E6D34" w:rsidRDefault="005A58CB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</w:p>
    <w:p w14:paraId="219D50CB" w14:textId="2DF050F4" w:rsidR="00D90FB3" w:rsidRPr="005E6D34" w:rsidRDefault="00D90FB3" w:rsidP="00A521C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Table S3.</w:t>
      </w:r>
      <w:r w:rsidRPr="005E6D34">
        <w:rPr>
          <w:color w:val="000000"/>
          <w:sz w:val="20"/>
          <w:szCs w:val="20"/>
          <w:lang w:val="en-US"/>
        </w:rPr>
        <w:t xml:space="preserve"> Univariate analysis of intensive care unit </w:t>
      </w:r>
      <w:r w:rsidR="00C50698" w:rsidRPr="005E6D34">
        <w:rPr>
          <w:color w:val="000000"/>
          <w:sz w:val="20"/>
          <w:szCs w:val="20"/>
          <w:lang w:val="en-US"/>
        </w:rPr>
        <w:t>length of stay</w:t>
      </w:r>
      <w:r w:rsidR="003E2682" w:rsidRPr="005E6D34">
        <w:rPr>
          <w:color w:val="000000"/>
          <w:sz w:val="20"/>
          <w:szCs w:val="20"/>
          <w:lang w:val="en-US"/>
        </w:rPr>
        <w:t>,</w:t>
      </w:r>
      <w:r w:rsidR="00C50698" w:rsidRPr="005E6D34">
        <w:rPr>
          <w:color w:val="000000"/>
          <w:sz w:val="20"/>
          <w:szCs w:val="20"/>
          <w:lang w:val="en-US"/>
        </w:rPr>
        <w:t xml:space="preserve"> </w:t>
      </w:r>
      <w:r w:rsidRPr="005E6D34">
        <w:rPr>
          <w:color w:val="000000"/>
          <w:sz w:val="20"/>
          <w:szCs w:val="20"/>
          <w:lang w:val="en-US"/>
        </w:rPr>
        <w:t>hospital</w:t>
      </w:r>
      <w:r w:rsidR="00EC397A" w:rsidRPr="005E6D34">
        <w:rPr>
          <w:color w:val="000000"/>
          <w:sz w:val="20"/>
          <w:szCs w:val="20"/>
          <w:lang w:val="en-US"/>
        </w:rPr>
        <w:t xml:space="preserve"> </w:t>
      </w:r>
      <w:r w:rsidR="00187876" w:rsidRPr="005E6D34">
        <w:rPr>
          <w:color w:val="000000"/>
          <w:sz w:val="20"/>
          <w:szCs w:val="20"/>
          <w:lang w:val="en-US"/>
        </w:rPr>
        <w:t xml:space="preserve">length </w:t>
      </w:r>
      <w:r w:rsidRPr="005E6D34">
        <w:rPr>
          <w:color w:val="000000"/>
          <w:sz w:val="20"/>
          <w:szCs w:val="20"/>
          <w:lang w:val="en-US"/>
        </w:rPr>
        <w:t>of stay</w:t>
      </w:r>
      <w:r w:rsidR="003E2682" w:rsidRPr="005E6D34">
        <w:rPr>
          <w:color w:val="000000"/>
          <w:sz w:val="20"/>
          <w:szCs w:val="20"/>
          <w:lang w:val="en-US"/>
        </w:rPr>
        <w:t>,</w:t>
      </w:r>
      <w:r w:rsidRPr="005E6D34">
        <w:rPr>
          <w:color w:val="000000"/>
          <w:sz w:val="20"/>
          <w:szCs w:val="20"/>
          <w:lang w:val="en-US"/>
        </w:rPr>
        <w:t xml:space="preserve"> </w:t>
      </w:r>
      <w:r w:rsidR="00187876" w:rsidRPr="005E6D34">
        <w:rPr>
          <w:color w:val="000000"/>
          <w:sz w:val="20"/>
          <w:szCs w:val="20"/>
          <w:lang w:val="en-US"/>
        </w:rPr>
        <w:t>intensive care unit</w:t>
      </w:r>
      <w:r w:rsidR="00EC397A" w:rsidRPr="005E6D34">
        <w:rPr>
          <w:color w:val="000000"/>
          <w:sz w:val="20"/>
          <w:szCs w:val="20"/>
          <w:lang w:val="en-US"/>
        </w:rPr>
        <w:t>,</w:t>
      </w:r>
      <w:r w:rsidR="00187876" w:rsidRPr="005E6D34">
        <w:rPr>
          <w:color w:val="000000"/>
          <w:sz w:val="20"/>
          <w:szCs w:val="20"/>
          <w:lang w:val="en-US"/>
        </w:rPr>
        <w:t xml:space="preserve"> </w:t>
      </w:r>
      <w:r w:rsidRPr="005E6D34">
        <w:rPr>
          <w:color w:val="000000"/>
          <w:sz w:val="20"/>
          <w:szCs w:val="20"/>
          <w:lang w:val="en-US"/>
        </w:rPr>
        <w:t xml:space="preserve">and hospital mortality between patients with and without </w:t>
      </w:r>
      <w:r w:rsidR="00EC397A" w:rsidRPr="005E6D34">
        <w:rPr>
          <w:color w:val="000000"/>
          <w:sz w:val="20"/>
          <w:szCs w:val="20"/>
          <w:lang w:val="en-US"/>
        </w:rPr>
        <w:t>MDRO</w:t>
      </w:r>
      <w:r w:rsidR="00393E3F" w:rsidRPr="005E6D34" w:rsidDel="00393E3F">
        <w:rPr>
          <w:color w:val="000000"/>
          <w:sz w:val="20"/>
          <w:szCs w:val="20"/>
          <w:lang w:val="en-US"/>
        </w:rPr>
        <w:t xml:space="preserve"> </w:t>
      </w:r>
      <w:r w:rsidRPr="005E6D34">
        <w:rPr>
          <w:color w:val="000000"/>
          <w:sz w:val="20"/>
          <w:szCs w:val="20"/>
          <w:lang w:val="en-US"/>
        </w:rPr>
        <w:t>bacterial infection at hospital admi</w:t>
      </w:r>
      <w:r w:rsidR="00393E3F" w:rsidRPr="005E6D34">
        <w:rPr>
          <w:color w:val="000000"/>
          <w:sz w:val="20"/>
          <w:szCs w:val="20"/>
          <w:lang w:val="en-US"/>
        </w:rPr>
        <w:t>s</w:t>
      </w:r>
      <w:r w:rsidRPr="005E6D34">
        <w:rPr>
          <w:color w:val="000000"/>
          <w:sz w:val="20"/>
          <w:szCs w:val="20"/>
          <w:lang w:val="en-US"/>
        </w:rPr>
        <w:t>sion (n = 864)</w:t>
      </w:r>
    </w:p>
    <w:tbl>
      <w:tblPr>
        <w:tblW w:w="9714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8"/>
        <w:gridCol w:w="1701"/>
        <w:gridCol w:w="1560"/>
        <w:gridCol w:w="1275"/>
      </w:tblGrid>
      <w:tr w:rsidR="00D90FB3" w:rsidRPr="005E6D34" w14:paraId="13E782B7" w14:textId="77777777" w:rsidTr="00633E9E">
        <w:trPr>
          <w:trHeight w:val="785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35F8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23BE" w14:textId="77777777" w:rsidR="00D90FB3" w:rsidRPr="005E6D34" w:rsidRDefault="00D90FB3" w:rsidP="00C03B94">
            <w:pPr>
              <w:spacing w:line="360" w:lineRule="auto"/>
              <w:ind w:left="4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MDR</w:t>
            </w:r>
            <w:r w:rsidR="00B141BE" w:rsidRPr="005E6D34">
              <w:rPr>
                <w:color w:val="000000"/>
                <w:sz w:val="20"/>
                <w:szCs w:val="20"/>
                <w:lang w:val="en-US"/>
              </w:rPr>
              <w:t>O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bacterial infection</w:t>
            </w:r>
          </w:p>
          <w:p w14:paraId="2C97EFCA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(n = 85)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E1F6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Without MDR</w:t>
            </w:r>
            <w:r w:rsidR="00B141BE" w:rsidRPr="005E6D34">
              <w:rPr>
                <w:color w:val="000000"/>
                <w:sz w:val="20"/>
                <w:szCs w:val="20"/>
                <w:lang w:val="en-US"/>
              </w:rPr>
              <w:t>O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bacterial infection</w:t>
            </w:r>
          </w:p>
          <w:p w14:paraId="5DA78271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(n = 792)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0E5A" w14:textId="77777777" w:rsidR="00D90FB3" w:rsidRPr="005E6D34" w:rsidRDefault="00D90FB3" w:rsidP="00CA277C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-value</w:t>
            </w:r>
          </w:p>
        </w:tc>
      </w:tr>
      <w:tr w:rsidR="00D90FB3" w:rsidRPr="005E6D34" w14:paraId="094F1F63" w14:textId="77777777" w:rsidTr="00633E9E">
        <w:trPr>
          <w:trHeight w:val="495"/>
        </w:trPr>
        <w:tc>
          <w:tcPr>
            <w:tcW w:w="5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6F3D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ICU-LOS, days, median (IQ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38F2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13.0 (6.5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29.5)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8830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4.0 (3.0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8.0)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5F0B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&lt; 0.01</w:t>
            </w:r>
          </w:p>
        </w:tc>
      </w:tr>
      <w:tr w:rsidR="00D90FB3" w:rsidRPr="005E6D34" w14:paraId="053C507B" w14:textId="77777777" w:rsidTr="00633E9E">
        <w:trPr>
          <w:trHeight w:val="751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CC24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Hospital-LOS, days, median (IQ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R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 xml:space="preserve"> 25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5D3D" w14:textId="77777777" w:rsidR="00D90FB3" w:rsidRPr="005E6D34" w:rsidRDefault="00D90FB3" w:rsidP="00CA277C">
            <w:pPr>
              <w:spacing w:line="360" w:lineRule="auto"/>
              <w:ind w:left="-141" w:right="-18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20.0 (11.0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42.5)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D70A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8.0 (5.0</w:t>
            </w:r>
            <w:r w:rsidR="00934F44" w:rsidRPr="005E6D34">
              <w:rPr>
                <w:color w:val="000000"/>
                <w:sz w:val="20"/>
                <w:szCs w:val="20"/>
                <w:lang w:val="en-US"/>
              </w:rPr>
              <w:t>–</w:t>
            </w:r>
            <w:r w:rsidRPr="005E6D34">
              <w:rPr>
                <w:color w:val="000000"/>
                <w:sz w:val="20"/>
                <w:szCs w:val="20"/>
                <w:lang w:val="en-US"/>
              </w:rPr>
              <w:t>7.0)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40FF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&lt; 0.01</w:t>
            </w:r>
          </w:p>
        </w:tc>
      </w:tr>
      <w:tr w:rsidR="00D90FB3" w:rsidRPr="005E6D34" w14:paraId="1C7E77D8" w14:textId="77777777" w:rsidTr="00633E9E">
        <w:trPr>
          <w:trHeight w:val="226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29FD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ICU mortality, 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CEA9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22 (25.0)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1E0F" w14:textId="77777777" w:rsidR="00D90FB3" w:rsidRPr="005E6D34" w:rsidRDefault="00D90FB3" w:rsidP="00CA277C">
            <w:pPr>
              <w:spacing w:line="360" w:lineRule="auto"/>
              <w:ind w:left="-141" w:right="-17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63 (8.1)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F82B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&lt; 0.01</w:t>
            </w:r>
          </w:p>
        </w:tc>
      </w:tr>
      <w:tr w:rsidR="00D90FB3" w:rsidRPr="005E6D34" w14:paraId="0C43C7CD" w14:textId="77777777" w:rsidTr="00633E9E">
        <w:trPr>
          <w:trHeight w:val="450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545D" w14:textId="77777777" w:rsidR="00D90FB3" w:rsidRPr="005E6D34" w:rsidRDefault="00D90FB3" w:rsidP="00CA277C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Hospital mortality, 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44C9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25 (29.4)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940F" w14:textId="77777777" w:rsidR="00D90FB3" w:rsidRPr="005E6D34" w:rsidRDefault="00D90FB3" w:rsidP="00CA277C">
            <w:pPr>
              <w:spacing w:line="360" w:lineRule="auto"/>
              <w:ind w:left="-141" w:right="-17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75 (9.5)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D068" w14:textId="77777777" w:rsidR="00D90FB3" w:rsidRPr="005E6D34" w:rsidRDefault="00D90FB3" w:rsidP="00CA277C">
            <w:pPr>
              <w:spacing w:line="360" w:lineRule="auto"/>
              <w:ind w:left="-1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6D34">
              <w:rPr>
                <w:color w:val="000000"/>
                <w:sz w:val="20"/>
                <w:szCs w:val="20"/>
                <w:lang w:val="en-US"/>
              </w:rPr>
              <w:t>&lt; 0.01</w:t>
            </w:r>
          </w:p>
        </w:tc>
      </w:tr>
    </w:tbl>
    <w:p w14:paraId="1F54C8C9" w14:textId="466E7571" w:rsidR="00EC397A" w:rsidRPr="005E6D34" w:rsidRDefault="00FC28DD" w:rsidP="00CE3C42">
      <w:pPr>
        <w:spacing w:line="360" w:lineRule="auto"/>
        <w:ind w:right="-185"/>
        <w:jc w:val="both"/>
        <w:rPr>
          <w:color w:val="000000"/>
          <w:sz w:val="20"/>
          <w:szCs w:val="20"/>
          <w:lang w:val="en-US"/>
        </w:rPr>
      </w:pPr>
      <w:r w:rsidRPr="005E6D34">
        <w:rPr>
          <w:b/>
          <w:color w:val="000000"/>
          <w:sz w:val="20"/>
          <w:szCs w:val="20"/>
          <w:lang w:val="en-US"/>
        </w:rPr>
        <w:t>Abbreviations:</w:t>
      </w:r>
      <w:r w:rsidRPr="005E6D34">
        <w:rPr>
          <w:color w:val="000000"/>
          <w:sz w:val="20"/>
          <w:szCs w:val="20"/>
          <w:lang w:val="en-US"/>
        </w:rPr>
        <w:t xml:space="preserve"> </w:t>
      </w:r>
      <w:r w:rsidR="00187876" w:rsidRPr="005E6D34">
        <w:rPr>
          <w:color w:val="000000"/>
          <w:sz w:val="20"/>
          <w:szCs w:val="20"/>
          <w:lang w:val="en-US"/>
        </w:rPr>
        <w:t>ICU: Intensive care unit; ICU-LOS: Intensive care unit length of stay; Hospital-LOS: Hospital length of stay;</w:t>
      </w:r>
      <w:r w:rsidR="00393E3F" w:rsidRPr="005E6D34">
        <w:rPr>
          <w:color w:val="000000"/>
          <w:sz w:val="20"/>
          <w:szCs w:val="20"/>
          <w:lang w:val="en-US"/>
        </w:rPr>
        <w:t xml:space="preserve"> MD</w:t>
      </w:r>
      <w:r w:rsidR="00934F44" w:rsidRPr="005E6D34">
        <w:rPr>
          <w:color w:val="000000"/>
          <w:sz w:val="20"/>
          <w:szCs w:val="20"/>
          <w:lang w:val="en-US"/>
        </w:rPr>
        <w:t>RO: Multidrug-resistant organisms</w:t>
      </w:r>
      <w:r w:rsidR="00EC397A" w:rsidRPr="005E6D34">
        <w:rPr>
          <w:color w:val="000000"/>
          <w:sz w:val="20"/>
          <w:szCs w:val="20"/>
          <w:lang w:val="en-US"/>
        </w:rPr>
        <w:t>; IQR 25–75%: interquartile range 25–75%.</w:t>
      </w:r>
    </w:p>
    <w:p w14:paraId="12A7922B" w14:textId="77777777" w:rsidR="00D90FB3" w:rsidRPr="005E6D34" w:rsidRDefault="00D90FB3" w:rsidP="00CA277C">
      <w:pPr>
        <w:spacing w:line="360" w:lineRule="auto"/>
        <w:rPr>
          <w:color w:val="000000"/>
          <w:sz w:val="20"/>
          <w:szCs w:val="20"/>
          <w:lang w:val="en-US"/>
        </w:rPr>
      </w:pPr>
    </w:p>
    <w:p w14:paraId="419F26F8" w14:textId="77777777" w:rsidR="00E43ECB" w:rsidRPr="005E6D34" w:rsidRDefault="00E43ECB" w:rsidP="00CA277C">
      <w:pPr>
        <w:spacing w:line="360" w:lineRule="auto"/>
        <w:rPr>
          <w:color w:val="000000"/>
          <w:sz w:val="20"/>
          <w:szCs w:val="20"/>
          <w:lang w:val="en-US"/>
        </w:rPr>
      </w:pPr>
    </w:p>
    <w:sectPr w:rsidR="00E43ECB" w:rsidRPr="005E6D34" w:rsidSect="00375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A53C" w14:textId="77777777" w:rsidR="00274511" w:rsidRDefault="00274511" w:rsidP="005D3B04">
      <w:pPr>
        <w:spacing w:line="240" w:lineRule="auto"/>
      </w:pPr>
      <w:r>
        <w:separator/>
      </w:r>
    </w:p>
  </w:endnote>
  <w:endnote w:type="continuationSeparator" w:id="0">
    <w:p w14:paraId="0242B31B" w14:textId="77777777" w:rsidR="00274511" w:rsidRDefault="00274511" w:rsidP="005D3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45A5" w14:textId="77777777" w:rsidR="005E6D34" w:rsidRDefault="005E6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DF01" w14:textId="39BF0E66" w:rsidR="003754FF" w:rsidRPr="003754FF" w:rsidRDefault="005E6D34">
    <w:pPr>
      <w:pStyle w:val="Footer"/>
      <w:jc w:val="right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983CB6" wp14:editId="3011DCD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2215" cy="263525"/>
              <wp:effectExtent l="0" t="0" r="0" b="3175"/>
              <wp:wrapNone/>
              <wp:docPr id="1" name="MSIPCM9f7248d7a4d506cac8e9924d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F3163C" w14:textId="70E6DF95" w:rsidR="005E6D34" w:rsidRPr="005E6D34" w:rsidRDefault="005E6D34" w:rsidP="005E6D34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E6D3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83CB6" id="_x0000_t202" coordsize="21600,21600" o:spt="202" path="m,l,21600r21600,l21600,xe">
              <v:stroke joinstyle="miter"/>
              <v:path gradientshapeok="t" o:connecttype="rect"/>
            </v:shapetype>
            <v:shape id="MSIPCM9f7248d7a4d506cac8e9924d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4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DuGAIAACUEAAAOAAAAZHJzL2Uyb0RvYy54bWysU8Fu2zAMvQ/YPwi6L3a8JOuMOEXWIsOA&#10;oi2QDj0rshQbkERNUmJnXz9KdpKh22nYRaZI+pF8fFre9lqRo3C+BVPR6SSnRBgOdWv2Ff3+svlw&#10;Q4kPzNRMgREVPQlPb1fv3y07W4oCGlC1cARBjC87W9EmBFtmmeeN0MxPwAqDQQlOs4BXt89qxzpE&#10;1yor8nyRdeBq64AL79F7PwTpKuFLKXh4ktKLQFRFsbeQTpfOXTyz1ZKVe8ds0/KxDfYPXWjWGix6&#10;gbpngZGDa/+A0i134EGGCQedgZQtF2kGnGaav5lm2zAr0ixIjrcXmvz/g+WPx619diT0X6DHBUZC&#10;OutLj844Ty+djl/slGAcKTxdaBN9IBydn+aLopjOKeEYKxYf58U8wmTXv63z4asATaJRUYdrSWyx&#10;44MPQ+o5JRYzsGmVSqtRhnQVRcw8/XCJILgyWOPaa7RCv+vHAXZQn3AuB8PKveWbFos/MB+emcMd&#10;4yio2/CEh1SARWC0KGnA/fybP+Yj9RilpEPNVNT/ODAnKFHfDC6lmM/yPKos3dBwyfg8nc3wsjt7&#10;zUHfAepxik/D8mTG3KDOpnSgX1HX61gOQ8xwLFrR3dm8C4OE8V1wsV6nJNSTZeHBbC2P0JHHyOlL&#10;/8qcHYkPuLJHOMuKlW/4H3KHDawPAWSblhOZHegcCUctpvWO7yaK/fd7yrq+7tUvAAAA//8DAFBL&#10;AwQUAAYACAAAACEAU0aL0N4AAAALAQAADwAAAGRycy9kb3ducmV2LnhtbEyPwU7DMBBE70j8g7VI&#10;3KhjKioS4lRVpSLBAUHoB7jxNklrryPbacPf45zguDOj2XnlerKGXdCH3pEEsciAITVO99RK2H/v&#10;Hp6BhahIK+MIJfxggHV1e1OqQrsrfeGlji1LJRQKJaGLcSg4D02HVoWFG5CSd3TeqphO33Lt1TWV&#10;W8Mfs2zFreopfejUgNsOm3M9WgkbHEV4M7vTa7+vP99PH9HrbS7l/d20eQEWcYp/YZjnp+lQpU0H&#10;N5IOzEhIIDGpKyESweyLPMuBHWbtabkEXpX8P0P1CwAA//8DAFBLAQItABQABgAIAAAAIQC2gziS&#10;/gAAAOEBAAATAAAAAAAAAAAAAAAAAAAAAABbQ29udGVudF9UeXBlc10ueG1sUEsBAi0AFAAGAAgA&#10;AAAhADj9If/WAAAAlAEAAAsAAAAAAAAAAAAAAAAALwEAAF9yZWxzLy5yZWxzUEsBAi0AFAAGAAgA&#10;AAAhAKi1cO4YAgAAJQQAAA4AAAAAAAAAAAAAAAAALgIAAGRycy9lMm9Eb2MueG1sUEsBAi0AFAAG&#10;AAgAAAAhAFNGi9DeAAAACwEAAA8AAAAAAAAAAAAAAAAAcg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3F3163C" w14:textId="70E6DF95" w:rsidR="005E6D34" w:rsidRPr="005E6D34" w:rsidRDefault="005E6D34" w:rsidP="005E6D34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E6D3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0000" w:themeColor="text1"/>
        </w:rPr>
        <w:id w:val="104392202"/>
        <w:docPartObj>
          <w:docPartGallery w:val="Page Numbers (Bottom of Page)"/>
          <w:docPartUnique/>
        </w:docPartObj>
      </w:sdtPr>
      <w:sdtEndPr/>
      <w:sdtContent>
        <w:r w:rsidR="00817DE0" w:rsidRPr="003754FF">
          <w:rPr>
            <w:color w:val="000000" w:themeColor="text1"/>
          </w:rPr>
          <w:fldChar w:fldCharType="begin"/>
        </w:r>
        <w:r w:rsidR="00CA277C" w:rsidRPr="003754FF">
          <w:rPr>
            <w:color w:val="000000" w:themeColor="text1"/>
          </w:rPr>
          <w:instrText xml:space="preserve"> PAGE   \* MERGEFORMAT </w:instrText>
        </w:r>
        <w:r w:rsidR="00817DE0" w:rsidRPr="003754FF">
          <w:rPr>
            <w:color w:val="000000" w:themeColor="text1"/>
          </w:rPr>
          <w:fldChar w:fldCharType="separate"/>
        </w:r>
        <w:r w:rsidR="00623CE6">
          <w:rPr>
            <w:noProof/>
            <w:color w:val="000000" w:themeColor="text1"/>
          </w:rPr>
          <w:t>26</w:t>
        </w:r>
        <w:r w:rsidR="00817DE0" w:rsidRPr="003754FF">
          <w:rPr>
            <w:color w:val="000000" w:themeColor="text1"/>
          </w:rPr>
          <w:fldChar w:fldCharType="end"/>
        </w:r>
      </w:sdtContent>
    </w:sdt>
  </w:p>
  <w:p w14:paraId="08F0EA41" w14:textId="77777777" w:rsidR="003754FF" w:rsidRDefault="003E1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957A" w14:textId="77777777" w:rsidR="005E6D34" w:rsidRDefault="005E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F8EF" w14:textId="77777777" w:rsidR="00274511" w:rsidRDefault="00274511" w:rsidP="005D3B04">
      <w:pPr>
        <w:spacing w:line="240" w:lineRule="auto"/>
      </w:pPr>
      <w:r>
        <w:separator/>
      </w:r>
    </w:p>
  </w:footnote>
  <w:footnote w:type="continuationSeparator" w:id="0">
    <w:p w14:paraId="775A94CD" w14:textId="77777777" w:rsidR="00274511" w:rsidRDefault="00274511" w:rsidP="005D3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90A8" w14:textId="77777777" w:rsidR="005E6D34" w:rsidRDefault="005E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27DB" w14:textId="77777777" w:rsidR="005E6D34" w:rsidRDefault="005E6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DBB0" w14:textId="77777777" w:rsidR="005E6D34" w:rsidRDefault="005E6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966BB"/>
    <w:multiLevelType w:val="hybridMultilevel"/>
    <w:tmpl w:val="A56A42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8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3NzU3M7U0BNImBko6SsGpxcWZ+XkgBSa1AA0bNOksAAAA"/>
  </w:docVars>
  <w:rsids>
    <w:rsidRoot w:val="00D90FB3"/>
    <w:rsid w:val="000169E5"/>
    <w:rsid w:val="0004745B"/>
    <w:rsid w:val="0009270C"/>
    <w:rsid w:val="000C6AA6"/>
    <w:rsid w:val="000D7D95"/>
    <w:rsid w:val="000E7A99"/>
    <w:rsid w:val="000F4C3E"/>
    <w:rsid w:val="000F4F45"/>
    <w:rsid w:val="001127ED"/>
    <w:rsid w:val="00143868"/>
    <w:rsid w:val="00153329"/>
    <w:rsid w:val="00187876"/>
    <w:rsid w:val="001A405A"/>
    <w:rsid w:val="001D5F59"/>
    <w:rsid w:val="00215507"/>
    <w:rsid w:val="00274511"/>
    <w:rsid w:val="002B2742"/>
    <w:rsid w:val="002D0A58"/>
    <w:rsid w:val="002E3B28"/>
    <w:rsid w:val="002E6D6F"/>
    <w:rsid w:val="00300358"/>
    <w:rsid w:val="00314AF3"/>
    <w:rsid w:val="00391B43"/>
    <w:rsid w:val="00393E3F"/>
    <w:rsid w:val="003B6C3F"/>
    <w:rsid w:val="003D3F08"/>
    <w:rsid w:val="003E1F10"/>
    <w:rsid w:val="003E2682"/>
    <w:rsid w:val="003F5998"/>
    <w:rsid w:val="00410E3E"/>
    <w:rsid w:val="004178E4"/>
    <w:rsid w:val="0045184D"/>
    <w:rsid w:val="004524AD"/>
    <w:rsid w:val="00457914"/>
    <w:rsid w:val="00495D92"/>
    <w:rsid w:val="004A3CDB"/>
    <w:rsid w:val="004D44E4"/>
    <w:rsid w:val="004E59D8"/>
    <w:rsid w:val="005011F4"/>
    <w:rsid w:val="00511F23"/>
    <w:rsid w:val="00513942"/>
    <w:rsid w:val="00560535"/>
    <w:rsid w:val="0057201E"/>
    <w:rsid w:val="00572F7C"/>
    <w:rsid w:val="005821BE"/>
    <w:rsid w:val="00585F07"/>
    <w:rsid w:val="005A58CB"/>
    <w:rsid w:val="005D3B04"/>
    <w:rsid w:val="005E6D34"/>
    <w:rsid w:val="00602184"/>
    <w:rsid w:val="00623CE6"/>
    <w:rsid w:val="00670648"/>
    <w:rsid w:val="006B44B7"/>
    <w:rsid w:val="006D2F39"/>
    <w:rsid w:val="006E6D3B"/>
    <w:rsid w:val="00703802"/>
    <w:rsid w:val="00707B7C"/>
    <w:rsid w:val="007244CA"/>
    <w:rsid w:val="0072759B"/>
    <w:rsid w:val="00750175"/>
    <w:rsid w:val="007B08E9"/>
    <w:rsid w:val="007C1D36"/>
    <w:rsid w:val="007D1485"/>
    <w:rsid w:val="00805C7B"/>
    <w:rsid w:val="00807F32"/>
    <w:rsid w:val="00817DE0"/>
    <w:rsid w:val="0083484B"/>
    <w:rsid w:val="00864AEB"/>
    <w:rsid w:val="008C1781"/>
    <w:rsid w:val="008F1842"/>
    <w:rsid w:val="009321C0"/>
    <w:rsid w:val="00934F44"/>
    <w:rsid w:val="00935C9E"/>
    <w:rsid w:val="009674D3"/>
    <w:rsid w:val="00A03AEB"/>
    <w:rsid w:val="00A475DD"/>
    <w:rsid w:val="00A521C1"/>
    <w:rsid w:val="00A6524D"/>
    <w:rsid w:val="00A878D0"/>
    <w:rsid w:val="00AC0E0D"/>
    <w:rsid w:val="00AE125F"/>
    <w:rsid w:val="00B141BE"/>
    <w:rsid w:val="00B20A71"/>
    <w:rsid w:val="00B3691C"/>
    <w:rsid w:val="00B6101A"/>
    <w:rsid w:val="00C03B94"/>
    <w:rsid w:val="00C27C92"/>
    <w:rsid w:val="00C4587E"/>
    <w:rsid w:val="00C50698"/>
    <w:rsid w:val="00C54317"/>
    <w:rsid w:val="00C54B27"/>
    <w:rsid w:val="00C55BDC"/>
    <w:rsid w:val="00C7526D"/>
    <w:rsid w:val="00CA277C"/>
    <w:rsid w:val="00CA61EE"/>
    <w:rsid w:val="00CD052B"/>
    <w:rsid w:val="00CE3C42"/>
    <w:rsid w:val="00CF73FA"/>
    <w:rsid w:val="00D037F8"/>
    <w:rsid w:val="00D1299E"/>
    <w:rsid w:val="00D26D6C"/>
    <w:rsid w:val="00D86D02"/>
    <w:rsid w:val="00D90FB3"/>
    <w:rsid w:val="00D92DA0"/>
    <w:rsid w:val="00DB585C"/>
    <w:rsid w:val="00DE2592"/>
    <w:rsid w:val="00DE6716"/>
    <w:rsid w:val="00E12812"/>
    <w:rsid w:val="00E31371"/>
    <w:rsid w:val="00E43ECB"/>
    <w:rsid w:val="00E4445A"/>
    <w:rsid w:val="00E65F18"/>
    <w:rsid w:val="00E66077"/>
    <w:rsid w:val="00E66865"/>
    <w:rsid w:val="00E8540A"/>
    <w:rsid w:val="00EC3663"/>
    <w:rsid w:val="00EC397A"/>
    <w:rsid w:val="00EE13CB"/>
    <w:rsid w:val="00EF0077"/>
    <w:rsid w:val="00EF054E"/>
    <w:rsid w:val="00F24F4E"/>
    <w:rsid w:val="00F42BDB"/>
    <w:rsid w:val="00F4524D"/>
    <w:rsid w:val="00FA42AE"/>
    <w:rsid w:val="00FB1E5C"/>
    <w:rsid w:val="00FB24A6"/>
    <w:rsid w:val="00F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9B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3"/>
    <w:pPr>
      <w:spacing w:after="0"/>
    </w:pPr>
    <w:rPr>
      <w:rFonts w:ascii="Arial" w:eastAsia="Arial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0FB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0FB3"/>
  </w:style>
  <w:style w:type="paragraph" w:styleId="ListParagraph">
    <w:name w:val="List Paragraph"/>
    <w:basedOn w:val="Normal"/>
    <w:uiPriority w:val="34"/>
    <w:qFormat/>
    <w:rsid w:val="000169E5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0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535"/>
    <w:rPr>
      <w:rFonts w:ascii="Arial" w:eastAsia="Arial" w:hAnsi="Arial" w:cs="Arial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535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Revision">
    <w:name w:val="Revision"/>
    <w:hidden/>
    <w:uiPriority w:val="99"/>
    <w:semiHidden/>
    <w:rsid w:val="0045184D"/>
    <w:pPr>
      <w:spacing w:after="0" w:line="240" w:lineRule="auto"/>
    </w:pPr>
    <w:rPr>
      <w:rFonts w:ascii="Arial" w:eastAsia="Arial" w:hAnsi="Arial" w:cs="Arial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7244CA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CA"/>
    <w:rPr>
      <w:rFonts w:ascii="Arial" w:eastAsia="Arial" w:hAnsi="Arial" w:cs="Arial"/>
      <w:lang w:eastAsia="pt-BR"/>
    </w:rPr>
  </w:style>
  <w:style w:type="paragraph" w:customStyle="1" w:styleId="Normal1">
    <w:name w:val="Normal1"/>
    <w:rsid w:val="00D037F8"/>
    <w:pPr>
      <w:spacing w:after="0" w:line="480" w:lineRule="auto"/>
    </w:pPr>
    <w:rPr>
      <w:rFonts w:ascii="Arial" w:eastAsia="Arial" w:hAnsi="Arial" w:cs="Arial"/>
      <w:sz w:val="20"/>
      <w:szCs w:val="20"/>
      <w:lang w:val="en-GB" w:eastAsia="pt-BR"/>
    </w:rPr>
  </w:style>
  <w:style w:type="table" w:styleId="TableGrid">
    <w:name w:val="Table Grid"/>
    <w:basedOn w:val="TableNormal"/>
    <w:uiPriority w:val="59"/>
    <w:rsid w:val="00FB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2023-03-12T23:07:00Z</dcterms:created>
  <dcterms:modified xsi:type="dcterms:W3CDTF">2023-03-12T23:07:00Z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2023-03-12T23:07:06Z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2aa31997-192b-4043-93f4-8416c240be59</vt:lpwstr>
  </property>
  <property fmtid="{D5CDD505-2E9C-101B-9397-08002B2CF9AE}" pid="8" name="MSIP_Label_2bbab825-a111-45e4-86a1-18cee0005896_ContentBits">
    <vt:lpwstr>2</vt:lpwstr>
  </property>
</Properties>
</file>