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D84E" w14:textId="668FA8B0" w:rsidR="00846379" w:rsidRPr="002E3E21" w:rsidRDefault="00846379" w:rsidP="00846379">
      <w:pPr>
        <w:rPr>
          <w:rFonts w:ascii="Arial" w:hAnsi="Arial" w:cs="Arial"/>
          <w:color w:val="000000" w:themeColor="text1"/>
          <w:sz w:val="24"/>
        </w:rPr>
      </w:pPr>
      <w:r w:rsidRPr="002E3E21">
        <w:rPr>
          <w:rFonts w:ascii="Arial" w:hAnsi="Arial" w:cs="Arial"/>
          <w:b/>
          <w:bCs/>
          <w:color w:val="000000" w:themeColor="text1"/>
          <w:sz w:val="24"/>
        </w:rPr>
        <w:t xml:space="preserve">Supplementary Table </w:t>
      </w:r>
      <w:r w:rsidR="00716C38">
        <w:rPr>
          <w:rFonts w:ascii="Arial" w:hAnsi="Arial" w:cs="Arial"/>
          <w:b/>
          <w:bCs/>
          <w:color w:val="000000" w:themeColor="text1"/>
          <w:sz w:val="24"/>
        </w:rPr>
        <w:t>1</w:t>
      </w:r>
      <w:r w:rsidRPr="002E3E21">
        <w:rPr>
          <w:rFonts w:ascii="Arial" w:hAnsi="Arial" w:cs="Arial"/>
          <w:b/>
          <w:bCs/>
          <w:color w:val="000000" w:themeColor="text1"/>
          <w:sz w:val="24"/>
        </w:rPr>
        <w:t xml:space="preserve">. </w:t>
      </w:r>
      <w:r w:rsidRPr="002E3E21">
        <w:rPr>
          <w:rFonts w:ascii="Arial" w:hAnsi="Arial" w:cs="Arial"/>
          <w:color w:val="000000" w:themeColor="text1"/>
          <w:sz w:val="24"/>
        </w:rPr>
        <w:t>Outcomes of imaging features characterization for 298 patients enrolled based on consensus reading.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01"/>
        <w:gridCol w:w="1703"/>
        <w:gridCol w:w="1701"/>
        <w:gridCol w:w="993"/>
        <w:gridCol w:w="1942"/>
      </w:tblGrid>
      <w:tr w:rsidR="00846379" w:rsidRPr="002E3E21" w14:paraId="62811BB6" w14:textId="77777777" w:rsidTr="00393B33">
        <w:trPr>
          <w:trHeight w:val="274"/>
          <w:jc w:val="center"/>
        </w:trPr>
        <w:tc>
          <w:tcPr>
            <w:tcW w:w="1746" w:type="pc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159E1AC1" w14:textId="77777777" w:rsidR="00846379" w:rsidRPr="002E3E21" w:rsidRDefault="00846379" w:rsidP="00393B3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Feature</w:t>
            </w:r>
          </w:p>
        </w:tc>
        <w:tc>
          <w:tcPr>
            <w:tcW w:w="874" w:type="pct"/>
            <w:tcBorders>
              <w:top w:val="single" w:sz="8" w:space="0" w:color="auto"/>
              <w:bottom w:val="single" w:sz="8" w:space="0" w:color="000000"/>
            </w:tcBorders>
          </w:tcPr>
          <w:p w14:paraId="6D751FAC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HCC </w:t>
            </w:r>
          </w:p>
          <w:p w14:paraId="414D0737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(N=225)</w:t>
            </w:r>
          </w:p>
        </w:tc>
        <w:tc>
          <w:tcPr>
            <w:tcW w:w="873" w:type="pct"/>
            <w:tcBorders>
              <w:top w:val="single" w:sz="8" w:space="0" w:color="auto"/>
              <w:bottom w:val="single" w:sz="8" w:space="0" w:color="000000"/>
            </w:tcBorders>
          </w:tcPr>
          <w:p w14:paraId="431A9B07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Non-HCC </w:t>
            </w:r>
          </w:p>
          <w:p w14:paraId="6EBA3169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(N=73)</w:t>
            </w:r>
          </w:p>
        </w:tc>
        <w:tc>
          <w:tcPr>
            <w:tcW w:w="510" w:type="pct"/>
            <w:tcBorders>
              <w:top w:val="single" w:sz="8" w:space="0" w:color="auto"/>
              <w:bottom w:val="single" w:sz="8" w:space="0" w:color="000000"/>
            </w:tcBorders>
            <w:vAlign w:val="bottom"/>
          </w:tcPr>
          <w:p w14:paraId="78066920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position w:val="6"/>
                <w:sz w:val="20"/>
                <w:szCs w:val="20"/>
              </w:rPr>
              <w:t>P</w:t>
            </w:r>
            <w:r w:rsidRPr="002E3E21">
              <w:rPr>
                <w:rFonts w:ascii="Arial" w:hAnsi="Arial" w:cs="Arial"/>
                <w:b/>
                <w:bCs/>
                <w:color w:val="000000" w:themeColor="text1"/>
                <w:kern w:val="0"/>
                <w:position w:val="6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97" w:type="pct"/>
            <w:tcBorders>
              <w:top w:val="single" w:sz="8" w:space="0" w:color="auto"/>
              <w:bottom w:val="single" w:sz="8" w:space="0" w:color="000000"/>
            </w:tcBorders>
            <w:vAlign w:val="bottom"/>
          </w:tcPr>
          <w:p w14:paraId="28FBE4B1" w14:textId="77777777" w:rsidR="00846379" w:rsidRPr="002E3E21" w:rsidRDefault="00846379" w:rsidP="00393B33">
            <w:pPr>
              <w:pStyle w:val="a4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κ </w:t>
            </w:r>
            <w:r w:rsidRPr="002E3E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(95%</w:t>
            </w:r>
            <w:proofErr w:type="gramStart"/>
            <w:r w:rsidRPr="002E3E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CI)</w:t>
            </w:r>
            <w:r w:rsidRPr="002E3E21">
              <w:rPr>
                <w:rFonts w:ascii="Arial" w:hAnsi="Arial" w:cs="Arial"/>
                <w:b/>
                <w:bCs/>
                <w:color w:val="000000" w:themeColor="text1"/>
                <w:position w:val="6"/>
                <w:sz w:val="20"/>
                <w:szCs w:val="20"/>
                <w:vertAlign w:val="superscript"/>
              </w:rPr>
              <w:t>‡</w:t>
            </w:r>
            <w:proofErr w:type="gramEnd"/>
          </w:p>
        </w:tc>
      </w:tr>
      <w:tr w:rsidR="00846379" w:rsidRPr="002E3E21" w14:paraId="4F15AD68" w14:textId="77777777" w:rsidTr="00393B33">
        <w:trPr>
          <w:jc w:val="center"/>
        </w:trPr>
        <w:tc>
          <w:tcPr>
            <w:tcW w:w="1746" w:type="pct"/>
          </w:tcPr>
          <w:p w14:paraId="0E1104EA" w14:textId="77777777" w:rsidR="00846379" w:rsidRPr="002E3E21" w:rsidRDefault="00846379" w:rsidP="00393B3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T2WI signal intensity</w:t>
            </w:r>
          </w:p>
        </w:tc>
        <w:tc>
          <w:tcPr>
            <w:tcW w:w="874" w:type="pct"/>
          </w:tcPr>
          <w:p w14:paraId="3DF638C9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pct"/>
          </w:tcPr>
          <w:p w14:paraId="29ED3E34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pct"/>
          </w:tcPr>
          <w:p w14:paraId="0D7819CD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97" w:type="pct"/>
          </w:tcPr>
          <w:p w14:paraId="538276D5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0.74 (0.62-0.86)</w:t>
            </w:r>
          </w:p>
        </w:tc>
      </w:tr>
      <w:tr w:rsidR="00846379" w:rsidRPr="002E3E21" w14:paraId="48AB8DB8" w14:textId="77777777" w:rsidTr="00393B33">
        <w:trPr>
          <w:jc w:val="center"/>
        </w:trPr>
        <w:tc>
          <w:tcPr>
            <w:tcW w:w="1746" w:type="pct"/>
          </w:tcPr>
          <w:p w14:paraId="0DAA5B6E" w14:textId="77777777" w:rsidR="00846379" w:rsidRPr="002E3E21" w:rsidRDefault="00846379" w:rsidP="00393B3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Iso- or hypointensity</w:t>
            </w:r>
          </w:p>
        </w:tc>
        <w:tc>
          <w:tcPr>
            <w:tcW w:w="874" w:type="pct"/>
          </w:tcPr>
          <w:p w14:paraId="5B824CF9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7 (3.1)</w:t>
            </w:r>
          </w:p>
        </w:tc>
        <w:tc>
          <w:tcPr>
            <w:tcW w:w="873" w:type="pct"/>
          </w:tcPr>
          <w:p w14:paraId="30CFC745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11 (15.1)</w:t>
            </w:r>
          </w:p>
        </w:tc>
        <w:tc>
          <w:tcPr>
            <w:tcW w:w="510" w:type="pct"/>
          </w:tcPr>
          <w:p w14:paraId="2E1C819A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</w:tcPr>
          <w:p w14:paraId="16A4BB21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6108FA2B" w14:textId="77777777" w:rsidTr="00393B33">
        <w:trPr>
          <w:jc w:val="center"/>
        </w:trPr>
        <w:tc>
          <w:tcPr>
            <w:tcW w:w="1746" w:type="pct"/>
          </w:tcPr>
          <w:p w14:paraId="7868B68A" w14:textId="77777777" w:rsidR="00846379" w:rsidRPr="002E3E21" w:rsidRDefault="00846379" w:rsidP="00393B3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Mild-moderate hyperintensity</w:t>
            </w:r>
          </w:p>
        </w:tc>
        <w:tc>
          <w:tcPr>
            <w:tcW w:w="874" w:type="pct"/>
          </w:tcPr>
          <w:p w14:paraId="642FBF25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214 (95.1)</w:t>
            </w:r>
          </w:p>
        </w:tc>
        <w:tc>
          <w:tcPr>
            <w:tcW w:w="873" w:type="pct"/>
          </w:tcPr>
          <w:p w14:paraId="16C4E7C1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57 (78.1)</w:t>
            </w:r>
          </w:p>
        </w:tc>
        <w:tc>
          <w:tcPr>
            <w:tcW w:w="510" w:type="pct"/>
          </w:tcPr>
          <w:p w14:paraId="1AFB8D84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</w:tcPr>
          <w:p w14:paraId="3F70AF7C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50D25781" w14:textId="77777777" w:rsidTr="00393B33">
        <w:trPr>
          <w:jc w:val="center"/>
        </w:trPr>
        <w:tc>
          <w:tcPr>
            <w:tcW w:w="1746" w:type="pct"/>
          </w:tcPr>
          <w:p w14:paraId="30722075" w14:textId="77777777" w:rsidR="00846379" w:rsidRPr="002E3E21" w:rsidRDefault="00846379" w:rsidP="00393B3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Marked hyperintensity</w:t>
            </w:r>
          </w:p>
        </w:tc>
        <w:tc>
          <w:tcPr>
            <w:tcW w:w="874" w:type="pct"/>
          </w:tcPr>
          <w:p w14:paraId="2554045E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4 (1.8)</w:t>
            </w:r>
          </w:p>
        </w:tc>
        <w:tc>
          <w:tcPr>
            <w:tcW w:w="873" w:type="pct"/>
          </w:tcPr>
          <w:p w14:paraId="23385827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5 (6.8)</w:t>
            </w:r>
          </w:p>
        </w:tc>
        <w:tc>
          <w:tcPr>
            <w:tcW w:w="510" w:type="pct"/>
          </w:tcPr>
          <w:p w14:paraId="439A8704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</w:tcPr>
          <w:p w14:paraId="1A3A7CCC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58FC2C18" w14:textId="77777777" w:rsidTr="00393B33">
        <w:trPr>
          <w:jc w:val="center"/>
        </w:trPr>
        <w:tc>
          <w:tcPr>
            <w:tcW w:w="1746" w:type="pct"/>
          </w:tcPr>
          <w:p w14:paraId="3073CEF3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Restricted diffusion</w:t>
            </w:r>
          </w:p>
        </w:tc>
        <w:tc>
          <w:tcPr>
            <w:tcW w:w="874" w:type="pct"/>
          </w:tcPr>
          <w:p w14:paraId="65D70702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pct"/>
          </w:tcPr>
          <w:p w14:paraId="0534C38D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pct"/>
          </w:tcPr>
          <w:p w14:paraId="543EBA4F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97" w:type="pct"/>
          </w:tcPr>
          <w:p w14:paraId="057E4A7C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0.76 (0.66-0.86)</w:t>
            </w:r>
          </w:p>
        </w:tc>
      </w:tr>
      <w:tr w:rsidR="00846379" w:rsidRPr="002E3E21" w14:paraId="3751D293" w14:textId="77777777" w:rsidTr="00393B33">
        <w:trPr>
          <w:jc w:val="center"/>
        </w:trPr>
        <w:tc>
          <w:tcPr>
            <w:tcW w:w="1746" w:type="pct"/>
          </w:tcPr>
          <w:p w14:paraId="5D3485A2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874" w:type="pct"/>
          </w:tcPr>
          <w:p w14:paraId="42F78DCA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209 (92.9)</w:t>
            </w:r>
          </w:p>
        </w:tc>
        <w:tc>
          <w:tcPr>
            <w:tcW w:w="873" w:type="pct"/>
          </w:tcPr>
          <w:p w14:paraId="2E07547A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25 (34.2)</w:t>
            </w:r>
          </w:p>
        </w:tc>
        <w:tc>
          <w:tcPr>
            <w:tcW w:w="510" w:type="pct"/>
          </w:tcPr>
          <w:p w14:paraId="6A409AD8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</w:tcPr>
          <w:p w14:paraId="4B813818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295B50D0" w14:textId="77777777" w:rsidTr="00393B33">
        <w:trPr>
          <w:jc w:val="center"/>
        </w:trPr>
        <w:tc>
          <w:tcPr>
            <w:tcW w:w="1746" w:type="pct"/>
          </w:tcPr>
          <w:p w14:paraId="590833C8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No</w:t>
            </w:r>
          </w:p>
        </w:tc>
        <w:tc>
          <w:tcPr>
            <w:tcW w:w="874" w:type="pct"/>
          </w:tcPr>
          <w:p w14:paraId="2AB76C74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16 (7.1)</w:t>
            </w:r>
          </w:p>
        </w:tc>
        <w:tc>
          <w:tcPr>
            <w:tcW w:w="873" w:type="pct"/>
          </w:tcPr>
          <w:p w14:paraId="59C86E16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48 (65.8)</w:t>
            </w:r>
          </w:p>
        </w:tc>
        <w:tc>
          <w:tcPr>
            <w:tcW w:w="510" w:type="pct"/>
          </w:tcPr>
          <w:p w14:paraId="79343AEC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</w:tcPr>
          <w:p w14:paraId="63C57661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110643A3" w14:textId="77777777" w:rsidTr="00393B33">
        <w:trPr>
          <w:jc w:val="center"/>
        </w:trPr>
        <w:tc>
          <w:tcPr>
            <w:tcW w:w="1746" w:type="pct"/>
          </w:tcPr>
          <w:p w14:paraId="2F3812C8" w14:textId="77777777" w:rsidR="00846379" w:rsidRPr="002E3E21" w:rsidRDefault="00846379" w:rsidP="00393B3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Enhancement in arterial phase</w:t>
            </w:r>
          </w:p>
        </w:tc>
        <w:tc>
          <w:tcPr>
            <w:tcW w:w="874" w:type="pct"/>
          </w:tcPr>
          <w:p w14:paraId="1535469F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pct"/>
          </w:tcPr>
          <w:p w14:paraId="37E2EB93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pct"/>
          </w:tcPr>
          <w:p w14:paraId="17742785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97" w:type="pct"/>
          </w:tcPr>
          <w:p w14:paraId="5E1CC6DF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0.87 (0.81-0.94)</w:t>
            </w:r>
          </w:p>
        </w:tc>
      </w:tr>
      <w:tr w:rsidR="00846379" w:rsidRPr="002E3E21" w14:paraId="34294222" w14:textId="77777777" w:rsidTr="00393B33">
        <w:trPr>
          <w:jc w:val="center"/>
        </w:trPr>
        <w:tc>
          <w:tcPr>
            <w:tcW w:w="1746" w:type="pct"/>
          </w:tcPr>
          <w:p w14:paraId="385D89E6" w14:textId="77777777" w:rsidR="00846379" w:rsidRPr="002E3E21" w:rsidRDefault="00846379" w:rsidP="00393B33">
            <w:pPr>
              <w:ind w:firstLineChars="100" w:firstLine="2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Nonrim APHE</w:t>
            </w:r>
          </w:p>
        </w:tc>
        <w:tc>
          <w:tcPr>
            <w:tcW w:w="874" w:type="pct"/>
          </w:tcPr>
          <w:p w14:paraId="7780138B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190 (84.4)</w:t>
            </w:r>
          </w:p>
        </w:tc>
        <w:tc>
          <w:tcPr>
            <w:tcW w:w="873" w:type="pct"/>
          </w:tcPr>
          <w:p w14:paraId="077AB748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46 (63.0)</w:t>
            </w:r>
          </w:p>
        </w:tc>
        <w:tc>
          <w:tcPr>
            <w:tcW w:w="510" w:type="pct"/>
          </w:tcPr>
          <w:p w14:paraId="09D5FB55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997" w:type="pct"/>
          </w:tcPr>
          <w:p w14:paraId="7117ABDD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6B2D65EF" w14:textId="77777777" w:rsidTr="00393B33">
        <w:trPr>
          <w:jc w:val="center"/>
        </w:trPr>
        <w:tc>
          <w:tcPr>
            <w:tcW w:w="1746" w:type="pct"/>
          </w:tcPr>
          <w:p w14:paraId="2DDAEE24" w14:textId="77777777" w:rsidR="00846379" w:rsidRPr="002E3E21" w:rsidRDefault="00846379" w:rsidP="00393B33">
            <w:pPr>
              <w:ind w:firstLineChars="100" w:firstLine="2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Rim APHE</w:t>
            </w:r>
          </w:p>
        </w:tc>
        <w:tc>
          <w:tcPr>
            <w:tcW w:w="874" w:type="pct"/>
          </w:tcPr>
          <w:p w14:paraId="42EEA21C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6 (2.7)</w:t>
            </w:r>
          </w:p>
        </w:tc>
        <w:tc>
          <w:tcPr>
            <w:tcW w:w="873" w:type="pct"/>
          </w:tcPr>
          <w:p w14:paraId="57CDED81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13 (17.8)</w:t>
            </w:r>
          </w:p>
        </w:tc>
        <w:tc>
          <w:tcPr>
            <w:tcW w:w="510" w:type="pct"/>
          </w:tcPr>
          <w:p w14:paraId="121D45D5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</w:tcPr>
          <w:p w14:paraId="080CB94D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66172E83" w14:textId="77777777" w:rsidTr="00393B33">
        <w:trPr>
          <w:jc w:val="center"/>
        </w:trPr>
        <w:tc>
          <w:tcPr>
            <w:tcW w:w="1746" w:type="pct"/>
          </w:tcPr>
          <w:p w14:paraId="47AC6D0C" w14:textId="77777777" w:rsidR="00846379" w:rsidRPr="002E3E21" w:rsidRDefault="00846379" w:rsidP="00393B33">
            <w:pPr>
              <w:ind w:firstLineChars="100" w:firstLine="2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No APHE</w:t>
            </w:r>
          </w:p>
        </w:tc>
        <w:tc>
          <w:tcPr>
            <w:tcW w:w="874" w:type="pct"/>
          </w:tcPr>
          <w:p w14:paraId="3CE03C80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29 (12.9)</w:t>
            </w:r>
          </w:p>
        </w:tc>
        <w:tc>
          <w:tcPr>
            <w:tcW w:w="873" w:type="pct"/>
          </w:tcPr>
          <w:p w14:paraId="017DDDDC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14 (19.2)</w:t>
            </w:r>
          </w:p>
        </w:tc>
        <w:tc>
          <w:tcPr>
            <w:tcW w:w="510" w:type="pct"/>
          </w:tcPr>
          <w:p w14:paraId="54B4EEDA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</w:tcPr>
          <w:p w14:paraId="3C3C084C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3810F32B" w14:textId="77777777" w:rsidTr="00393B33">
        <w:trPr>
          <w:jc w:val="center"/>
        </w:trPr>
        <w:tc>
          <w:tcPr>
            <w:tcW w:w="1746" w:type="pct"/>
          </w:tcPr>
          <w:p w14:paraId="22604ECE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Washout in PVP</w:t>
            </w:r>
          </w:p>
        </w:tc>
        <w:tc>
          <w:tcPr>
            <w:tcW w:w="874" w:type="pct"/>
          </w:tcPr>
          <w:p w14:paraId="63BBE7EF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pct"/>
          </w:tcPr>
          <w:p w14:paraId="3ABDB762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pct"/>
          </w:tcPr>
          <w:p w14:paraId="1B30F23C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97" w:type="pct"/>
          </w:tcPr>
          <w:p w14:paraId="3FC9B426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0.84 (0.78-0.90)</w:t>
            </w:r>
          </w:p>
        </w:tc>
      </w:tr>
      <w:tr w:rsidR="00846379" w:rsidRPr="002E3E21" w14:paraId="7DB8C69D" w14:textId="77777777" w:rsidTr="00393B33">
        <w:trPr>
          <w:jc w:val="center"/>
        </w:trPr>
        <w:tc>
          <w:tcPr>
            <w:tcW w:w="1746" w:type="pct"/>
          </w:tcPr>
          <w:p w14:paraId="7D4D7888" w14:textId="77777777" w:rsidR="00846379" w:rsidRPr="002E3E21" w:rsidRDefault="00846379" w:rsidP="00393B33">
            <w:pPr>
              <w:ind w:firstLineChars="100" w:firstLine="2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Non-peripheral washout</w:t>
            </w:r>
          </w:p>
        </w:tc>
        <w:tc>
          <w:tcPr>
            <w:tcW w:w="874" w:type="pct"/>
          </w:tcPr>
          <w:p w14:paraId="2015F74A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157 (69.8)</w:t>
            </w:r>
          </w:p>
        </w:tc>
        <w:tc>
          <w:tcPr>
            <w:tcW w:w="873" w:type="pct"/>
          </w:tcPr>
          <w:p w14:paraId="05BC8B5B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21 (28.8)</w:t>
            </w:r>
          </w:p>
        </w:tc>
        <w:tc>
          <w:tcPr>
            <w:tcW w:w="510" w:type="pct"/>
          </w:tcPr>
          <w:p w14:paraId="2D3AE1C0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</w:tcPr>
          <w:p w14:paraId="46F3455C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61A1AFDE" w14:textId="77777777" w:rsidTr="00393B33">
        <w:trPr>
          <w:jc w:val="center"/>
        </w:trPr>
        <w:tc>
          <w:tcPr>
            <w:tcW w:w="1746" w:type="pct"/>
          </w:tcPr>
          <w:p w14:paraId="34A88054" w14:textId="77777777" w:rsidR="00846379" w:rsidRPr="002E3E21" w:rsidRDefault="00846379" w:rsidP="00393B33">
            <w:pPr>
              <w:ind w:firstLineChars="100" w:firstLine="2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Peripheral washout</w:t>
            </w:r>
          </w:p>
        </w:tc>
        <w:tc>
          <w:tcPr>
            <w:tcW w:w="874" w:type="pct"/>
          </w:tcPr>
          <w:p w14:paraId="3F4FE3C4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4 (1.8)</w:t>
            </w:r>
          </w:p>
        </w:tc>
        <w:tc>
          <w:tcPr>
            <w:tcW w:w="873" w:type="pct"/>
          </w:tcPr>
          <w:p w14:paraId="76E1BA74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10 (13.7)</w:t>
            </w:r>
          </w:p>
        </w:tc>
        <w:tc>
          <w:tcPr>
            <w:tcW w:w="510" w:type="pct"/>
          </w:tcPr>
          <w:p w14:paraId="4CBAF5B1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</w:tcPr>
          <w:p w14:paraId="3B706363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783EEEF1" w14:textId="77777777" w:rsidTr="00393B33">
        <w:trPr>
          <w:jc w:val="center"/>
        </w:trPr>
        <w:tc>
          <w:tcPr>
            <w:tcW w:w="1746" w:type="pct"/>
          </w:tcPr>
          <w:p w14:paraId="12E4CEDD" w14:textId="77777777" w:rsidR="00846379" w:rsidRPr="002E3E21" w:rsidRDefault="00846379" w:rsidP="00393B33">
            <w:pPr>
              <w:ind w:firstLineChars="100" w:firstLine="2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No washout</w:t>
            </w:r>
          </w:p>
        </w:tc>
        <w:tc>
          <w:tcPr>
            <w:tcW w:w="874" w:type="pct"/>
          </w:tcPr>
          <w:p w14:paraId="6EE0A762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64 (28.4)</w:t>
            </w:r>
          </w:p>
        </w:tc>
        <w:tc>
          <w:tcPr>
            <w:tcW w:w="873" w:type="pct"/>
          </w:tcPr>
          <w:p w14:paraId="3B825629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42 (57.5)</w:t>
            </w:r>
          </w:p>
        </w:tc>
        <w:tc>
          <w:tcPr>
            <w:tcW w:w="510" w:type="pct"/>
          </w:tcPr>
          <w:p w14:paraId="12302A9B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</w:tcPr>
          <w:p w14:paraId="5CDF2944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786C0A52" w14:textId="77777777" w:rsidTr="00393B33">
        <w:trPr>
          <w:jc w:val="center"/>
        </w:trPr>
        <w:tc>
          <w:tcPr>
            <w:tcW w:w="1746" w:type="pct"/>
          </w:tcPr>
          <w:p w14:paraId="21617A34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HBP signal intensity</w:t>
            </w:r>
          </w:p>
        </w:tc>
        <w:tc>
          <w:tcPr>
            <w:tcW w:w="874" w:type="pct"/>
          </w:tcPr>
          <w:p w14:paraId="3399F109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pct"/>
          </w:tcPr>
          <w:p w14:paraId="33C0BF6F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pct"/>
          </w:tcPr>
          <w:p w14:paraId="047CE503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97" w:type="pct"/>
          </w:tcPr>
          <w:p w14:paraId="466A55D8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0.88 (0.74-1.00)</w:t>
            </w:r>
          </w:p>
        </w:tc>
      </w:tr>
      <w:tr w:rsidR="00846379" w:rsidRPr="002E3E21" w14:paraId="1E951497" w14:textId="77777777" w:rsidTr="00393B33">
        <w:trPr>
          <w:jc w:val="center"/>
        </w:trPr>
        <w:tc>
          <w:tcPr>
            <w:tcW w:w="1746" w:type="pct"/>
          </w:tcPr>
          <w:p w14:paraId="63D4D73C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Hypointensity</w:t>
            </w:r>
          </w:p>
        </w:tc>
        <w:tc>
          <w:tcPr>
            <w:tcW w:w="874" w:type="pct"/>
          </w:tcPr>
          <w:p w14:paraId="775204EA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222 (98.7)</w:t>
            </w:r>
          </w:p>
        </w:tc>
        <w:tc>
          <w:tcPr>
            <w:tcW w:w="873" w:type="pct"/>
          </w:tcPr>
          <w:p w14:paraId="20938955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65 (89.0)</w:t>
            </w:r>
          </w:p>
        </w:tc>
        <w:tc>
          <w:tcPr>
            <w:tcW w:w="510" w:type="pct"/>
          </w:tcPr>
          <w:p w14:paraId="57085353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</w:tcPr>
          <w:p w14:paraId="757181FF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02696CB2" w14:textId="77777777" w:rsidTr="00393B33">
        <w:trPr>
          <w:jc w:val="center"/>
        </w:trPr>
        <w:tc>
          <w:tcPr>
            <w:tcW w:w="1746" w:type="pct"/>
          </w:tcPr>
          <w:p w14:paraId="5843AF8F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Iso- or hyperintensity</w:t>
            </w:r>
          </w:p>
        </w:tc>
        <w:tc>
          <w:tcPr>
            <w:tcW w:w="874" w:type="pct"/>
          </w:tcPr>
          <w:p w14:paraId="37B2DE76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3 (1.3)</w:t>
            </w:r>
          </w:p>
        </w:tc>
        <w:tc>
          <w:tcPr>
            <w:tcW w:w="873" w:type="pct"/>
          </w:tcPr>
          <w:p w14:paraId="640D22B7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8 (11.0)</w:t>
            </w:r>
          </w:p>
        </w:tc>
        <w:tc>
          <w:tcPr>
            <w:tcW w:w="510" w:type="pct"/>
          </w:tcPr>
          <w:p w14:paraId="66F9BC1E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</w:tcPr>
          <w:p w14:paraId="15B2AB7C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3DF4FD3D" w14:textId="77777777" w:rsidTr="00393B33">
        <w:trPr>
          <w:jc w:val="center"/>
        </w:trPr>
        <w:tc>
          <w:tcPr>
            <w:tcW w:w="1746" w:type="pct"/>
          </w:tcPr>
          <w:p w14:paraId="217BA86E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Diagnostic hallmarks of HCC</w:t>
            </w: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874" w:type="pct"/>
          </w:tcPr>
          <w:p w14:paraId="1FF94D8C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pct"/>
          </w:tcPr>
          <w:p w14:paraId="3A20A636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pct"/>
          </w:tcPr>
          <w:p w14:paraId="119541DB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97" w:type="pct"/>
          </w:tcPr>
          <w:p w14:paraId="260C390A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0.85 (0.79-0.91)</w:t>
            </w:r>
          </w:p>
        </w:tc>
      </w:tr>
      <w:tr w:rsidR="00846379" w:rsidRPr="002E3E21" w14:paraId="224ED8A2" w14:textId="77777777" w:rsidTr="00393B33">
        <w:trPr>
          <w:jc w:val="center"/>
        </w:trPr>
        <w:tc>
          <w:tcPr>
            <w:tcW w:w="1746" w:type="pct"/>
          </w:tcPr>
          <w:p w14:paraId="7AA3E75F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874" w:type="pct"/>
          </w:tcPr>
          <w:p w14:paraId="7CF01C06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131 (58.2)</w:t>
            </w:r>
          </w:p>
        </w:tc>
        <w:tc>
          <w:tcPr>
            <w:tcW w:w="873" w:type="pct"/>
          </w:tcPr>
          <w:p w14:paraId="226FFD67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8 (11.0)</w:t>
            </w:r>
          </w:p>
        </w:tc>
        <w:tc>
          <w:tcPr>
            <w:tcW w:w="510" w:type="pct"/>
          </w:tcPr>
          <w:p w14:paraId="3D592F8F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</w:tcPr>
          <w:p w14:paraId="2182644E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6379" w:rsidRPr="002E3E21" w14:paraId="4F6CBF36" w14:textId="77777777" w:rsidTr="00393B33">
        <w:trPr>
          <w:jc w:val="center"/>
        </w:trPr>
        <w:tc>
          <w:tcPr>
            <w:tcW w:w="1746" w:type="pct"/>
            <w:tcBorders>
              <w:bottom w:val="single" w:sz="8" w:space="0" w:color="000000"/>
            </w:tcBorders>
          </w:tcPr>
          <w:p w14:paraId="45D97F97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No</w:t>
            </w:r>
          </w:p>
        </w:tc>
        <w:tc>
          <w:tcPr>
            <w:tcW w:w="874" w:type="pct"/>
            <w:tcBorders>
              <w:bottom w:val="single" w:sz="8" w:space="0" w:color="000000"/>
            </w:tcBorders>
          </w:tcPr>
          <w:p w14:paraId="44009B4C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94 (41.8)</w:t>
            </w:r>
          </w:p>
        </w:tc>
        <w:tc>
          <w:tcPr>
            <w:tcW w:w="873" w:type="pct"/>
            <w:tcBorders>
              <w:bottom w:val="single" w:sz="8" w:space="0" w:color="000000"/>
            </w:tcBorders>
          </w:tcPr>
          <w:p w14:paraId="66528B79" w14:textId="77777777" w:rsidR="00846379" w:rsidRPr="002E3E21" w:rsidRDefault="00846379" w:rsidP="00393B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hAnsi="Arial" w:cs="Arial"/>
                <w:color w:val="000000" w:themeColor="text1"/>
                <w:sz w:val="20"/>
                <w:szCs w:val="20"/>
              </w:rPr>
              <w:t>65 (89.0)</w:t>
            </w:r>
          </w:p>
        </w:tc>
        <w:tc>
          <w:tcPr>
            <w:tcW w:w="510" w:type="pct"/>
            <w:tcBorders>
              <w:bottom w:val="single" w:sz="8" w:space="0" w:color="000000"/>
            </w:tcBorders>
          </w:tcPr>
          <w:p w14:paraId="07BD8B22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  <w:tcBorders>
              <w:bottom w:val="single" w:sz="8" w:space="0" w:color="000000"/>
            </w:tcBorders>
          </w:tcPr>
          <w:p w14:paraId="0D8F5997" w14:textId="77777777" w:rsidR="00846379" w:rsidRPr="002E3E21" w:rsidRDefault="00846379" w:rsidP="00393B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9F04DCA" w14:textId="77777777" w:rsidR="00846379" w:rsidRPr="002E3E21" w:rsidRDefault="00846379" w:rsidP="00846379">
      <w:pPr>
        <w:spacing w:line="480" w:lineRule="auto"/>
        <w:rPr>
          <w:rFonts w:ascii="Arial" w:hAnsi="Arial" w:cs="Arial"/>
          <w:color w:val="000000" w:themeColor="text1"/>
          <w:sz w:val="24"/>
        </w:rPr>
      </w:pPr>
      <w:r w:rsidRPr="002E3E21">
        <w:rPr>
          <w:rFonts w:ascii="Arial" w:hAnsi="Arial" w:cs="Arial"/>
          <w:color w:val="000000" w:themeColor="text1"/>
          <w:sz w:val="24"/>
        </w:rPr>
        <w:t xml:space="preserve">HCC = hepatocellular carcinoma, APHE = arterial phase hyperenhancement, PVP = portal venous phase, TP = transitional phase, HBP = hepatobiliary phase. </w:t>
      </w:r>
    </w:p>
    <w:p w14:paraId="32E509B0" w14:textId="77777777" w:rsidR="00846379" w:rsidRPr="002E3E21" w:rsidRDefault="00846379" w:rsidP="00846379">
      <w:pPr>
        <w:spacing w:line="480" w:lineRule="auto"/>
        <w:rPr>
          <w:rFonts w:ascii="Arial" w:hAnsi="Arial" w:cs="Arial"/>
          <w:color w:val="000000" w:themeColor="text1"/>
          <w:sz w:val="24"/>
        </w:rPr>
      </w:pPr>
      <w:r w:rsidRPr="002E3E21">
        <w:rPr>
          <w:rFonts w:ascii="Arial" w:hAnsi="Arial" w:cs="Arial"/>
          <w:color w:val="000000" w:themeColor="text1"/>
          <w:sz w:val="24"/>
          <w:vertAlign w:val="superscript"/>
        </w:rPr>
        <w:t xml:space="preserve"># </w:t>
      </w:r>
      <w:r w:rsidRPr="002E3E21">
        <w:rPr>
          <w:rFonts w:ascii="Arial" w:hAnsi="Arial" w:cs="Arial"/>
          <w:color w:val="000000" w:themeColor="text1"/>
          <w:sz w:val="24"/>
        </w:rPr>
        <w:t>Diagnostic hallmarks of HCC included T2WI mild-moderate hyperintensity, restricted diffusion, nonrim APHE, non-peripheral washout in PVP and HBP hypointensity.</w:t>
      </w:r>
    </w:p>
    <w:p w14:paraId="17B16D79" w14:textId="77777777" w:rsidR="00846379" w:rsidRPr="002E3E21" w:rsidRDefault="00846379" w:rsidP="00846379">
      <w:pPr>
        <w:spacing w:line="480" w:lineRule="auto"/>
        <w:rPr>
          <w:rFonts w:ascii="Arial" w:hAnsi="Arial" w:cs="Arial"/>
          <w:color w:val="000000" w:themeColor="text1"/>
          <w:sz w:val="24"/>
        </w:rPr>
      </w:pPr>
      <w:r w:rsidRPr="002E3E21">
        <w:rPr>
          <w:rFonts w:ascii="Arial" w:hAnsi="Arial" w:cs="Arial"/>
          <w:color w:val="000000" w:themeColor="text1"/>
          <w:kern w:val="0"/>
          <w:position w:val="6"/>
          <w:sz w:val="24"/>
          <w:vertAlign w:val="superscript"/>
        </w:rPr>
        <w:t>†</w:t>
      </w:r>
      <w:r w:rsidRPr="002E3E21">
        <w:rPr>
          <w:rFonts w:ascii="Arial" w:hAnsi="Arial" w:cs="Arial"/>
          <w:color w:val="000000" w:themeColor="text1"/>
          <w:kern w:val="0"/>
          <w:position w:val="6"/>
          <w:sz w:val="24"/>
        </w:rPr>
        <w:t xml:space="preserve"> Data were analyzed by using Fisher’s exact test.</w:t>
      </w:r>
    </w:p>
    <w:p w14:paraId="0CC167D8" w14:textId="77777777" w:rsidR="00846379" w:rsidRPr="002E3E21" w:rsidRDefault="00846379" w:rsidP="00846379">
      <w:pPr>
        <w:spacing w:line="480" w:lineRule="auto"/>
        <w:rPr>
          <w:rFonts w:ascii="Arial" w:hAnsi="Arial" w:cs="Arial"/>
          <w:color w:val="000000" w:themeColor="text1"/>
          <w:kern w:val="0"/>
          <w:sz w:val="24"/>
        </w:rPr>
      </w:pPr>
      <w:r w:rsidRPr="002E3E21">
        <w:rPr>
          <w:rFonts w:ascii="Arial" w:hAnsi="Arial" w:cs="Arial"/>
          <w:color w:val="000000" w:themeColor="text1"/>
          <w:kern w:val="0"/>
          <w:position w:val="6"/>
          <w:sz w:val="24"/>
          <w:vertAlign w:val="superscript"/>
        </w:rPr>
        <w:t>‡</w:t>
      </w:r>
      <w:r w:rsidRPr="002E3E21">
        <w:rPr>
          <w:rFonts w:ascii="Arial" w:hAnsi="Arial" w:cs="Arial"/>
          <w:color w:val="000000" w:themeColor="text1"/>
          <w:kern w:val="0"/>
          <w:position w:val="6"/>
          <w:sz w:val="24"/>
        </w:rPr>
        <w:t xml:space="preserve"> </w:t>
      </w:r>
      <w:r w:rsidRPr="002E3E21">
        <w:rPr>
          <w:rFonts w:ascii="Arial" w:hAnsi="Arial" w:cs="Arial"/>
          <w:color w:val="000000" w:themeColor="text1"/>
          <w:kern w:val="0"/>
          <w:sz w:val="24"/>
        </w:rPr>
        <w:t xml:space="preserve">Data in parentheses are 95% confidence intervals, and </w:t>
      </w:r>
      <w:r w:rsidRPr="002E3E21">
        <w:rPr>
          <w:rFonts w:ascii="Arial" w:hAnsi="Arial" w:cs="Arial"/>
          <w:b/>
          <w:bCs/>
          <w:color w:val="000000" w:themeColor="text1"/>
          <w:kern w:val="0"/>
          <w:sz w:val="24"/>
        </w:rPr>
        <w:t>κ</w:t>
      </w:r>
      <w:r w:rsidRPr="002E3E21">
        <w:rPr>
          <w:rFonts w:ascii="Arial" w:hAnsi="Arial" w:cs="Arial"/>
          <w:color w:val="000000" w:themeColor="text1"/>
          <w:kern w:val="0"/>
          <w:sz w:val="24"/>
        </w:rPr>
        <w:t xml:space="preserve"> represents the interobserver variability.</w:t>
      </w:r>
    </w:p>
    <w:p w14:paraId="41B0DB34" w14:textId="4EF11798" w:rsidR="00716C38" w:rsidRDefault="00716C38">
      <w:pPr>
        <w:widowControl/>
        <w:jc w:val="left"/>
      </w:pPr>
      <w:r>
        <w:br w:type="page"/>
      </w:r>
    </w:p>
    <w:p w14:paraId="63719A04" w14:textId="1BCFA5EE" w:rsidR="00716C38" w:rsidRPr="002E3E21" w:rsidRDefault="00716C38" w:rsidP="00716C38">
      <w:pPr>
        <w:widowControl/>
        <w:spacing w:line="480" w:lineRule="auto"/>
        <w:jc w:val="left"/>
        <w:rPr>
          <w:rFonts w:ascii="Arial" w:hAnsi="Arial" w:cs="Arial"/>
          <w:color w:val="000000" w:themeColor="text1"/>
          <w:sz w:val="24"/>
        </w:rPr>
      </w:pPr>
      <w:r w:rsidRPr="002E3E21">
        <w:rPr>
          <w:rFonts w:ascii="Arial" w:hAnsi="Arial" w:cs="Arial"/>
          <w:b/>
          <w:bCs/>
          <w:color w:val="000000" w:themeColor="text1"/>
          <w:sz w:val="24"/>
        </w:rPr>
        <w:lastRenderedPageBreak/>
        <w:t xml:space="preserve">Supplementary Table </w:t>
      </w:r>
      <w:r>
        <w:rPr>
          <w:rFonts w:ascii="Arial" w:hAnsi="Arial" w:cs="Arial"/>
          <w:b/>
          <w:bCs/>
          <w:color w:val="000000" w:themeColor="text1"/>
          <w:sz w:val="24"/>
        </w:rPr>
        <w:t>2</w:t>
      </w:r>
      <w:r w:rsidRPr="002E3E21">
        <w:rPr>
          <w:rFonts w:ascii="Arial" w:hAnsi="Arial" w:cs="Arial"/>
          <w:b/>
          <w:bCs/>
          <w:color w:val="000000" w:themeColor="text1"/>
          <w:sz w:val="24"/>
        </w:rPr>
        <w:t>.</w:t>
      </w:r>
      <w:r w:rsidRPr="002E3E21">
        <w:rPr>
          <w:rFonts w:ascii="Arial" w:hAnsi="Arial" w:cs="Arial"/>
          <w:color w:val="000000" w:themeColor="text1"/>
          <w:sz w:val="24"/>
        </w:rPr>
        <w:t xml:space="preserve"> Imaging features and definition.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766"/>
      </w:tblGrid>
      <w:tr w:rsidR="00716C38" w:rsidRPr="002E3E21" w14:paraId="12C250CE" w14:textId="77777777" w:rsidTr="00C81DD3">
        <w:tc>
          <w:tcPr>
            <w:tcW w:w="3964" w:type="dxa"/>
          </w:tcPr>
          <w:p w14:paraId="182E7508" w14:textId="77777777" w:rsidR="00716C38" w:rsidRPr="002E3E21" w:rsidRDefault="00716C38" w:rsidP="00C81DD3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3E2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Imaging features</w:t>
            </w:r>
          </w:p>
        </w:tc>
        <w:tc>
          <w:tcPr>
            <w:tcW w:w="5766" w:type="dxa"/>
          </w:tcPr>
          <w:p w14:paraId="494C64C2" w14:textId="77777777" w:rsidR="00716C38" w:rsidRPr="002E3E21" w:rsidRDefault="00716C38" w:rsidP="00C81DD3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3E2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Definition</w:t>
            </w:r>
          </w:p>
        </w:tc>
      </w:tr>
      <w:tr w:rsidR="00716C38" w:rsidRPr="002E3E21" w14:paraId="1A8FB1CB" w14:textId="77777777" w:rsidTr="00C81DD3">
        <w:tc>
          <w:tcPr>
            <w:tcW w:w="3964" w:type="dxa"/>
          </w:tcPr>
          <w:p w14:paraId="43A298A5" w14:textId="77777777" w:rsidR="00716C38" w:rsidRPr="002E3E21" w:rsidRDefault="00716C38" w:rsidP="00C81DD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eastAsia="微软雅黑" w:hAnsi="Arial" w:cs="Arial"/>
                <w:sz w:val="20"/>
                <w:szCs w:val="20"/>
              </w:rPr>
              <w:t>Mild-moderate hyperintensity on T2WI</w:t>
            </w:r>
          </w:p>
        </w:tc>
        <w:tc>
          <w:tcPr>
            <w:tcW w:w="5766" w:type="dxa"/>
          </w:tcPr>
          <w:p w14:paraId="4FC6D96B" w14:textId="77777777" w:rsidR="00716C38" w:rsidRPr="002E3E21" w:rsidRDefault="00716C38" w:rsidP="00C81DD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eastAsia="微软雅黑" w:hAnsi="Arial" w:cs="Arial"/>
                <w:sz w:val="20"/>
                <w:szCs w:val="20"/>
              </w:rPr>
              <w:t>Intensity on T2-weighted imaging mildly or moderately higher than liver and similar to or less than non-iron-overloaded spleen</w:t>
            </w:r>
          </w:p>
        </w:tc>
      </w:tr>
      <w:tr w:rsidR="00716C38" w:rsidRPr="002E3E21" w14:paraId="10F74224" w14:textId="77777777" w:rsidTr="00C81DD3">
        <w:tc>
          <w:tcPr>
            <w:tcW w:w="3964" w:type="dxa"/>
          </w:tcPr>
          <w:p w14:paraId="15A47D02" w14:textId="77777777" w:rsidR="00716C38" w:rsidRPr="002E3E21" w:rsidRDefault="00716C38" w:rsidP="00C81DD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eastAsia="微软雅黑" w:hAnsi="Arial" w:cs="Arial"/>
                <w:sz w:val="20"/>
                <w:szCs w:val="20"/>
              </w:rPr>
              <w:t>Restricted diffusion</w:t>
            </w:r>
          </w:p>
        </w:tc>
        <w:tc>
          <w:tcPr>
            <w:tcW w:w="5766" w:type="dxa"/>
          </w:tcPr>
          <w:p w14:paraId="625C7B68" w14:textId="77777777" w:rsidR="00716C38" w:rsidRPr="002E3E21" w:rsidRDefault="00716C38" w:rsidP="00C81DD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eastAsia="微软雅黑" w:hAnsi="Arial" w:cs="Arial"/>
                <w:sz w:val="20"/>
                <w:szCs w:val="20"/>
              </w:rPr>
              <w:t>Intensity on diffusion-weighted imaging unequivocally higher than liver and/or ADC unequivocally lower than liver</w:t>
            </w:r>
          </w:p>
        </w:tc>
      </w:tr>
      <w:tr w:rsidR="00716C38" w:rsidRPr="002E3E21" w14:paraId="07468CE5" w14:textId="77777777" w:rsidTr="00C81DD3">
        <w:tc>
          <w:tcPr>
            <w:tcW w:w="3964" w:type="dxa"/>
          </w:tcPr>
          <w:p w14:paraId="78B10E21" w14:textId="77777777" w:rsidR="00716C38" w:rsidRPr="002E3E21" w:rsidRDefault="00716C38" w:rsidP="00C81DD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eastAsia="微软雅黑" w:hAnsi="Arial" w:cs="Arial"/>
                <w:sz w:val="20"/>
                <w:szCs w:val="20"/>
              </w:rPr>
              <w:t>Nonrim arterial hyperenhancement</w:t>
            </w:r>
          </w:p>
        </w:tc>
        <w:tc>
          <w:tcPr>
            <w:tcW w:w="5766" w:type="dxa"/>
          </w:tcPr>
          <w:p w14:paraId="3B780AE3" w14:textId="77777777" w:rsidR="00716C38" w:rsidRPr="002E3E21" w:rsidRDefault="00716C38" w:rsidP="00C81DD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eastAsia="微软雅黑" w:hAnsi="Arial" w:cs="Arial"/>
                <w:sz w:val="20"/>
                <w:szCs w:val="20"/>
              </w:rPr>
              <w:t>Nonrim-like enhancement in arterial phase unequivocally greater in whole or in part than liver</w:t>
            </w:r>
          </w:p>
        </w:tc>
      </w:tr>
      <w:tr w:rsidR="00716C38" w:rsidRPr="002E3E21" w14:paraId="21294F31" w14:textId="77777777" w:rsidTr="00C81DD3">
        <w:tc>
          <w:tcPr>
            <w:tcW w:w="3964" w:type="dxa"/>
          </w:tcPr>
          <w:p w14:paraId="3897EC48" w14:textId="77777777" w:rsidR="00716C38" w:rsidRPr="002E3E21" w:rsidRDefault="00716C38" w:rsidP="00C81DD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eastAsia="微软雅黑" w:hAnsi="Arial" w:cs="Arial"/>
                <w:sz w:val="20"/>
                <w:szCs w:val="20"/>
              </w:rPr>
              <w:t>Nonperipheral washout in portal venous phase</w:t>
            </w:r>
          </w:p>
        </w:tc>
        <w:tc>
          <w:tcPr>
            <w:tcW w:w="5766" w:type="dxa"/>
          </w:tcPr>
          <w:p w14:paraId="37505DC0" w14:textId="77777777" w:rsidR="00716C38" w:rsidRPr="002E3E21" w:rsidRDefault="00716C38" w:rsidP="00C81DD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eastAsia="微软雅黑" w:hAnsi="Arial" w:cs="Arial"/>
                <w:sz w:val="20"/>
                <w:szCs w:val="20"/>
              </w:rPr>
              <w:t>Nonperipheral visually assessed temporal reduction in enhancement in whole or in part relative to liver tissue in portal venous phase</w:t>
            </w:r>
          </w:p>
        </w:tc>
      </w:tr>
      <w:tr w:rsidR="00716C38" w:rsidRPr="002E3E21" w14:paraId="401909D0" w14:textId="77777777" w:rsidTr="00C81DD3">
        <w:tc>
          <w:tcPr>
            <w:tcW w:w="3964" w:type="dxa"/>
          </w:tcPr>
          <w:p w14:paraId="48CFC65E" w14:textId="77777777" w:rsidR="00716C38" w:rsidRPr="002E3E21" w:rsidRDefault="00716C38" w:rsidP="00C81DD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eastAsia="微软雅黑" w:hAnsi="Arial" w:cs="Arial"/>
                <w:sz w:val="20"/>
                <w:szCs w:val="20"/>
              </w:rPr>
              <w:t>Hepatobiliary phase hypointensity</w:t>
            </w:r>
          </w:p>
        </w:tc>
        <w:tc>
          <w:tcPr>
            <w:tcW w:w="5766" w:type="dxa"/>
          </w:tcPr>
          <w:p w14:paraId="65F9ED7F" w14:textId="77777777" w:rsidR="00716C38" w:rsidRPr="002E3E21" w:rsidRDefault="00716C38" w:rsidP="00C81DD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E21">
              <w:rPr>
                <w:rFonts w:ascii="Arial" w:eastAsia="微软雅黑" w:hAnsi="Arial" w:cs="Arial"/>
                <w:sz w:val="20"/>
                <w:szCs w:val="20"/>
              </w:rPr>
              <w:t>Intensity in the hepatobiliary phase unequivocally less, in whole or in part, than liver</w:t>
            </w:r>
          </w:p>
        </w:tc>
      </w:tr>
    </w:tbl>
    <w:p w14:paraId="1B9A40E3" w14:textId="77777777" w:rsidR="00716C38" w:rsidRPr="002E3E21" w:rsidRDefault="00716C38" w:rsidP="00716C38">
      <w:pPr>
        <w:widowControl/>
        <w:jc w:val="left"/>
        <w:rPr>
          <w:rFonts w:ascii="Arial" w:hAnsi="Arial" w:cs="Arial"/>
          <w:color w:val="000000" w:themeColor="text1"/>
          <w:sz w:val="24"/>
        </w:rPr>
      </w:pPr>
    </w:p>
    <w:p w14:paraId="1222FDDC" w14:textId="3BD17AA2" w:rsidR="009B131C" w:rsidRPr="00716C38" w:rsidRDefault="00716C38" w:rsidP="00716C38">
      <w:pPr>
        <w:widowControl/>
        <w:jc w:val="left"/>
        <w:rPr>
          <w:rFonts w:ascii="Arial" w:hAnsi="Arial" w:cs="Arial" w:hint="eastAsia"/>
          <w:b/>
          <w:bCs/>
          <w:color w:val="000000" w:themeColor="text1"/>
          <w:sz w:val="24"/>
        </w:rPr>
      </w:pPr>
      <w:r w:rsidRPr="002E3E21">
        <w:rPr>
          <w:rFonts w:ascii="Arial" w:hAnsi="Arial" w:cs="Arial"/>
          <w:b/>
          <w:bCs/>
          <w:color w:val="000000" w:themeColor="text1"/>
          <w:sz w:val="24"/>
        </w:rPr>
        <w:br w:type="page"/>
      </w:r>
    </w:p>
    <w:sectPr w:rsidR="009B131C" w:rsidRPr="00716C38" w:rsidSect="0030195C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5C"/>
    <w:rsid w:val="000031AC"/>
    <w:rsid w:val="00017338"/>
    <w:rsid w:val="000469BA"/>
    <w:rsid w:val="00073EE3"/>
    <w:rsid w:val="00094F98"/>
    <w:rsid w:val="00096090"/>
    <w:rsid w:val="000B48CA"/>
    <w:rsid w:val="000C0E14"/>
    <w:rsid w:val="000D3602"/>
    <w:rsid w:val="000D4CC7"/>
    <w:rsid w:val="000D7B55"/>
    <w:rsid w:val="000E67F3"/>
    <w:rsid w:val="001125C6"/>
    <w:rsid w:val="00125701"/>
    <w:rsid w:val="00134F1C"/>
    <w:rsid w:val="001355A3"/>
    <w:rsid w:val="00141289"/>
    <w:rsid w:val="00163C5A"/>
    <w:rsid w:val="00190B9F"/>
    <w:rsid w:val="001956D1"/>
    <w:rsid w:val="00195836"/>
    <w:rsid w:val="001A785D"/>
    <w:rsid w:val="001E1F77"/>
    <w:rsid w:val="001F0C27"/>
    <w:rsid w:val="001F49AD"/>
    <w:rsid w:val="00204CB2"/>
    <w:rsid w:val="00212C1B"/>
    <w:rsid w:val="00214A09"/>
    <w:rsid w:val="002312BD"/>
    <w:rsid w:val="00233596"/>
    <w:rsid w:val="00235678"/>
    <w:rsid w:val="002456CD"/>
    <w:rsid w:val="002469CB"/>
    <w:rsid w:val="00266881"/>
    <w:rsid w:val="0027048F"/>
    <w:rsid w:val="00271C38"/>
    <w:rsid w:val="00281F6D"/>
    <w:rsid w:val="00284703"/>
    <w:rsid w:val="002B1A01"/>
    <w:rsid w:val="002B4A06"/>
    <w:rsid w:val="002D17FF"/>
    <w:rsid w:val="0030195C"/>
    <w:rsid w:val="003074F5"/>
    <w:rsid w:val="00311F0A"/>
    <w:rsid w:val="00314055"/>
    <w:rsid w:val="003375FC"/>
    <w:rsid w:val="0034117C"/>
    <w:rsid w:val="00353B03"/>
    <w:rsid w:val="00357CBD"/>
    <w:rsid w:val="00373E70"/>
    <w:rsid w:val="00377EAB"/>
    <w:rsid w:val="00393DFB"/>
    <w:rsid w:val="003A6739"/>
    <w:rsid w:val="003A7454"/>
    <w:rsid w:val="003B05A8"/>
    <w:rsid w:val="003B068D"/>
    <w:rsid w:val="003B2F94"/>
    <w:rsid w:val="003C7BE0"/>
    <w:rsid w:val="003E57CE"/>
    <w:rsid w:val="003E7FBE"/>
    <w:rsid w:val="003F57DD"/>
    <w:rsid w:val="00422EA2"/>
    <w:rsid w:val="004346C6"/>
    <w:rsid w:val="00461B5C"/>
    <w:rsid w:val="00470AF9"/>
    <w:rsid w:val="00477A8B"/>
    <w:rsid w:val="004809DE"/>
    <w:rsid w:val="004817A5"/>
    <w:rsid w:val="0048589E"/>
    <w:rsid w:val="004914DE"/>
    <w:rsid w:val="004A7316"/>
    <w:rsid w:val="004B4255"/>
    <w:rsid w:val="004C5B05"/>
    <w:rsid w:val="004C65EB"/>
    <w:rsid w:val="004C6DB5"/>
    <w:rsid w:val="004E474F"/>
    <w:rsid w:val="004F3AF8"/>
    <w:rsid w:val="004F7D87"/>
    <w:rsid w:val="005079C8"/>
    <w:rsid w:val="005269D8"/>
    <w:rsid w:val="00527400"/>
    <w:rsid w:val="00527E8E"/>
    <w:rsid w:val="0053192B"/>
    <w:rsid w:val="00546CF1"/>
    <w:rsid w:val="00553C1C"/>
    <w:rsid w:val="00553EA2"/>
    <w:rsid w:val="00567136"/>
    <w:rsid w:val="005A2F2E"/>
    <w:rsid w:val="005B7560"/>
    <w:rsid w:val="005C72AF"/>
    <w:rsid w:val="005D02D8"/>
    <w:rsid w:val="005E06EA"/>
    <w:rsid w:val="005E21A6"/>
    <w:rsid w:val="005E5456"/>
    <w:rsid w:val="005E7DAD"/>
    <w:rsid w:val="005E7F5F"/>
    <w:rsid w:val="00620E45"/>
    <w:rsid w:val="006216FD"/>
    <w:rsid w:val="006221AB"/>
    <w:rsid w:val="00622980"/>
    <w:rsid w:val="006365F2"/>
    <w:rsid w:val="006467A7"/>
    <w:rsid w:val="006555DD"/>
    <w:rsid w:val="0065569C"/>
    <w:rsid w:val="00655D6B"/>
    <w:rsid w:val="00676053"/>
    <w:rsid w:val="006958CB"/>
    <w:rsid w:val="006A088B"/>
    <w:rsid w:val="006A1ADE"/>
    <w:rsid w:val="006B1809"/>
    <w:rsid w:val="006B6BCF"/>
    <w:rsid w:val="006B720B"/>
    <w:rsid w:val="006C529F"/>
    <w:rsid w:val="006D51BD"/>
    <w:rsid w:val="006D6569"/>
    <w:rsid w:val="006E1067"/>
    <w:rsid w:val="007034C2"/>
    <w:rsid w:val="00716C38"/>
    <w:rsid w:val="00737D12"/>
    <w:rsid w:val="00742D07"/>
    <w:rsid w:val="0075456D"/>
    <w:rsid w:val="00755CF1"/>
    <w:rsid w:val="007574A5"/>
    <w:rsid w:val="00760626"/>
    <w:rsid w:val="007618AB"/>
    <w:rsid w:val="00770F4C"/>
    <w:rsid w:val="007841A2"/>
    <w:rsid w:val="0078515D"/>
    <w:rsid w:val="00785293"/>
    <w:rsid w:val="007975AB"/>
    <w:rsid w:val="007B724F"/>
    <w:rsid w:val="007B7780"/>
    <w:rsid w:val="007D1881"/>
    <w:rsid w:val="007D6A5E"/>
    <w:rsid w:val="007F2EA7"/>
    <w:rsid w:val="00802DE0"/>
    <w:rsid w:val="00814E69"/>
    <w:rsid w:val="00845A3D"/>
    <w:rsid w:val="00846379"/>
    <w:rsid w:val="0086276C"/>
    <w:rsid w:val="008646AD"/>
    <w:rsid w:val="00872A1B"/>
    <w:rsid w:val="00874FA5"/>
    <w:rsid w:val="00884D00"/>
    <w:rsid w:val="00896E3F"/>
    <w:rsid w:val="008A12DF"/>
    <w:rsid w:val="008C4A1A"/>
    <w:rsid w:val="008D3E3C"/>
    <w:rsid w:val="008D5F11"/>
    <w:rsid w:val="008D6ABE"/>
    <w:rsid w:val="008F050F"/>
    <w:rsid w:val="008F1B25"/>
    <w:rsid w:val="008F39FC"/>
    <w:rsid w:val="009233FF"/>
    <w:rsid w:val="00924B1A"/>
    <w:rsid w:val="00930488"/>
    <w:rsid w:val="009427E0"/>
    <w:rsid w:val="00946208"/>
    <w:rsid w:val="00951C35"/>
    <w:rsid w:val="0096360A"/>
    <w:rsid w:val="00972A00"/>
    <w:rsid w:val="009775B5"/>
    <w:rsid w:val="00986C22"/>
    <w:rsid w:val="0099053A"/>
    <w:rsid w:val="009A5916"/>
    <w:rsid w:val="009B0001"/>
    <w:rsid w:val="009B131C"/>
    <w:rsid w:val="009C0037"/>
    <w:rsid w:val="009C0EC6"/>
    <w:rsid w:val="009C5775"/>
    <w:rsid w:val="009D61AD"/>
    <w:rsid w:val="009F7BB2"/>
    <w:rsid w:val="00A21B7A"/>
    <w:rsid w:val="00A222C7"/>
    <w:rsid w:val="00A35395"/>
    <w:rsid w:val="00A43362"/>
    <w:rsid w:val="00A70759"/>
    <w:rsid w:val="00A728F8"/>
    <w:rsid w:val="00A72A91"/>
    <w:rsid w:val="00A812F0"/>
    <w:rsid w:val="00A955BE"/>
    <w:rsid w:val="00AA2DAF"/>
    <w:rsid w:val="00AC76B3"/>
    <w:rsid w:val="00B044FB"/>
    <w:rsid w:val="00B060F6"/>
    <w:rsid w:val="00B07AE9"/>
    <w:rsid w:val="00B11426"/>
    <w:rsid w:val="00B13D5F"/>
    <w:rsid w:val="00B20B56"/>
    <w:rsid w:val="00B26228"/>
    <w:rsid w:val="00B35D55"/>
    <w:rsid w:val="00B56771"/>
    <w:rsid w:val="00B63798"/>
    <w:rsid w:val="00B64383"/>
    <w:rsid w:val="00B7237A"/>
    <w:rsid w:val="00B730B6"/>
    <w:rsid w:val="00B94E75"/>
    <w:rsid w:val="00BA5A25"/>
    <w:rsid w:val="00BC1A17"/>
    <w:rsid w:val="00C16C3B"/>
    <w:rsid w:val="00C20B5F"/>
    <w:rsid w:val="00C316DE"/>
    <w:rsid w:val="00C333DE"/>
    <w:rsid w:val="00C337DC"/>
    <w:rsid w:val="00C43CF0"/>
    <w:rsid w:val="00C5414D"/>
    <w:rsid w:val="00C55253"/>
    <w:rsid w:val="00C63589"/>
    <w:rsid w:val="00C67EB1"/>
    <w:rsid w:val="00C943F5"/>
    <w:rsid w:val="00CA1C96"/>
    <w:rsid w:val="00CB161D"/>
    <w:rsid w:val="00CB76D4"/>
    <w:rsid w:val="00CC3B7B"/>
    <w:rsid w:val="00CD67D2"/>
    <w:rsid w:val="00CD76DE"/>
    <w:rsid w:val="00D151A1"/>
    <w:rsid w:val="00D17C87"/>
    <w:rsid w:val="00D57B5F"/>
    <w:rsid w:val="00D62026"/>
    <w:rsid w:val="00D66C9D"/>
    <w:rsid w:val="00D745DB"/>
    <w:rsid w:val="00D775F1"/>
    <w:rsid w:val="00D82BDE"/>
    <w:rsid w:val="00DA5B20"/>
    <w:rsid w:val="00DD2176"/>
    <w:rsid w:val="00DD232A"/>
    <w:rsid w:val="00DF2833"/>
    <w:rsid w:val="00E13A4D"/>
    <w:rsid w:val="00E2342C"/>
    <w:rsid w:val="00E25FF0"/>
    <w:rsid w:val="00E50BC8"/>
    <w:rsid w:val="00E61634"/>
    <w:rsid w:val="00E73A3F"/>
    <w:rsid w:val="00E93AE9"/>
    <w:rsid w:val="00EC1C24"/>
    <w:rsid w:val="00ED21A7"/>
    <w:rsid w:val="00EE315D"/>
    <w:rsid w:val="00F049C9"/>
    <w:rsid w:val="00F101CB"/>
    <w:rsid w:val="00F13DFB"/>
    <w:rsid w:val="00F156A6"/>
    <w:rsid w:val="00F17C11"/>
    <w:rsid w:val="00F310B7"/>
    <w:rsid w:val="00F37029"/>
    <w:rsid w:val="00F53A44"/>
    <w:rsid w:val="00F9420E"/>
    <w:rsid w:val="00FD6DB3"/>
    <w:rsid w:val="00FD7A8B"/>
    <w:rsid w:val="00FE74CE"/>
    <w:rsid w:val="00FF13FD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F5B8"/>
  <w15:chartTrackingRefBased/>
  <w15:docId w15:val="{DBF1FFCA-6453-7540-A43D-BB42504E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D51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349E9A-8EF9-FC4B-956A-9AA1B331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2022-12-10T07:06:00Z</dcterms:created>
  <dcterms:modified xsi:type="dcterms:W3CDTF">2022-12-10T07:11:00Z</dcterms:modified>
</cp:coreProperties>
</file>