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9E8E5" w14:textId="77777777" w:rsidR="00B660FA" w:rsidRDefault="00B660FA" w:rsidP="00B660FA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Appendix III:</w:t>
      </w:r>
      <w:r>
        <w:rPr>
          <w:rFonts w:ascii="Arial" w:hAnsi="Arial" w:cs="Arial"/>
          <w:sz w:val="20"/>
          <w:szCs w:val="20"/>
        </w:rPr>
        <w:t xml:space="preserve"> Comparison between patients with and without LDL-C values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23"/>
        <w:gridCol w:w="1612"/>
        <w:gridCol w:w="1802"/>
        <w:gridCol w:w="988"/>
        <w:gridCol w:w="1711"/>
        <w:gridCol w:w="1800"/>
        <w:gridCol w:w="1254"/>
      </w:tblGrid>
      <w:tr w:rsidR="00B660FA" w14:paraId="6DD51A59" w14:textId="77777777" w:rsidTr="00D073A2">
        <w:trPr>
          <w:trHeight w:val="350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72E1" w14:textId="77777777" w:rsidR="00B660FA" w:rsidRDefault="00B660FA" w:rsidP="00D073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0BD6" w14:textId="77777777" w:rsidR="00B660FA" w:rsidRDefault="00B660FA" w:rsidP="00D073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At the index visit</w:t>
            </w:r>
          </w:p>
        </w:tc>
        <w:tc>
          <w:tcPr>
            <w:tcW w:w="22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EEF25F" w14:textId="77777777" w:rsidR="00B660FA" w:rsidRDefault="00B660FA" w:rsidP="00D073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During the follow-up period</w:t>
            </w:r>
          </w:p>
        </w:tc>
      </w:tr>
      <w:tr w:rsidR="00B660FA" w14:paraId="3F962907" w14:textId="77777777" w:rsidTr="00D073A2">
        <w:trPr>
          <w:trHeight w:val="800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C17E" w14:textId="77777777" w:rsidR="00B660FA" w:rsidRDefault="00B660FA" w:rsidP="00D073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BCDAC" w14:textId="77777777" w:rsidR="00B660FA" w:rsidRDefault="00B660FA" w:rsidP="00D073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Patients with LDL-C values (N=5,493)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2396" w14:textId="77777777" w:rsidR="00B660FA" w:rsidRDefault="00B660FA" w:rsidP="00D073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Patients without LDL-C values (N=5,096)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8251C" w14:textId="77777777" w:rsidR="00B660FA" w:rsidRDefault="00B660FA" w:rsidP="00D073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zh-CN"/>
              </w:rPr>
              <w:t>p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-value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46110" w14:textId="77777777" w:rsidR="00B660FA" w:rsidRDefault="00B660FA" w:rsidP="00D073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Patients with LDL-C values (N=507)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6C7E00" w14:textId="77777777" w:rsidR="00B660FA" w:rsidRDefault="00B660FA" w:rsidP="00D073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Patients without LDL-C values (N=10,082)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2AA203" w14:textId="77777777" w:rsidR="00B660FA" w:rsidRDefault="00B660FA" w:rsidP="00D073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zh-CN"/>
              </w:rPr>
              <w:t>p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-value</w:t>
            </w:r>
          </w:p>
        </w:tc>
      </w:tr>
      <w:tr w:rsidR="00B660FA" w14:paraId="699F7559" w14:textId="77777777" w:rsidTr="00D073A2">
        <w:trPr>
          <w:trHeight w:val="290"/>
        </w:trPr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C682" w14:textId="77777777" w:rsidR="00B660FA" w:rsidRDefault="00B660FA" w:rsidP="00D073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Females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68AE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2,108 (38.4%)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B3FF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2,057 (40.4%)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4734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0.04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829D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176 (34.7%)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8A04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3,989 (39.6%)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9225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0.03</w:t>
            </w:r>
          </w:p>
        </w:tc>
      </w:tr>
      <w:tr w:rsidR="00B660FA" w14:paraId="4C2A958C" w14:textId="77777777" w:rsidTr="00D073A2">
        <w:trPr>
          <w:trHeight w:val="77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C45B" w14:textId="77777777" w:rsidR="00B660FA" w:rsidRDefault="00B660FA" w:rsidP="00D073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Type of ACS</w:t>
            </w:r>
          </w:p>
        </w:tc>
      </w:tr>
      <w:tr w:rsidR="00B660FA" w14:paraId="77A870F0" w14:textId="77777777" w:rsidTr="00D073A2">
        <w:trPr>
          <w:trHeight w:val="290"/>
        </w:trPr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086F" w14:textId="77777777" w:rsidR="00B660FA" w:rsidRDefault="00B660FA" w:rsidP="00D073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STEMI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455E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1,603 (29.2%)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0616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1,188 (23.3%)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32CA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&lt;0.01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3D16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176 (34.7%)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3653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2,615 (25.9%)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1D58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&lt;0.01</w:t>
            </w:r>
          </w:p>
        </w:tc>
      </w:tr>
      <w:tr w:rsidR="00B660FA" w14:paraId="780B642A" w14:textId="77777777" w:rsidTr="00D073A2">
        <w:trPr>
          <w:trHeight w:val="290"/>
        </w:trPr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9B54" w14:textId="77777777" w:rsidR="00B660FA" w:rsidRDefault="00B660FA" w:rsidP="00D073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NSTEMI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ADF9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3,725 (67.8%)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F5BC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3,591 (70.5%)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03B0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&lt;0.01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6155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307 (60.6%)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F762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7,009 (69.5%)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4E08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&lt;0.01</w:t>
            </w:r>
          </w:p>
        </w:tc>
      </w:tr>
      <w:tr w:rsidR="00B660FA" w14:paraId="47E5D4DC" w14:textId="77777777" w:rsidTr="00D073A2">
        <w:trPr>
          <w:trHeight w:val="290"/>
        </w:trPr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A899" w14:textId="77777777" w:rsidR="00B660FA" w:rsidRDefault="00B660FA" w:rsidP="00D073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  UA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F3D7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160 (2.9%)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350E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306 (6.0%)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2B88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&lt;0.01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EB41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24 (4.7%)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F733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442 (4.4%)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5086" w14:textId="77777777" w:rsidR="00B660FA" w:rsidRDefault="00B660FA" w:rsidP="00D073A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0.71</w:t>
            </w:r>
          </w:p>
        </w:tc>
      </w:tr>
    </w:tbl>
    <w:p w14:paraId="5723CDE4" w14:textId="77777777" w:rsidR="00B660FA" w:rsidRDefault="00B660FA" w:rsidP="00B660F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Percentages may not sum up to 100% due to rounding.</w:t>
      </w:r>
    </w:p>
    <w:p w14:paraId="139E9918" w14:textId="77777777" w:rsidR="00B660FA" w:rsidRDefault="00B660FA" w:rsidP="00B660F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All data except </w:t>
      </w:r>
      <w:r>
        <w:rPr>
          <w:i/>
          <w:iCs/>
        </w:rPr>
        <w:t>p</w:t>
      </w:r>
      <w:r>
        <w:t>-values are presented as n (%).</w:t>
      </w:r>
    </w:p>
    <w:p w14:paraId="4663EB76" w14:textId="77777777" w:rsidR="00B660FA" w:rsidRPr="00390BC9" w:rsidRDefault="00B660FA" w:rsidP="00B66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Abbreviations:</w:t>
      </w:r>
      <w:r>
        <w:rPr>
          <w:rFonts w:ascii="Arial" w:hAnsi="Arial" w:cs="Arial"/>
          <w:sz w:val="20"/>
          <w:szCs w:val="20"/>
        </w:rPr>
        <w:t xml:space="preserve"> ACS, acute coronary syndrome; LDL-C, low-density lipoprotein cholesterol; NSTEMI, non-ST-elevation myocardial infarction; STEMI, ST-elevation myocardial infarction; UA, unstable angina.</w:t>
      </w:r>
    </w:p>
    <w:p w14:paraId="3238F8D8" w14:textId="1E61E453" w:rsidR="00162B9D" w:rsidRPr="00DE469D" w:rsidRDefault="00162B9D" w:rsidP="00DE469D"/>
    <w:sectPr w:rsidR="00162B9D" w:rsidRPr="00DE469D" w:rsidSect="001118B9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FC7"/>
    <w:rsid w:val="00064D83"/>
    <w:rsid w:val="00162B9D"/>
    <w:rsid w:val="00277554"/>
    <w:rsid w:val="002B633A"/>
    <w:rsid w:val="002C625C"/>
    <w:rsid w:val="00465F0D"/>
    <w:rsid w:val="0062146F"/>
    <w:rsid w:val="007A08BE"/>
    <w:rsid w:val="0085061B"/>
    <w:rsid w:val="00B65095"/>
    <w:rsid w:val="00B660FA"/>
    <w:rsid w:val="00C127F2"/>
    <w:rsid w:val="00C5494B"/>
    <w:rsid w:val="00C824D4"/>
    <w:rsid w:val="00CF5DBF"/>
    <w:rsid w:val="00DE469D"/>
    <w:rsid w:val="00E306A0"/>
    <w:rsid w:val="00ED0FC7"/>
    <w:rsid w:val="00FC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7C5C4"/>
  <w15:chartTrackingRefBased/>
  <w15:docId w15:val="{D7B3DAE8-D392-4F84-A1B3-D77E20B03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0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2C625C"/>
  </w:style>
  <w:style w:type="paragraph" w:styleId="NoSpacing">
    <w:name w:val="No Spacing"/>
    <w:uiPriority w:val="1"/>
    <w:qFormat/>
    <w:rsid w:val="002B63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Glowacki, Nicole</dc:creator>
  <cp:keywords/>
  <dc:description/>
  <cp:lastModifiedBy>Glowacki, Nicole</cp:lastModifiedBy>
  <cp:revision>3</cp:revision>
  <cp:lastPrinted>2022-12-13T03:25:00Z</cp:lastPrinted>
  <dcterms:created xsi:type="dcterms:W3CDTF">2022-12-13T03:26:00Z</dcterms:created>
  <dcterms:modified xsi:type="dcterms:W3CDTF">2022-12-13T03:27:00Z</dcterms:modified>
</cp:coreProperties>
</file>