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F1F72" w14:textId="77777777" w:rsidR="00F6561C" w:rsidRDefault="00F6561C" w:rsidP="00F6561C">
      <w:pPr>
        <w:pStyle w:val="Heading1"/>
        <w:rPr>
          <w:lang w:val="en-US"/>
        </w:rPr>
      </w:pPr>
      <w:r>
        <w:rPr>
          <w:lang w:val="en-US"/>
        </w:rPr>
        <w:t>Supplementary Appendix 1</w:t>
      </w:r>
    </w:p>
    <w:p w14:paraId="56D88D87" w14:textId="08843F62" w:rsidR="00FE56ED" w:rsidRPr="00AA5961" w:rsidRDefault="00FE56ED" w:rsidP="00FE56ED">
      <w:pPr>
        <w:pStyle w:val="Heading1"/>
        <w:rPr>
          <w:sz w:val="28"/>
          <w:szCs w:val="24"/>
          <w:lang w:val="en-US"/>
        </w:rPr>
      </w:pPr>
      <w:r w:rsidRPr="00AA5961">
        <w:rPr>
          <w:sz w:val="28"/>
          <w:szCs w:val="24"/>
          <w:lang w:val="en-US"/>
        </w:rPr>
        <w:t>Supplementary methods</w:t>
      </w:r>
    </w:p>
    <w:p w14:paraId="4CBA6A21" w14:textId="77777777" w:rsidR="00FE56ED" w:rsidRPr="00AA5961" w:rsidRDefault="00FE56ED" w:rsidP="00FE56ED">
      <w:pPr>
        <w:pStyle w:val="Heading2"/>
        <w:rPr>
          <w:sz w:val="24"/>
          <w:szCs w:val="20"/>
          <w:lang w:val="en-US"/>
        </w:rPr>
      </w:pPr>
      <w:r w:rsidRPr="00AA5961">
        <w:rPr>
          <w:sz w:val="24"/>
          <w:szCs w:val="20"/>
          <w:lang w:val="en-US"/>
        </w:rPr>
        <w:t>Derivation of baseline modified Medical Research Council dyspnea scale score</w:t>
      </w:r>
    </w:p>
    <w:p w14:paraId="26865805" w14:textId="77777777" w:rsidR="00FE56ED" w:rsidRPr="00265C4A" w:rsidRDefault="00FE56ED" w:rsidP="00FE56ED">
      <w:pPr>
        <w:spacing w:line="480" w:lineRule="auto"/>
        <w:rPr>
          <w:rFonts w:ascii="Arial" w:hAnsi="Arial" w:cs="Arial"/>
          <w:bCs/>
          <w:sz w:val="20"/>
          <w:szCs w:val="20"/>
          <w:lang w:val="en-US"/>
        </w:rPr>
      </w:pPr>
      <w:r w:rsidRPr="00265C4A">
        <w:rPr>
          <w:rFonts w:ascii="Arial" w:hAnsi="Arial" w:cs="Arial"/>
          <w:bCs/>
          <w:sz w:val="20"/>
          <w:szCs w:val="20"/>
          <w:lang w:val="en-US"/>
        </w:rPr>
        <w:t>The GALAXY</w:t>
      </w:r>
      <w:r>
        <w:rPr>
          <w:rFonts w:ascii="Arial" w:hAnsi="Arial" w:cs="Arial"/>
          <w:bCs/>
          <w:sz w:val="20"/>
          <w:szCs w:val="20"/>
          <w:lang w:val="en-US"/>
        </w:rPr>
        <w:t>-</w:t>
      </w:r>
      <w:r w:rsidRPr="00265C4A">
        <w:rPr>
          <w:rFonts w:ascii="Arial" w:hAnsi="Arial" w:cs="Arial"/>
          <w:bCs/>
          <w:sz w:val="20"/>
          <w:szCs w:val="20"/>
          <w:lang w:val="en-US"/>
        </w:rPr>
        <w:t xml:space="preserve">COPD model baseline parameter inputs included the proportion of the population with </w:t>
      </w:r>
      <w:r w:rsidRPr="002A40C7">
        <w:rPr>
          <w:rFonts w:ascii="Arial" w:hAnsi="Arial" w:cs="Arial"/>
          <w:bCs/>
          <w:sz w:val="20"/>
          <w:szCs w:val="20"/>
          <w:lang w:val="en-US"/>
        </w:rPr>
        <w:t xml:space="preserve">modified Medical Research Council </w:t>
      </w:r>
      <w:r>
        <w:rPr>
          <w:rFonts w:ascii="Arial" w:hAnsi="Arial" w:cs="Arial"/>
          <w:bCs/>
          <w:sz w:val="20"/>
          <w:szCs w:val="20"/>
          <w:lang w:val="en-US"/>
        </w:rPr>
        <w:t>(</w:t>
      </w:r>
      <w:r w:rsidRPr="00265C4A">
        <w:rPr>
          <w:rFonts w:ascii="Arial" w:hAnsi="Arial" w:cs="Arial"/>
          <w:bCs/>
          <w:sz w:val="20"/>
          <w:szCs w:val="20"/>
          <w:lang w:val="en-US"/>
        </w:rPr>
        <w:t>mMRC</w:t>
      </w:r>
      <w:r>
        <w:rPr>
          <w:rFonts w:ascii="Arial" w:hAnsi="Arial" w:cs="Arial"/>
          <w:bCs/>
          <w:sz w:val="20"/>
          <w:szCs w:val="20"/>
          <w:lang w:val="en-US"/>
        </w:rPr>
        <w:t>)</w:t>
      </w:r>
      <w:r w:rsidRPr="00265C4A">
        <w:rPr>
          <w:rFonts w:ascii="Arial" w:hAnsi="Arial" w:cs="Arial"/>
          <w:bCs/>
          <w:sz w:val="20"/>
          <w:szCs w:val="20"/>
          <w:lang w:val="en-US"/>
        </w:rPr>
        <w:t xml:space="preserve"> </w:t>
      </w:r>
      <w:r w:rsidRPr="00265C4A">
        <w:rPr>
          <w:rFonts w:ascii="Arial" w:hAnsi="Arial" w:cs="Arial"/>
          <w:iCs/>
          <w:sz w:val="20"/>
          <w:szCs w:val="20"/>
          <w:lang w:val="en-US"/>
        </w:rPr>
        <w:t>dyspnea scale score</w:t>
      </w:r>
      <w:r w:rsidRPr="00265C4A">
        <w:rPr>
          <w:rFonts w:ascii="Arial" w:hAnsi="Arial" w:cs="Arial"/>
          <w:bCs/>
          <w:sz w:val="20"/>
          <w:szCs w:val="20"/>
          <w:lang w:val="en-US"/>
        </w:rPr>
        <w:t xml:space="preserve"> ≥2, which identified the level of dyspnea symptoms in the population at baseline. Based on a publication by Jones et al</w:t>
      </w:r>
      <w:r>
        <w:rPr>
          <w:rFonts w:ascii="Arial" w:hAnsi="Arial" w:cs="Arial"/>
          <w:bCs/>
          <w:sz w:val="20"/>
          <w:szCs w:val="20"/>
          <w:lang w:val="en-US"/>
        </w:rPr>
        <w:t>,</w:t>
      </w:r>
      <w:r w:rsidRPr="0067581C">
        <w:rPr>
          <w:rFonts w:ascii="Arial" w:hAnsi="Arial" w:cs="Arial"/>
          <w:bCs/>
          <w:sz w:val="20"/>
          <w:szCs w:val="20"/>
          <w:vertAlign w:val="superscript"/>
          <w:lang w:val="en-US"/>
        </w:rPr>
        <w:t>1</w:t>
      </w:r>
      <w:r w:rsidRPr="00265C4A">
        <w:rPr>
          <w:rFonts w:ascii="Arial" w:hAnsi="Arial" w:cs="Arial"/>
          <w:bCs/>
          <w:sz w:val="20"/>
          <w:szCs w:val="20"/>
          <w:lang w:val="en-US"/>
        </w:rPr>
        <w:t xml:space="preserve"> the proportion of patients with </w:t>
      </w:r>
      <w:r>
        <w:rPr>
          <w:rFonts w:ascii="Arial" w:hAnsi="Arial" w:cs="Arial"/>
          <w:bCs/>
          <w:sz w:val="20"/>
          <w:szCs w:val="20"/>
          <w:lang w:val="en-US"/>
        </w:rPr>
        <w:t xml:space="preserve">COPD </w:t>
      </w:r>
      <w:r w:rsidRPr="008A7D13">
        <w:rPr>
          <w:rFonts w:ascii="Arial" w:hAnsi="Arial" w:cs="Arial"/>
          <w:bCs/>
          <w:sz w:val="20"/>
          <w:szCs w:val="20"/>
          <w:lang w:val="en-US"/>
        </w:rPr>
        <w:t xml:space="preserve">(chronic obstructive pulmonary disease) </w:t>
      </w:r>
      <w:r>
        <w:rPr>
          <w:rFonts w:ascii="Arial" w:hAnsi="Arial" w:cs="Arial"/>
          <w:bCs/>
          <w:sz w:val="20"/>
          <w:szCs w:val="20"/>
          <w:lang w:val="en-US"/>
        </w:rPr>
        <w:t>Assessment Test (</w:t>
      </w:r>
      <w:r w:rsidRPr="00265C4A">
        <w:rPr>
          <w:rFonts w:ascii="Arial" w:hAnsi="Arial" w:cs="Arial"/>
          <w:bCs/>
          <w:sz w:val="20"/>
          <w:szCs w:val="20"/>
          <w:lang w:val="en-US"/>
        </w:rPr>
        <w:t>CAT</w:t>
      </w:r>
      <w:r>
        <w:rPr>
          <w:rFonts w:ascii="Arial" w:hAnsi="Arial" w:cs="Arial"/>
          <w:bCs/>
          <w:sz w:val="20"/>
          <w:szCs w:val="20"/>
          <w:lang w:val="en-US"/>
        </w:rPr>
        <w:t>)</w:t>
      </w:r>
      <w:r w:rsidRPr="00265C4A">
        <w:rPr>
          <w:rFonts w:ascii="Arial" w:hAnsi="Arial" w:cs="Arial"/>
          <w:bCs/>
          <w:sz w:val="20"/>
          <w:szCs w:val="20"/>
          <w:lang w:val="en-US"/>
        </w:rPr>
        <w:t xml:space="preserve"> score ≥21 was assumed to be </w:t>
      </w:r>
      <w:r>
        <w:rPr>
          <w:rFonts w:ascii="Arial" w:hAnsi="Arial" w:cs="Arial"/>
          <w:bCs/>
          <w:sz w:val="20"/>
          <w:szCs w:val="20"/>
          <w:lang w:val="en-US"/>
        </w:rPr>
        <w:t xml:space="preserve">the </w:t>
      </w:r>
      <w:r w:rsidRPr="00265C4A">
        <w:rPr>
          <w:rFonts w:ascii="Arial" w:hAnsi="Arial" w:cs="Arial"/>
          <w:bCs/>
          <w:sz w:val="20"/>
          <w:szCs w:val="20"/>
          <w:lang w:val="en-US"/>
        </w:rPr>
        <w:t xml:space="preserve">same as </w:t>
      </w:r>
      <w:r>
        <w:rPr>
          <w:rFonts w:ascii="Arial" w:hAnsi="Arial" w:cs="Arial"/>
          <w:bCs/>
          <w:sz w:val="20"/>
          <w:szCs w:val="20"/>
          <w:lang w:val="en-US"/>
        </w:rPr>
        <w:t xml:space="preserve">the </w:t>
      </w:r>
      <w:r w:rsidRPr="00265C4A">
        <w:rPr>
          <w:rFonts w:ascii="Arial" w:hAnsi="Arial" w:cs="Arial"/>
          <w:bCs/>
          <w:sz w:val="20"/>
          <w:szCs w:val="20"/>
          <w:lang w:val="en-US"/>
        </w:rPr>
        <w:t>proportion of patients with mMRC ≥2.</w:t>
      </w:r>
    </w:p>
    <w:p w14:paraId="0AEB7E1A" w14:textId="77777777" w:rsidR="00FE56ED" w:rsidRPr="00AA5961" w:rsidRDefault="00FE56ED" w:rsidP="00FE56ED">
      <w:pPr>
        <w:pStyle w:val="Heading2"/>
        <w:rPr>
          <w:sz w:val="24"/>
          <w:szCs w:val="20"/>
          <w:lang w:val="en-US"/>
        </w:rPr>
      </w:pPr>
      <w:r w:rsidRPr="00AA5961">
        <w:rPr>
          <w:sz w:val="24"/>
          <w:szCs w:val="20"/>
          <w:lang w:val="en-US"/>
        </w:rPr>
        <w:t>Derivation of baseline fibrinogen</w:t>
      </w:r>
    </w:p>
    <w:p w14:paraId="07516D76" w14:textId="77777777" w:rsidR="00FE56ED" w:rsidRPr="00265C4A" w:rsidRDefault="00FE56ED" w:rsidP="00FE56ED">
      <w:pPr>
        <w:spacing w:line="480" w:lineRule="auto"/>
        <w:rPr>
          <w:rFonts w:ascii="Arial" w:hAnsi="Arial" w:cs="Arial"/>
          <w:bCs/>
          <w:sz w:val="20"/>
          <w:szCs w:val="20"/>
          <w:lang w:val="en-US"/>
        </w:rPr>
      </w:pPr>
      <w:r w:rsidRPr="00265C4A">
        <w:rPr>
          <w:rFonts w:ascii="Arial" w:hAnsi="Arial" w:cs="Arial"/>
          <w:bCs/>
          <w:sz w:val="20"/>
          <w:szCs w:val="20"/>
          <w:lang w:val="en-US"/>
        </w:rPr>
        <w:t xml:space="preserve">A previously developed risk equation to predict fibrinogen level based on other concurrent baseline parameter values </w:t>
      </w:r>
      <w:r>
        <w:rPr>
          <w:rFonts w:ascii="Arial" w:hAnsi="Arial" w:cs="Arial"/>
          <w:bCs/>
          <w:sz w:val="20"/>
          <w:szCs w:val="20"/>
          <w:lang w:val="en-US"/>
        </w:rPr>
        <w:t>was</w:t>
      </w:r>
      <w:r w:rsidRPr="00265C4A">
        <w:rPr>
          <w:rFonts w:ascii="Arial" w:hAnsi="Arial" w:cs="Arial"/>
          <w:bCs/>
          <w:sz w:val="20"/>
          <w:szCs w:val="20"/>
          <w:lang w:val="en-US"/>
        </w:rPr>
        <w:t xml:space="preserve"> used. This risk equation was developed through analysis of data from the </w:t>
      </w:r>
      <w:r w:rsidRPr="00265C4A">
        <w:rPr>
          <w:rFonts w:ascii="Arial" w:hAnsi="Arial" w:cs="Arial"/>
          <w:iCs/>
          <w:sz w:val="20"/>
          <w:szCs w:val="20"/>
          <w:lang w:val="en-US"/>
        </w:rPr>
        <w:t>Evaluation of COPD Longitudinally to Identify Predictive Surrogate End-points</w:t>
      </w:r>
      <w:r w:rsidRPr="00CA51FB">
        <w:rPr>
          <w:rFonts w:ascii="Arial" w:hAnsi="Arial" w:cs="Arial"/>
          <w:iCs/>
          <w:sz w:val="20"/>
          <w:szCs w:val="20"/>
          <w:lang w:val="en-US"/>
        </w:rPr>
        <w:t xml:space="preserve"> </w:t>
      </w:r>
      <w:r>
        <w:rPr>
          <w:rFonts w:ascii="Arial" w:hAnsi="Arial" w:cs="Arial"/>
          <w:iCs/>
          <w:sz w:val="20"/>
          <w:szCs w:val="20"/>
          <w:lang w:val="en-US"/>
        </w:rPr>
        <w:t>(</w:t>
      </w:r>
      <w:r w:rsidRPr="00265C4A">
        <w:rPr>
          <w:rFonts w:ascii="Arial" w:hAnsi="Arial" w:cs="Arial"/>
          <w:iCs/>
          <w:sz w:val="20"/>
          <w:szCs w:val="20"/>
          <w:lang w:val="en-US"/>
        </w:rPr>
        <w:t>ECLIPSE)</w:t>
      </w:r>
      <w:r w:rsidRPr="00265C4A">
        <w:rPr>
          <w:rFonts w:ascii="Arial" w:hAnsi="Arial" w:cs="Arial"/>
          <w:bCs/>
          <w:sz w:val="20"/>
          <w:szCs w:val="20"/>
          <w:lang w:val="en-US"/>
        </w:rPr>
        <w:t xml:space="preserve"> study in patients with complete baseline data that included fibrinogen values (N=1957). The most efficient model in the analysis included the following covariates for prediction of fibrinogen: age, </w:t>
      </w:r>
      <w:r>
        <w:rPr>
          <w:rFonts w:ascii="Arial" w:hAnsi="Arial" w:cs="Arial"/>
          <w:bCs/>
          <w:sz w:val="20"/>
          <w:szCs w:val="20"/>
          <w:lang w:val="en-US"/>
        </w:rPr>
        <w:t>forced expiratory volume in 1 second (</w:t>
      </w:r>
      <w:r w:rsidRPr="00265C4A">
        <w:rPr>
          <w:rFonts w:ascii="Arial" w:hAnsi="Arial" w:cs="Arial"/>
          <w:bCs/>
          <w:sz w:val="20"/>
          <w:szCs w:val="20"/>
          <w:lang w:val="en-US"/>
        </w:rPr>
        <w:t>FEV</w:t>
      </w:r>
      <w:r w:rsidRPr="00265C4A">
        <w:rPr>
          <w:rFonts w:ascii="Arial" w:hAnsi="Arial" w:cs="Arial"/>
          <w:bCs/>
          <w:sz w:val="20"/>
          <w:szCs w:val="20"/>
          <w:vertAlign w:val="subscript"/>
          <w:lang w:val="en-US"/>
        </w:rPr>
        <w:t>1</w:t>
      </w:r>
      <w:r>
        <w:rPr>
          <w:rFonts w:ascii="Arial" w:hAnsi="Arial" w:cs="Arial"/>
          <w:bCs/>
          <w:sz w:val="20"/>
          <w:szCs w:val="20"/>
          <w:lang w:val="en-US"/>
        </w:rPr>
        <w:t xml:space="preserve">; </w:t>
      </w:r>
      <w:r w:rsidRPr="00265C4A">
        <w:rPr>
          <w:rFonts w:ascii="Arial" w:hAnsi="Arial" w:cs="Arial"/>
          <w:bCs/>
          <w:sz w:val="20"/>
          <w:szCs w:val="20"/>
          <w:lang w:val="en-US"/>
        </w:rPr>
        <w:t xml:space="preserve">L), smoking status, ≥1 exacerbations in the preceding 12 months, and </w:t>
      </w:r>
      <w:r>
        <w:rPr>
          <w:rFonts w:ascii="Arial" w:hAnsi="Arial" w:cs="Arial"/>
          <w:bCs/>
          <w:sz w:val="20"/>
          <w:szCs w:val="20"/>
          <w:lang w:val="en-US"/>
        </w:rPr>
        <w:t xml:space="preserve">body mass index (BMI) </w:t>
      </w:r>
      <w:r w:rsidRPr="00265C4A">
        <w:rPr>
          <w:rFonts w:ascii="Arial" w:hAnsi="Arial" w:cs="Arial"/>
          <w:bCs/>
          <w:sz w:val="20"/>
          <w:szCs w:val="20"/>
          <w:lang w:val="en-US"/>
        </w:rPr>
        <w:t>(both low and high categories relative to the reference [middle] category). This equation was used to estimate baseline fibrinogen in the Study 207626 cohort.</w:t>
      </w:r>
    </w:p>
    <w:p w14:paraId="59E0FC51" w14:textId="77777777" w:rsidR="00FE56ED" w:rsidRPr="00AA5961" w:rsidRDefault="00FE56ED" w:rsidP="00FE56ED">
      <w:pPr>
        <w:pStyle w:val="Heading2"/>
        <w:rPr>
          <w:sz w:val="24"/>
          <w:szCs w:val="20"/>
          <w:lang w:val="en-US"/>
        </w:rPr>
      </w:pPr>
      <w:r w:rsidRPr="00AA5961">
        <w:rPr>
          <w:sz w:val="24"/>
          <w:szCs w:val="20"/>
          <w:lang w:val="en-US"/>
        </w:rPr>
        <w:t xml:space="preserve">Derivation of baseline 6-minute walk test </w:t>
      </w:r>
    </w:p>
    <w:p w14:paraId="273C8EF6" w14:textId="77777777" w:rsidR="00FE56ED" w:rsidRPr="00265C4A" w:rsidRDefault="00FE56ED" w:rsidP="00FE56ED">
      <w:pPr>
        <w:spacing w:line="480" w:lineRule="auto"/>
        <w:rPr>
          <w:rFonts w:ascii="Arial" w:hAnsi="Arial" w:cs="Arial"/>
          <w:bCs/>
          <w:sz w:val="20"/>
          <w:szCs w:val="20"/>
          <w:lang w:val="en-US"/>
        </w:rPr>
      </w:pPr>
      <w:r w:rsidRPr="00265C4A">
        <w:rPr>
          <w:rFonts w:ascii="Arial" w:hAnsi="Arial" w:cs="Arial"/>
          <w:bCs/>
          <w:sz w:val="20"/>
          <w:szCs w:val="20"/>
          <w:lang w:val="en-US"/>
        </w:rPr>
        <w:t xml:space="preserve">The </w:t>
      </w:r>
      <w:r>
        <w:rPr>
          <w:rFonts w:ascii="Arial" w:hAnsi="Arial" w:cs="Arial"/>
          <w:bCs/>
          <w:sz w:val="20"/>
          <w:szCs w:val="20"/>
          <w:lang w:val="en-US"/>
        </w:rPr>
        <w:t>6</w:t>
      </w:r>
      <w:r w:rsidRPr="00F0032D">
        <w:rPr>
          <w:rFonts w:ascii="Arial" w:hAnsi="Arial" w:cs="Arial"/>
          <w:bCs/>
          <w:sz w:val="20"/>
          <w:szCs w:val="20"/>
          <w:lang w:val="en-US"/>
        </w:rPr>
        <w:t xml:space="preserve">-minute walk test </w:t>
      </w:r>
      <w:r>
        <w:rPr>
          <w:rFonts w:ascii="Arial" w:hAnsi="Arial" w:cs="Arial"/>
          <w:bCs/>
          <w:sz w:val="20"/>
          <w:szCs w:val="20"/>
          <w:lang w:val="en-US"/>
        </w:rPr>
        <w:t>(</w:t>
      </w:r>
      <w:r w:rsidRPr="00265C4A">
        <w:rPr>
          <w:rFonts w:ascii="Arial" w:hAnsi="Arial" w:cs="Arial"/>
          <w:bCs/>
          <w:sz w:val="20"/>
          <w:szCs w:val="20"/>
          <w:lang w:val="en-US"/>
        </w:rPr>
        <w:t>6MWT</w:t>
      </w:r>
      <w:r>
        <w:rPr>
          <w:rFonts w:ascii="Arial" w:hAnsi="Arial" w:cs="Arial"/>
          <w:bCs/>
          <w:sz w:val="20"/>
          <w:szCs w:val="20"/>
          <w:lang w:val="en-US"/>
        </w:rPr>
        <w:t>)</w:t>
      </w:r>
      <w:r w:rsidRPr="00265C4A">
        <w:rPr>
          <w:rFonts w:ascii="Arial" w:hAnsi="Arial" w:cs="Arial"/>
          <w:bCs/>
          <w:sz w:val="20"/>
          <w:szCs w:val="20"/>
          <w:lang w:val="en-US"/>
        </w:rPr>
        <w:t xml:space="preserve"> is a time-varying parameter that is predicted using an existing risk equation (obtained from ECLIPSE study data) based on age, fibrinogen, sex distribution of the </w:t>
      </w:r>
      <w:r w:rsidRPr="00265C4A">
        <w:rPr>
          <w:rFonts w:ascii="Arial" w:hAnsi="Arial" w:cs="Arial"/>
          <w:bCs/>
          <w:sz w:val="20"/>
          <w:szCs w:val="20"/>
          <w:lang w:val="en-US"/>
        </w:rPr>
        <w:lastRenderedPageBreak/>
        <w:t>cohort, FEV</w:t>
      </w:r>
      <w:r w:rsidRPr="00265C4A">
        <w:rPr>
          <w:rFonts w:ascii="Arial" w:hAnsi="Arial" w:cs="Arial"/>
          <w:bCs/>
          <w:sz w:val="20"/>
          <w:szCs w:val="20"/>
          <w:vertAlign w:val="subscript"/>
          <w:lang w:val="en-US"/>
        </w:rPr>
        <w:t>1</w:t>
      </w:r>
      <w:r w:rsidRPr="00265C4A">
        <w:rPr>
          <w:rFonts w:ascii="Arial" w:hAnsi="Arial" w:cs="Arial"/>
          <w:bCs/>
          <w:sz w:val="20"/>
          <w:szCs w:val="20"/>
          <w:lang w:val="en-US"/>
        </w:rPr>
        <w:t>% predicted, height, cardiovascular comorbidity, mMRC score, and BMI &gt;30 mg/m</w:t>
      </w:r>
      <w:r w:rsidRPr="00265C4A">
        <w:rPr>
          <w:rFonts w:ascii="Arial" w:hAnsi="Arial" w:cs="Arial"/>
          <w:bCs/>
          <w:sz w:val="20"/>
          <w:szCs w:val="20"/>
          <w:vertAlign w:val="superscript"/>
          <w:lang w:val="en-US"/>
        </w:rPr>
        <w:t>2</w:t>
      </w:r>
      <w:r w:rsidRPr="00265C4A">
        <w:rPr>
          <w:rFonts w:ascii="Arial" w:hAnsi="Arial" w:cs="Arial"/>
          <w:bCs/>
          <w:sz w:val="20"/>
          <w:szCs w:val="20"/>
          <w:lang w:val="en-US"/>
        </w:rPr>
        <w:t>. This equation was used to estimate baseline 6MWT in the Study 207626 population.</w:t>
      </w:r>
    </w:p>
    <w:p w14:paraId="59453D8C" w14:textId="77777777" w:rsidR="00FE56ED" w:rsidRPr="00AA5961" w:rsidRDefault="00FE56ED" w:rsidP="00FE56ED">
      <w:pPr>
        <w:pStyle w:val="Heading2"/>
        <w:rPr>
          <w:sz w:val="24"/>
          <w:szCs w:val="20"/>
          <w:lang w:val="en-US"/>
        </w:rPr>
      </w:pPr>
      <w:r w:rsidRPr="00AA5961">
        <w:rPr>
          <w:sz w:val="24"/>
          <w:szCs w:val="20"/>
          <w:lang w:val="en-US"/>
        </w:rPr>
        <w:t>Calculation of upper and lower values used for one-way sensitivity analyses</w:t>
      </w:r>
    </w:p>
    <w:p w14:paraId="5056F6F4" w14:textId="77777777" w:rsidR="00FE56ED" w:rsidRPr="00265C4A" w:rsidRDefault="00FE56ED" w:rsidP="00FE56ED">
      <w:pPr>
        <w:spacing w:line="480" w:lineRule="auto"/>
        <w:rPr>
          <w:rFonts w:ascii="Arial" w:hAnsi="Arial" w:cs="Arial"/>
          <w:iCs/>
          <w:sz w:val="20"/>
          <w:szCs w:val="20"/>
          <w:lang w:val="en-US"/>
        </w:rPr>
      </w:pPr>
      <w:r w:rsidRPr="00265C4A">
        <w:rPr>
          <w:rFonts w:ascii="Arial" w:hAnsi="Arial" w:cs="Arial"/>
          <w:iCs/>
          <w:sz w:val="20"/>
          <w:szCs w:val="20"/>
          <w:lang w:val="en-US"/>
        </w:rPr>
        <w:t xml:space="preserve">Base case values for baseline fibrinogen and 6MWT were predicted rather than observed. A range for the sensitivity analysis was constructed by approximating a 95% </w:t>
      </w:r>
      <w:r>
        <w:rPr>
          <w:rFonts w:ascii="Arial" w:hAnsi="Arial" w:cs="Arial"/>
          <w:iCs/>
          <w:sz w:val="20"/>
          <w:szCs w:val="20"/>
          <w:lang w:val="en-US"/>
        </w:rPr>
        <w:t>confidence interval (</w:t>
      </w:r>
      <w:r w:rsidRPr="00265C4A">
        <w:rPr>
          <w:rFonts w:ascii="Arial" w:hAnsi="Arial" w:cs="Arial"/>
          <w:iCs/>
          <w:sz w:val="20"/>
          <w:szCs w:val="20"/>
          <w:lang w:val="en-US"/>
        </w:rPr>
        <w:t>CI</w:t>
      </w:r>
      <w:r>
        <w:rPr>
          <w:rFonts w:ascii="Arial" w:hAnsi="Arial" w:cs="Arial"/>
          <w:iCs/>
          <w:sz w:val="20"/>
          <w:szCs w:val="20"/>
          <w:lang w:val="en-US"/>
        </w:rPr>
        <w:t>)</w:t>
      </w:r>
      <w:r w:rsidRPr="00265C4A">
        <w:rPr>
          <w:rFonts w:ascii="Arial" w:hAnsi="Arial" w:cs="Arial"/>
          <w:iCs/>
          <w:sz w:val="20"/>
          <w:szCs w:val="20"/>
          <w:lang w:val="en-US"/>
        </w:rPr>
        <w:t xml:space="preserve"> using observed data from the ECLIPSE study. The mean (95% CI) for fibrinogen was 460.5 μg/dL (455.8</w:t>
      </w:r>
      <w:r>
        <w:rPr>
          <w:rFonts w:ascii="Arial" w:hAnsi="Arial" w:cs="Arial"/>
          <w:iCs/>
          <w:sz w:val="20"/>
          <w:szCs w:val="20"/>
          <w:lang w:val="en-US"/>
        </w:rPr>
        <w:t xml:space="preserve">, </w:t>
      </w:r>
      <w:r w:rsidRPr="00265C4A">
        <w:rPr>
          <w:rFonts w:ascii="Arial" w:hAnsi="Arial" w:cs="Arial"/>
          <w:iCs/>
          <w:sz w:val="20"/>
          <w:szCs w:val="20"/>
          <w:lang w:val="en-US"/>
        </w:rPr>
        <w:t>465.1 μg/dL) and for the 6MWT was 373.3 m (367.9</w:t>
      </w:r>
      <w:r>
        <w:rPr>
          <w:rFonts w:ascii="Arial" w:hAnsi="Arial" w:cs="Arial"/>
          <w:iCs/>
          <w:sz w:val="20"/>
          <w:szCs w:val="20"/>
          <w:lang w:val="en-US"/>
        </w:rPr>
        <w:t xml:space="preserve">, </w:t>
      </w:r>
      <w:r w:rsidRPr="00265C4A">
        <w:rPr>
          <w:rFonts w:ascii="Arial" w:hAnsi="Arial" w:cs="Arial"/>
          <w:iCs/>
          <w:sz w:val="20"/>
          <w:szCs w:val="20"/>
          <w:lang w:val="en-US"/>
        </w:rPr>
        <w:t xml:space="preserve">378.7 m). The </w:t>
      </w:r>
      <w:r>
        <w:rPr>
          <w:rFonts w:ascii="Arial" w:hAnsi="Arial" w:cs="Arial"/>
          <w:iCs/>
          <w:sz w:val="20"/>
          <w:szCs w:val="20"/>
          <w:lang w:val="en-US"/>
        </w:rPr>
        <w:t>standard error (</w:t>
      </w:r>
      <w:r w:rsidRPr="00265C4A">
        <w:rPr>
          <w:rFonts w:ascii="Arial" w:hAnsi="Arial" w:cs="Arial"/>
          <w:iCs/>
          <w:sz w:val="20"/>
          <w:szCs w:val="20"/>
          <w:lang w:val="en-US"/>
        </w:rPr>
        <w:t>SE</w:t>
      </w:r>
      <w:r>
        <w:rPr>
          <w:rFonts w:ascii="Arial" w:hAnsi="Arial" w:cs="Arial"/>
          <w:iCs/>
          <w:sz w:val="20"/>
          <w:szCs w:val="20"/>
          <w:lang w:val="en-US"/>
        </w:rPr>
        <w:t>)</w:t>
      </w:r>
      <w:r w:rsidRPr="00265C4A">
        <w:rPr>
          <w:rFonts w:ascii="Arial" w:hAnsi="Arial" w:cs="Arial"/>
          <w:iCs/>
          <w:sz w:val="20"/>
          <w:szCs w:val="20"/>
          <w:lang w:val="en-US"/>
        </w:rPr>
        <w:t xml:space="preserve"> was calculated and applied (+/</w:t>
      </w:r>
      <w:r>
        <w:rPr>
          <w:rFonts w:ascii="Arial" w:hAnsi="Arial" w:cs="Arial"/>
          <w:iCs/>
          <w:sz w:val="20"/>
          <w:szCs w:val="20"/>
          <w:lang w:val="en-US"/>
        </w:rPr>
        <w:t>−</w:t>
      </w:r>
      <w:r w:rsidRPr="00265C4A">
        <w:rPr>
          <w:rFonts w:ascii="Arial" w:hAnsi="Arial" w:cs="Arial"/>
          <w:iCs/>
          <w:sz w:val="20"/>
          <w:szCs w:val="20"/>
          <w:lang w:val="en-US"/>
        </w:rPr>
        <w:t xml:space="preserve"> 1.96 SEs) to the predicted values for fibrinogen or 6MWT in the model base case. For baseline mMRC, it was not possible to approximate a 95% CI; therefore, a simple +/− 25% relative to the base case value was used. For FEV</w:t>
      </w:r>
      <w:r w:rsidRPr="00265C4A">
        <w:rPr>
          <w:rFonts w:ascii="Arial" w:hAnsi="Arial" w:cs="Arial"/>
          <w:iCs/>
          <w:sz w:val="20"/>
          <w:szCs w:val="20"/>
          <w:vertAlign w:val="subscript"/>
          <w:lang w:val="en-US"/>
        </w:rPr>
        <w:t>1</w:t>
      </w:r>
      <w:r w:rsidRPr="00265C4A">
        <w:rPr>
          <w:rFonts w:ascii="Arial" w:hAnsi="Arial" w:cs="Arial"/>
          <w:iCs/>
          <w:sz w:val="20"/>
          <w:szCs w:val="20"/>
          <w:lang w:val="en-US"/>
        </w:rPr>
        <w:t xml:space="preserve"> increment and </w:t>
      </w:r>
      <w:r w:rsidRPr="00265C4A">
        <w:rPr>
          <w:rFonts w:ascii="Arial" w:hAnsi="Arial" w:cs="Arial"/>
          <w:sz w:val="20"/>
          <w:szCs w:val="20"/>
          <w:lang w:val="en-US"/>
        </w:rPr>
        <w:t>St George’s Respiratory Questionnaire</w:t>
      </w:r>
      <w:r w:rsidRPr="00265C4A" w:rsidDel="00E52B25">
        <w:rPr>
          <w:rFonts w:ascii="Arial" w:hAnsi="Arial" w:cs="Arial"/>
          <w:iCs/>
          <w:sz w:val="20"/>
          <w:szCs w:val="20"/>
          <w:lang w:val="en-US"/>
        </w:rPr>
        <w:t xml:space="preserve"> </w:t>
      </w:r>
      <w:r w:rsidRPr="00265C4A">
        <w:rPr>
          <w:rFonts w:ascii="Arial" w:hAnsi="Arial" w:cs="Arial"/>
          <w:iCs/>
          <w:sz w:val="20"/>
          <w:szCs w:val="20"/>
          <w:lang w:val="en-US"/>
        </w:rPr>
        <w:t>change treatment effects, 95% CI around the mean values were used.</w:t>
      </w:r>
    </w:p>
    <w:p w14:paraId="334CD957" w14:textId="77777777" w:rsidR="00FE56ED" w:rsidRPr="00AA5961" w:rsidRDefault="00FE56ED" w:rsidP="00FE56ED">
      <w:pPr>
        <w:pStyle w:val="Heading2"/>
        <w:rPr>
          <w:sz w:val="24"/>
          <w:szCs w:val="20"/>
          <w:lang w:val="en-US"/>
        </w:rPr>
      </w:pPr>
      <w:r w:rsidRPr="00AA5961">
        <w:rPr>
          <w:sz w:val="24"/>
          <w:szCs w:val="20"/>
          <w:lang w:val="en-US"/>
        </w:rPr>
        <w:t>Probabilistic analysis</w:t>
      </w:r>
    </w:p>
    <w:p w14:paraId="263AAB42" w14:textId="77777777" w:rsidR="00FE56ED" w:rsidRPr="00265C4A" w:rsidRDefault="00FE56ED" w:rsidP="00FE56ED">
      <w:pPr>
        <w:spacing w:line="480" w:lineRule="auto"/>
        <w:rPr>
          <w:rFonts w:ascii="Arial" w:hAnsi="Arial" w:cs="Arial"/>
          <w:iCs/>
          <w:sz w:val="20"/>
          <w:szCs w:val="20"/>
          <w:lang w:val="en-US"/>
        </w:rPr>
        <w:sectPr w:rsidR="00FE56ED" w:rsidRPr="00265C4A" w:rsidSect="004C1ACC">
          <w:pgSz w:w="12240" w:h="15840"/>
          <w:pgMar w:top="1701" w:right="1701" w:bottom="1701" w:left="1701" w:header="0" w:footer="720" w:gutter="0"/>
          <w:lnNumType w:countBy="1" w:restart="continuous"/>
          <w:cols w:space="720"/>
          <w:formProt w:val="0"/>
          <w:docGrid w:linePitch="360"/>
        </w:sectPr>
      </w:pPr>
      <w:r w:rsidRPr="00265C4A">
        <w:rPr>
          <w:rFonts w:ascii="Arial" w:hAnsi="Arial" w:cs="Arial"/>
          <w:iCs/>
          <w:sz w:val="20"/>
          <w:szCs w:val="20"/>
          <w:lang w:val="en-US"/>
        </w:rPr>
        <w:t xml:space="preserve">Probabilistic analysis was conducted to address uncertainty in parameters used in the model by assigning distributions to input parameters and randomly sampling from these distributions over 5000 Monte Carlo simulations. Parameter distributions assigned in the analysis are presented in </w:t>
      </w:r>
      <w:r w:rsidRPr="00EE5C8B">
        <w:rPr>
          <w:rFonts w:ascii="Arial" w:hAnsi="Arial" w:cs="Arial"/>
          <w:bCs/>
          <w:iCs/>
          <w:sz w:val="20"/>
          <w:szCs w:val="20"/>
          <w:lang w:val="en-US"/>
        </w:rPr>
        <w:t>Table S2</w:t>
      </w:r>
      <w:r w:rsidRPr="00265C4A">
        <w:rPr>
          <w:rFonts w:ascii="Arial" w:hAnsi="Arial" w:cs="Arial"/>
          <w:iCs/>
          <w:sz w:val="20"/>
          <w:szCs w:val="20"/>
          <w:lang w:val="en-US"/>
        </w:rPr>
        <w:t xml:space="preserve">. For the risk equations, these were populated using correlated draws from a Cholesky </w:t>
      </w:r>
      <w:r>
        <w:rPr>
          <w:rFonts w:ascii="Arial" w:hAnsi="Arial" w:cs="Arial"/>
          <w:iCs/>
          <w:sz w:val="20"/>
          <w:szCs w:val="20"/>
          <w:lang w:val="en-US"/>
        </w:rPr>
        <w:t>d</w:t>
      </w:r>
      <w:r w:rsidRPr="00265C4A">
        <w:rPr>
          <w:rFonts w:ascii="Arial" w:hAnsi="Arial" w:cs="Arial"/>
          <w:iCs/>
          <w:sz w:val="20"/>
          <w:szCs w:val="20"/>
          <w:lang w:val="en-US"/>
        </w:rPr>
        <w:t>ecomposition table developed from the covariance matrices for each equation. The decomposition tables were applied using a random draw from a standard normal distribution for each coefficient. The random number was used to adjust the coefficient based on its own variability and its correlation with the other coefficients in that equation. The resulting adjusted values were applied as marginal differences between the mean estimate of the coefficient and the value to be applied in the current probabilistic analysis draw.</w:t>
      </w:r>
    </w:p>
    <w:p w14:paraId="33C8D5D9" w14:textId="77777777" w:rsidR="00FE56ED" w:rsidRPr="00AA5961" w:rsidRDefault="00FE56ED" w:rsidP="00FE56ED">
      <w:pPr>
        <w:pStyle w:val="Heading1"/>
        <w:rPr>
          <w:sz w:val="28"/>
          <w:szCs w:val="24"/>
          <w:lang w:val="en-US"/>
        </w:rPr>
      </w:pPr>
      <w:r w:rsidRPr="00AA5961">
        <w:rPr>
          <w:sz w:val="28"/>
          <w:szCs w:val="24"/>
          <w:lang w:val="en-US"/>
        </w:rPr>
        <w:lastRenderedPageBreak/>
        <w:t>Supplementary tables</w:t>
      </w:r>
    </w:p>
    <w:p w14:paraId="3AC0BBA0" w14:textId="77777777" w:rsidR="00FE56ED" w:rsidRPr="00265C4A" w:rsidRDefault="00FE56ED" w:rsidP="00FE56ED">
      <w:pPr>
        <w:spacing w:line="480" w:lineRule="auto"/>
        <w:rPr>
          <w:rFonts w:ascii="Arial" w:hAnsi="Arial" w:cs="Arial"/>
          <w:sz w:val="20"/>
          <w:szCs w:val="20"/>
          <w:lang w:val="en-US"/>
        </w:rPr>
      </w:pPr>
      <w:r w:rsidRPr="00265C4A">
        <w:rPr>
          <w:rFonts w:ascii="Arial" w:hAnsi="Arial" w:cs="Arial"/>
          <w:b/>
          <w:sz w:val="20"/>
          <w:szCs w:val="20"/>
          <w:lang w:val="en-US"/>
        </w:rPr>
        <w:t>Table S1</w:t>
      </w:r>
      <w:r w:rsidRPr="00265C4A">
        <w:rPr>
          <w:rFonts w:ascii="Arial" w:hAnsi="Arial" w:cs="Arial"/>
          <w:sz w:val="20"/>
          <w:szCs w:val="20"/>
          <w:lang w:val="en-US"/>
        </w:rPr>
        <w:t xml:space="preserve"> Costs of medical management of moderate exacerbations (2021 GBP) </w:t>
      </w:r>
    </w:p>
    <w:p w14:paraId="0EEAC225" w14:textId="77777777" w:rsidR="00FE56ED" w:rsidRPr="00265C4A" w:rsidRDefault="00FE56ED" w:rsidP="00FE56ED">
      <w:pPr>
        <w:spacing w:line="480" w:lineRule="auto"/>
        <w:rPr>
          <w:rFonts w:ascii="Arial" w:hAnsi="Arial" w:cs="Arial"/>
          <w:b/>
          <w:sz w:val="20"/>
          <w:szCs w:val="20"/>
          <w:lang w:val="en-US"/>
        </w:rPr>
      </w:pPr>
    </w:p>
    <w:tbl>
      <w:tblPr>
        <w:tblStyle w:val="TableGrid"/>
        <w:tblW w:w="5000" w:type="pct"/>
        <w:tblLook w:val="04A0" w:firstRow="1" w:lastRow="0" w:firstColumn="1" w:lastColumn="0" w:noHBand="0" w:noVBand="1"/>
      </w:tblPr>
      <w:tblGrid>
        <w:gridCol w:w="3261"/>
        <w:gridCol w:w="2043"/>
        <w:gridCol w:w="2041"/>
        <w:gridCol w:w="1636"/>
        <w:gridCol w:w="1727"/>
        <w:gridCol w:w="1720"/>
      </w:tblGrid>
      <w:tr w:rsidR="00FE56ED" w:rsidRPr="00265C4A" w14:paraId="5632D662" w14:textId="77777777" w:rsidTr="009D0073">
        <w:tc>
          <w:tcPr>
            <w:tcW w:w="1312" w:type="pct"/>
          </w:tcPr>
          <w:p w14:paraId="5F26B0D3"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b/>
                <w:bCs/>
                <w:sz w:val="20"/>
                <w:szCs w:val="20"/>
                <w:lang w:val="en-US"/>
              </w:rPr>
              <w:t>Treatment</w:t>
            </w:r>
          </w:p>
        </w:tc>
        <w:tc>
          <w:tcPr>
            <w:tcW w:w="822" w:type="pct"/>
          </w:tcPr>
          <w:p w14:paraId="6A5A6F02"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b/>
                <w:bCs/>
                <w:sz w:val="20"/>
                <w:szCs w:val="20"/>
                <w:lang w:val="en-US"/>
              </w:rPr>
              <w:t>Duration of treatment (days)</w:t>
            </w:r>
          </w:p>
        </w:tc>
        <w:tc>
          <w:tcPr>
            <w:tcW w:w="821" w:type="pct"/>
          </w:tcPr>
          <w:p w14:paraId="2A619032"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b/>
                <w:bCs/>
                <w:sz w:val="20"/>
                <w:szCs w:val="20"/>
                <w:lang w:val="en-US"/>
              </w:rPr>
              <w:t>Dose</w:t>
            </w:r>
          </w:p>
        </w:tc>
        <w:tc>
          <w:tcPr>
            <w:tcW w:w="658" w:type="pct"/>
          </w:tcPr>
          <w:p w14:paraId="7BE59A4A"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b/>
                <w:bCs/>
                <w:sz w:val="20"/>
                <w:szCs w:val="20"/>
                <w:lang w:val="en-US"/>
              </w:rPr>
              <w:t>Times per day</w:t>
            </w:r>
          </w:p>
        </w:tc>
        <w:tc>
          <w:tcPr>
            <w:tcW w:w="695" w:type="pct"/>
          </w:tcPr>
          <w:p w14:paraId="325CF7B4"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b/>
                <w:bCs/>
                <w:sz w:val="20"/>
                <w:szCs w:val="20"/>
                <w:lang w:val="en-US"/>
              </w:rPr>
              <w:t>Unit cost</w:t>
            </w:r>
          </w:p>
        </w:tc>
        <w:tc>
          <w:tcPr>
            <w:tcW w:w="692" w:type="pct"/>
          </w:tcPr>
          <w:p w14:paraId="339780BE"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b/>
                <w:bCs/>
                <w:sz w:val="20"/>
                <w:szCs w:val="20"/>
                <w:lang w:val="en-US"/>
              </w:rPr>
              <w:t>Cost per course</w:t>
            </w:r>
          </w:p>
        </w:tc>
      </w:tr>
      <w:tr w:rsidR="00FE56ED" w:rsidRPr="00265C4A" w14:paraId="28212604" w14:textId="77777777" w:rsidTr="009D0073">
        <w:trPr>
          <w:trHeight w:val="552"/>
        </w:trPr>
        <w:tc>
          <w:tcPr>
            <w:tcW w:w="1312" w:type="pct"/>
          </w:tcPr>
          <w:p w14:paraId="775753E0" w14:textId="77777777" w:rsidR="00FE56ED" w:rsidRPr="00265C4A" w:rsidRDefault="00FE56ED" w:rsidP="009D0073">
            <w:pPr>
              <w:spacing w:line="480" w:lineRule="auto"/>
              <w:rPr>
                <w:rFonts w:ascii="Arial" w:hAnsi="Arial" w:cs="Arial"/>
                <w:bCs/>
                <w:sz w:val="20"/>
                <w:szCs w:val="20"/>
                <w:lang w:val="en-US"/>
              </w:rPr>
            </w:pPr>
            <w:r w:rsidRPr="00265C4A">
              <w:rPr>
                <w:rFonts w:ascii="Arial" w:hAnsi="Arial" w:cs="Arial"/>
                <w:sz w:val="20"/>
                <w:szCs w:val="20"/>
                <w:lang w:val="en-US"/>
              </w:rPr>
              <w:t xml:space="preserve">OCS: </w:t>
            </w:r>
            <w:r>
              <w:rPr>
                <w:rFonts w:ascii="Arial" w:hAnsi="Arial" w:cs="Arial"/>
                <w:sz w:val="20"/>
                <w:szCs w:val="20"/>
                <w:lang w:val="en-US"/>
              </w:rPr>
              <w:t>p</w:t>
            </w:r>
            <w:r w:rsidRPr="00265C4A">
              <w:rPr>
                <w:rFonts w:ascii="Arial" w:hAnsi="Arial" w:cs="Arial"/>
                <w:sz w:val="20"/>
                <w:szCs w:val="20"/>
                <w:lang w:val="en-US"/>
              </w:rPr>
              <w:t>rednisolone</w:t>
            </w:r>
          </w:p>
        </w:tc>
        <w:tc>
          <w:tcPr>
            <w:tcW w:w="822" w:type="pct"/>
          </w:tcPr>
          <w:p w14:paraId="6C39B641" w14:textId="77777777" w:rsidR="00FE56ED" w:rsidRPr="00265C4A" w:rsidRDefault="00FE56ED" w:rsidP="009D0073">
            <w:pPr>
              <w:spacing w:line="480" w:lineRule="auto"/>
              <w:jc w:val="center"/>
              <w:rPr>
                <w:rFonts w:ascii="Arial" w:hAnsi="Arial" w:cs="Arial"/>
                <w:bCs/>
                <w:sz w:val="20"/>
                <w:szCs w:val="20"/>
                <w:lang w:val="en-US"/>
              </w:rPr>
            </w:pPr>
            <w:r w:rsidRPr="00265C4A">
              <w:rPr>
                <w:rFonts w:ascii="Arial" w:hAnsi="Arial" w:cs="Arial"/>
                <w:sz w:val="20"/>
                <w:szCs w:val="20"/>
                <w:lang w:val="en-US"/>
              </w:rPr>
              <w:t>5</w:t>
            </w:r>
          </w:p>
        </w:tc>
        <w:tc>
          <w:tcPr>
            <w:tcW w:w="821" w:type="pct"/>
          </w:tcPr>
          <w:p w14:paraId="7D11BB71" w14:textId="77777777" w:rsidR="00FE56ED" w:rsidRPr="00265C4A" w:rsidRDefault="00FE56ED" w:rsidP="009D0073">
            <w:pPr>
              <w:spacing w:line="480" w:lineRule="auto"/>
              <w:jc w:val="center"/>
              <w:rPr>
                <w:rFonts w:ascii="Arial" w:hAnsi="Arial" w:cs="Arial"/>
                <w:bCs/>
                <w:sz w:val="20"/>
                <w:szCs w:val="20"/>
                <w:lang w:val="en-US"/>
              </w:rPr>
            </w:pPr>
            <w:r w:rsidRPr="00265C4A">
              <w:rPr>
                <w:rFonts w:ascii="Arial" w:hAnsi="Arial" w:cs="Arial"/>
                <w:sz w:val="20"/>
                <w:szCs w:val="20"/>
                <w:lang w:val="en-US"/>
              </w:rPr>
              <w:t>30 mg QD</w:t>
            </w:r>
          </w:p>
        </w:tc>
        <w:tc>
          <w:tcPr>
            <w:tcW w:w="658" w:type="pct"/>
          </w:tcPr>
          <w:p w14:paraId="2C50EA8B" w14:textId="77777777" w:rsidR="00FE56ED" w:rsidRPr="00265C4A" w:rsidRDefault="00FE56ED" w:rsidP="009D0073">
            <w:pPr>
              <w:spacing w:line="480" w:lineRule="auto"/>
              <w:jc w:val="center"/>
              <w:rPr>
                <w:rFonts w:ascii="Arial" w:hAnsi="Arial" w:cs="Arial"/>
                <w:bCs/>
                <w:sz w:val="20"/>
                <w:szCs w:val="20"/>
                <w:lang w:val="en-US"/>
              </w:rPr>
            </w:pPr>
            <w:r w:rsidRPr="00265C4A">
              <w:rPr>
                <w:rFonts w:ascii="Arial" w:hAnsi="Arial" w:cs="Arial"/>
                <w:sz w:val="20"/>
                <w:szCs w:val="20"/>
                <w:lang w:val="en-US"/>
              </w:rPr>
              <w:t>1</w:t>
            </w:r>
          </w:p>
        </w:tc>
        <w:tc>
          <w:tcPr>
            <w:tcW w:w="695" w:type="pct"/>
          </w:tcPr>
          <w:p w14:paraId="3742A027" w14:textId="77777777" w:rsidR="00FE56ED" w:rsidRPr="00265C4A" w:rsidRDefault="00FE56ED" w:rsidP="009D0073">
            <w:pPr>
              <w:spacing w:line="480" w:lineRule="auto"/>
              <w:jc w:val="center"/>
              <w:rPr>
                <w:rFonts w:ascii="Arial" w:hAnsi="Arial" w:cs="Arial"/>
                <w:bCs/>
                <w:sz w:val="20"/>
                <w:szCs w:val="20"/>
                <w:lang w:val="en-US"/>
              </w:rPr>
            </w:pPr>
            <w:r w:rsidRPr="00265C4A">
              <w:rPr>
                <w:rFonts w:ascii="Arial" w:hAnsi="Arial" w:cs="Arial"/>
                <w:sz w:val="20"/>
                <w:szCs w:val="20"/>
                <w:lang w:val="en-US"/>
              </w:rPr>
              <w:t>£1.67</w:t>
            </w:r>
          </w:p>
        </w:tc>
        <w:tc>
          <w:tcPr>
            <w:tcW w:w="692" w:type="pct"/>
          </w:tcPr>
          <w:p w14:paraId="1206C0DA" w14:textId="77777777" w:rsidR="00FE56ED" w:rsidRPr="00265C4A" w:rsidRDefault="00FE56ED" w:rsidP="009D0073">
            <w:pPr>
              <w:spacing w:line="480" w:lineRule="auto"/>
              <w:jc w:val="center"/>
              <w:rPr>
                <w:rFonts w:ascii="Arial" w:hAnsi="Arial" w:cs="Arial"/>
                <w:sz w:val="20"/>
                <w:szCs w:val="20"/>
                <w:lang w:val="en-US"/>
              </w:rPr>
            </w:pPr>
            <w:r w:rsidRPr="00265C4A">
              <w:rPr>
                <w:rFonts w:ascii="Arial" w:hAnsi="Arial" w:cs="Arial"/>
                <w:sz w:val="20"/>
                <w:szCs w:val="20"/>
                <w:lang w:val="en-US"/>
              </w:rPr>
              <w:t>£8.37</w:t>
            </w:r>
          </w:p>
        </w:tc>
      </w:tr>
      <w:tr w:rsidR="00FE56ED" w:rsidRPr="00265C4A" w14:paraId="7B1EF7FA" w14:textId="77777777" w:rsidTr="009D0073">
        <w:trPr>
          <w:trHeight w:val="552"/>
        </w:trPr>
        <w:tc>
          <w:tcPr>
            <w:tcW w:w="1312" w:type="pct"/>
          </w:tcPr>
          <w:p w14:paraId="1ABC317C" w14:textId="77777777" w:rsidR="00FE56ED" w:rsidRPr="00265C4A" w:rsidRDefault="00FE56ED" w:rsidP="009D0073">
            <w:pPr>
              <w:spacing w:line="480" w:lineRule="auto"/>
              <w:rPr>
                <w:rFonts w:ascii="Arial" w:hAnsi="Arial" w:cs="Arial"/>
                <w:bCs/>
                <w:sz w:val="20"/>
                <w:szCs w:val="20"/>
                <w:lang w:val="en-US"/>
              </w:rPr>
            </w:pPr>
            <w:r w:rsidRPr="00265C4A">
              <w:rPr>
                <w:rFonts w:ascii="Arial" w:hAnsi="Arial" w:cs="Arial"/>
                <w:sz w:val="20"/>
                <w:szCs w:val="20"/>
                <w:lang w:val="en-US"/>
              </w:rPr>
              <w:t xml:space="preserve">Antibiotics: </w:t>
            </w:r>
            <w:r>
              <w:rPr>
                <w:rFonts w:ascii="Arial" w:hAnsi="Arial" w:cs="Arial"/>
                <w:sz w:val="20"/>
                <w:szCs w:val="20"/>
                <w:lang w:val="en-US"/>
              </w:rPr>
              <w:t>a</w:t>
            </w:r>
            <w:r w:rsidRPr="00265C4A">
              <w:rPr>
                <w:rFonts w:ascii="Arial" w:hAnsi="Arial" w:cs="Arial"/>
                <w:sz w:val="20"/>
                <w:szCs w:val="20"/>
                <w:lang w:val="en-US"/>
              </w:rPr>
              <w:t>moxicillin</w:t>
            </w:r>
          </w:p>
        </w:tc>
        <w:tc>
          <w:tcPr>
            <w:tcW w:w="822" w:type="pct"/>
          </w:tcPr>
          <w:p w14:paraId="40C32735" w14:textId="77777777" w:rsidR="00FE56ED" w:rsidRPr="00265C4A" w:rsidRDefault="00FE56ED" w:rsidP="009D0073">
            <w:pPr>
              <w:spacing w:line="480" w:lineRule="auto"/>
              <w:jc w:val="center"/>
              <w:rPr>
                <w:rFonts w:ascii="Arial" w:hAnsi="Arial" w:cs="Arial"/>
                <w:bCs/>
                <w:sz w:val="20"/>
                <w:szCs w:val="20"/>
                <w:lang w:val="en-US"/>
              </w:rPr>
            </w:pPr>
            <w:r w:rsidRPr="00265C4A">
              <w:rPr>
                <w:rFonts w:ascii="Arial" w:hAnsi="Arial" w:cs="Arial"/>
                <w:sz w:val="20"/>
                <w:szCs w:val="20"/>
                <w:lang w:val="en-US"/>
              </w:rPr>
              <w:t>5</w:t>
            </w:r>
          </w:p>
        </w:tc>
        <w:tc>
          <w:tcPr>
            <w:tcW w:w="821" w:type="pct"/>
          </w:tcPr>
          <w:p w14:paraId="19C3E8D5" w14:textId="77777777" w:rsidR="00FE56ED" w:rsidRPr="00265C4A" w:rsidRDefault="00FE56ED" w:rsidP="009D0073">
            <w:pPr>
              <w:spacing w:line="480" w:lineRule="auto"/>
              <w:jc w:val="center"/>
              <w:rPr>
                <w:rFonts w:ascii="Arial" w:hAnsi="Arial" w:cs="Arial"/>
                <w:bCs/>
                <w:sz w:val="20"/>
                <w:szCs w:val="20"/>
                <w:lang w:val="en-US"/>
              </w:rPr>
            </w:pPr>
            <w:r w:rsidRPr="00265C4A">
              <w:rPr>
                <w:rFonts w:ascii="Arial" w:hAnsi="Arial" w:cs="Arial"/>
                <w:sz w:val="20"/>
                <w:szCs w:val="20"/>
                <w:lang w:val="en-US"/>
              </w:rPr>
              <w:t>500 mg TID</w:t>
            </w:r>
          </w:p>
        </w:tc>
        <w:tc>
          <w:tcPr>
            <w:tcW w:w="658" w:type="pct"/>
          </w:tcPr>
          <w:p w14:paraId="0BC7FF49" w14:textId="77777777" w:rsidR="00FE56ED" w:rsidRPr="00265C4A" w:rsidRDefault="00FE56ED" w:rsidP="009D0073">
            <w:pPr>
              <w:spacing w:line="480" w:lineRule="auto"/>
              <w:jc w:val="center"/>
              <w:rPr>
                <w:rFonts w:ascii="Arial" w:hAnsi="Arial" w:cs="Arial"/>
                <w:bCs/>
                <w:sz w:val="20"/>
                <w:szCs w:val="20"/>
                <w:lang w:val="en-US"/>
              </w:rPr>
            </w:pPr>
            <w:r w:rsidRPr="00265C4A">
              <w:rPr>
                <w:rFonts w:ascii="Arial" w:hAnsi="Arial" w:cs="Arial"/>
                <w:sz w:val="20"/>
                <w:szCs w:val="20"/>
                <w:lang w:val="en-US"/>
              </w:rPr>
              <w:t>3</w:t>
            </w:r>
          </w:p>
        </w:tc>
        <w:tc>
          <w:tcPr>
            <w:tcW w:w="695" w:type="pct"/>
          </w:tcPr>
          <w:p w14:paraId="12994713" w14:textId="77777777" w:rsidR="00FE56ED" w:rsidRPr="00265C4A" w:rsidRDefault="00FE56ED" w:rsidP="009D0073">
            <w:pPr>
              <w:spacing w:line="480" w:lineRule="auto"/>
              <w:jc w:val="center"/>
              <w:rPr>
                <w:rFonts w:ascii="Arial" w:hAnsi="Arial" w:cs="Arial"/>
                <w:bCs/>
                <w:sz w:val="20"/>
                <w:szCs w:val="20"/>
                <w:lang w:val="en-US"/>
              </w:rPr>
            </w:pPr>
            <w:r w:rsidRPr="00265C4A">
              <w:rPr>
                <w:rFonts w:ascii="Arial" w:hAnsi="Arial" w:cs="Arial"/>
                <w:sz w:val="20"/>
                <w:szCs w:val="20"/>
                <w:lang w:val="en-US"/>
              </w:rPr>
              <w:t>£0.57</w:t>
            </w:r>
          </w:p>
        </w:tc>
        <w:tc>
          <w:tcPr>
            <w:tcW w:w="692" w:type="pct"/>
          </w:tcPr>
          <w:p w14:paraId="1D48562F" w14:textId="77777777" w:rsidR="00FE56ED" w:rsidRPr="00265C4A" w:rsidRDefault="00FE56ED" w:rsidP="009D0073">
            <w:pPr>
              <w:spacing w:line="480" w:lineRule="auto"/>
              <w:jc w:val="center"/>
              <w:rPr>
                <w:rFonts w:ascii="Arial" w:hAnsi="Arial" w:cs="Arial"/>
                <w:sz w:val="20"/>
                <w:szCs w:val="20"/>
                <w:lang w:val="en-US"/>
              </w:rPr>
            </w:pPr>
            <w:r w:rsidRPr="00265C4A">
              <w:rPr>
                <w:rFonts w:ascii="Arial" w:hAnsi="Arial" w:cs="Arial"/>
                <w:sz w:val="20"/>
                <w:szCs w:val="20"/>
                <w:lang w:val="en-US"/>
              </w:rPr>
              <w:t>£2.87</w:t>
            </w:r>
          </w:p>
        </w:tc>
      </w:tr>
      <w:tr w:rsidR="00FE56ED" w:rsidRPr="00265C4A" w14:paraId="4B354DF0" w14:textId="77777777" w:rsidTr="009D0073">
        <w:trPr>
          <w:trHeight w:val="552"/>
        </w:trPr>
        <w:tc>
          <w:tcPr>
            <w:tcW w:w="1312" w:type="pct"/>
          </w:tcPr>
          <w:p w14:paraId="6E1C26C8" w14:textId="77777777" w:rsidR="00FE56ED" w:rsidRPr="00265C4A" w:rsidRDefault="00FE56ED" w:rsidP="009D0073">
            <w:pPr>
              <w:spacing w:line="480" w:lineRule="auto"/>
              <w:rPr>
                <w:rFonts w:ascii="Arial" w:hAnsi="Arial" w:cs="Arial"/>
                <w:bCs/>
                <w:sz w:val="20"/>
                <w:szCs w:val="20"/>
                <w:lang w:val="en-US"/>
              </w:rPr>
            </w:pPr>
            <w:r w:rsidRPr="00265C4A">
              <w:rPr>
                <w:rFonts w:ascii="Arial" w:hAnsi="Arial" w:cs="Arial"/>
                <w:sz w:val="20"/>
                <w:szCs w:val="20"/>
                <w:lang w:val="en-US"/>
              </w:rPr>
              <w:t xml:space="preserve">Antibiotics: </w:t>
            </w:r>
            <w:r>
              <w:rPr>
                <w:rFonts w:ascii="Arial" w:hAnsi="Arial" w:cs="Arial"/>
                <w:sz w:val="20"/>
                <w:szCs w:val="20"/>
                <w:lang w:val="en-US"/>
              </w:rPr>
              <w:t>d</w:t>
            </w:r>
            <w:r w:rsidRPr="00265C4A">
              <w:rPr>
                <w:rFonts w:ascii="Arial" w:hAnsi="Arial" w:cs="Arial"/>
                <w:sz w:val="20"/>
                <w:szCs w:val="20"/>
                <w:lang w:val="en-US"/>
              </w:rPr>
              <w:t>oxycycline</w:t>
            </w:r>
          </w:p>
        </w:tc>
        <w:tc>
          <w:tcPr>
            <w:tcW w:w="822" w:type="pct"/>
          </w:tcPr>
          <w:p w14:paraId="4908B553" w14:textId="77777777" w:rsidR="00FE56ED" w:rsidRPr="00265C4A" w:rsidRDefault="00FE56ED" w:rsidP="009D0073">
            <w:pPr>
              <w:spacing w:line="480" w:lineRule="auto"/>
              <w:jc w:val="center"/>
              <w:rPr>
                <w:rFonts w:ascii="Arial" w:hAnsi="Arial" w:cs="Arial"/>
                <w:bCs/>
                <w:sz w:val="20"/>
                <w:szCs w:val="20"/>
                <w:lang w:val="en-US"/>
              </w:rPr>
            </w:pPr>
            <w:r w:rsidRPr="00265C4A">
              <w:rPr>
                <w:rFonts w:ascii="Arial" w:hAnsi="Arial" w:cs="Arial"/>
                <w:sz w:val="20"/>
                <w:szCs w:val="20"/>
                <w:lang w:val="en-US"/>
              </w:rPr>
              <w:t>5</w:t>
            </w:r>
          </w:p>
        </w:tc>
        <w:tc>
          <w:tcPr>
            <w:tcW w:w="821" w:type="pct"/>
          </w:tcPr>
          <w:p w14:paraId="6E2115EE" w14:textId="77777777" w:rsidR="00FE56ED" w:rsidRPr="00265C4A" w:rsidRDefault="00FE56ED" w:rsidP="009D0073">
            <w:pPr>
              <w:spacing w:line="480" w:lineRule="auto"/>
              <w:jc w:val="center"/>
              <w:rPr>
                <w:rFonts w:ascii="Arial" w:hAnsi="Arial" w:cs="Arial"/>
                <w:bCs/>
                <w:sz w:val="20"/>
                <w:szCs w:val="20"/>
                <w:lang w:val="en-US"/>
              </w:rPr>
            </w:pPr>
            <w:r w:rsidRPr="00265C4A">
              <w:rPr>
                <w:rFonts w:ascii="Arial" w:hAnsi="Arial" w:cs="Arial"/>
                <w:sz w:val="20"/>
                <w:szCs w:val="20"/>
                <w:lang w:val="en-US"/>
              </w:rPr>
              <w:t>200 mg once, then 100 mg QD</w:t>
            </w:r>
          </w:p>
        </w:tc>
        <w:tc>
          <w:tcPr>
            <w:tcW w:w="658" w:type="pct"/>
          </w:tcPr>
          <w:p w14:paraId="06533111" w14:textId="77777777" w:rsidR="00FE56ED" w:rsidRPr="00265C4A" w:rsidRDefault="00FE56ED" w:rsidP="009D0073">
            <w:pPr>
              <w:spacing w:line="480" w:lineRule="auto"/>
              <w:jc w:val="center"/>
              <w:rPr>
                <w:rFonts w:ascii="Arial" w:hAnsi="Arial" w:cs="Arial"/>
                <w:bCs/>
                <w:sz w:val="20"/>
                <w:szCs w:val="20"/>
                <w:lang w:val="en-US"/>
              </w:rPr>
            </w:pPr>
            <w:r w:rsidRPr="00265C4A">
              <w:rPr>
                <w:rFonts w:ascii="Arial" w:hAnsi="Arial" w:cs="Arial"/>
                <w:sz w:val="20"/>
                <w:szCs w:val="20"/>
                <w:lang w:val="en-US"/>
              </w:rPr>
              <w:t>1</w:t>
            </w:r>
          </w:p>
        </w:tc>
        <w:tc>
          <w:tcPr>
            <w:tcW w:w="695" w:type="pct"/>
          </w:tcPr>
          <w:p w14:paraId="408E1857" w14:textId="77777777" w:rsidR="00FE56ED" w:rsidRPr="00265C4A" w:rsidRDefault="00FE56ED" w:rsidP="009D0073">
            <w:pPr>
              <w:spacing w:line="480" w:lineRule="auto"/>
              <w:jc w:val="center"/>
              <w:rPr>
                <w:rFonts w:ascii="Arial" w:hAnsi="Arial" w:cs="Arial"/>
                <w:bCs/>
                <w:sz w:val="20"/>
                <w:szCs w:val="20"/>
                <w:lang w:val="en-US"/>
              </w:rPr>
            </w:pPr>
            <w:r w:rsidRPr="00265C4A">
              <w:rPr>
                <w:rFonts w:ascii="Arial" w:hAnsi="Arial" w:cs="Arial"/>
                <w:sz w:val="20"/>
                <w:szCs w:val="20"/>
                <w:lang w:val="en-US"/>
              </w:rPr>
              <w:t>£0.38</w:t>
            </w:r>
          </w:p>
        </w:tc>
        <w:tc>
          <w:tcPr>
            <w:tcW w:w="692" w:type="pct"/>
          </w:tcPr>
          <w:p w14:paraId="2648A02B" w14:textId="77777777" w:rsidR="00FE56ED" w:rsidRPr="00265C4A" w:rsidRDefault="00FE56ED" w:rsidP="009D0073">
            <w:pPr>
              <w:spacing w:line="480" w:lineRule="auto"/>
              <w:jc w:val="center"/>
              <w:rPr>
                <w:rFonts w:ascii="Arial" w:hAnsi="Arial" w:cs="Arial"/>
                <w:sz w:val="20"/>
                <w:szCs w:val="20"/>
                <w:lang w:val="en-US"/>
              </w:rPr>
            </w:pPr>
            <w:r w:rsidRPr="00265C4A">
              <w:rPr>
                <w:rFonts w:ascii="Arial" w:hAnsi="Arial" w:cs="Arial"/>
                <w:sz w:val="20"/>
                <w:szCs w:val="20"/>
                <w:lang w:val="en-US"/>
              </w:rPr>
              <w:t>£1.89</w:t>
            </w:r>
          </w:p>
        </w:tc>
      </w:tr>
      <w:tr w:rsidR="00FE56ED" w:rsidRPr="00265C4A" w14:paraId="1C5B4463" w14:textId="77777777" w:rsidTr="009D0073">
        <w:trPr>
          <w:trHeight w:val="552"/>
        </w:trPr>
        <w:tc>
          <w:tcPr>
            <w:tcW w:w="1312" w:type="pct"/>
          </w:tcPr>
          <w:p w14:paraId="56FBD27E" w14:textId="77777777" w:rsidR="00FE56ED" w:rsidRPr="00265C4A" w:rsidRDefault="00FE56ED" w:rsidP="009D0073">
            <w:pPr>
              <w:spacing w:line="480" w:lineRule="auto"/>
              <w:rPr>
                <w:rFonts w:ascii="Arial" w:hAnsi="Arial" w:cs="Arial"/>
                <w:bCs/>
                <w:sz w:val="20"/>
                <w:szCs w:val="20"/>
                <w:lang w:val="en-US"/>
              </w:rPr>
            </w:pPr>
            <w:r w:rsidRPr="00265C4A">
              <w:rPr>
                <w:rFonts w:ascii="Arial" w:hAnsi="Arial" w:cs="Arial"/>
                <w:sz w:val="20"/>
                <w:szCs w:val="20"/>
                <w:lang w:val="en-US"/>
              </w:rPr>
              <w:t xml:space="preserve">Antibiotics: </w:t>
            </w:r>
            <w:r>
              <w:rPr>
                <w:rFonts w:ascii="Arial" w:hAnsi="Arial" w:cs="Arial"/>
                <w:sz w:val="20"/>
                <w:szCs w:val="20"/>
                <w:lang w:val="en-US"/>
              </w:rPr>
              <w:t>c</w:t>
            </w:r>
            <w:r w:rsidRPr="00265C4A">
              <w:rPr>
                <w:rFonts w:ascii="Arial" w:hAnsi="Arial" w:cs="Arial"/>
                <w:sz w:val="20"/>
                <w:szCs w:val="20"/>
                <w:lang w:val="en-US"/>
              </w:rPr>
              <w:t>larithromycin</w:t>
            </w:r>
          </w:p>
        </w:tc>
        <w:tc>
          <w:tcPr>
            <w:tcW w:w="822" w:type="pct"/>
          </w:tcPr>
          <w:p w14:paraId="15C7119B" w14:textId="77777777" w:rsidR="00FE56ED" w:rsidRPr="00265C4A" w:rsidRDefault="00FE56ED" w:rsidP="009D0073">
            <w:pPr>
              <w:spacing w:line="480" w:lineRule="auto"/>
              <w:jc w:val="center"/>
              <w:rPr>
                <w:rFonts w:ascii="Arial" w:hAnsi="Arial" w:cs="Arial"/>
                <w:bCs/>
                <w:sz w:val="20"/>
                <w:szCs w:val="20"/>
                <w:lang w:val="en-US"/>
              </w:rPr>
            </w:pPr>
            <w:r w:rsidRPr="00265C4A">
              <w:rPr>
                <w:rFonts w:ascii="Arial" w:hAnsi="Arial" w:cs="Arial"/>
                <w:sz w:val="20"/>
                <w:szCs w:val="20"/>
                <w:lang w:val="en-US"/>
              </w:rPr>
              <w:t>5</w:t>
            </w:r>
          </w:p>
        </w:tc>
        <w:tc>
          <w:tcPr>
            <w:tcW w:w="821" w:type="pct"/>
          </w:tcPr>
          <w:p w14:paraId="10FB1505" w14:textId="77777777" w:rsidR="00FE56ED" w:rsidRPr="00265C4A" w:rsidRDefault="00FE56ED" w:rsidP="009D0073">
            <w:pPr>
              <w:spacing w:line="480" w:lineRule="auto"/>
              <w:jc w:val="center"/>
              <w:rPr>
                <w:rFonts w:ascii="Arial" w:hAnsi="Arial" w:cs="Arial"/>
                <w:bCs/>
                <w:sz w:val="20"/>
                <w:szCs w:val="20"/>
                <w:lang w:val="en-US"/>
              </w:rPr>
            </w:pPr>
            <w:r w:rsidRPr="00265C4A">
              <w:rPr>
                <w:rFonts w:ascii="Arial" w:hAnsi="Arial" w:cs="Arial"/>
                <w:sz w:val="20"/>
                <w:szCs w:val="20"/>
                <w:lang w:val="en-US"/>
              </w:rPr>
              <w:t>500 mg BID</w:t>
            </w:r>
          </w:p>
        </w:tc>
        <w:tc>
          <w:tcPr>
            <w:tcW w:w="658" w:type="pct"/>
          </w:tcPr>
          <w:p w14:paraId="0B620CA7" w14:textId="77777777" w:rsidR="00FE56ED" w:rsidRPr="00265C4A" w:rsidRDefault="00FE56ED" w:rsidP="009D0073">
            <w:pPr>
              <w:spacing w:line="480" w:lineRule="auto"/>
              <w:jc w:val="center"/>
              <w:rPr>
                <w:rFonts w:ascii="Arial" w:hAnsi="Arial" w:cs="Arial"/>
                <w:bCs/>
                <w:sz w:val="20"/>
                <w:szCs w:val="20"/>
                <w:lang w:val="en-US"/>
              </w:rPr>
            </w:pPr>
            <w:r w:rsidRPr="00265C4A">
              <w:rPr>
                <w:rFonts w:ascii="Arial" w:hAnsi="Arial" w:cs="Arial"/>
                <w:sz w:val="20"/>
                <w:szCs w:val="20"/>
                <w:lang w:val="en-US"/>
              </w:rPr>
              <w:t>2</w:t>
            </w:r>
          </w:p>
        </w:tc>
        <w:tc>
          <w:tcPr>
            <w:tcW w:w="695" w:type="pct"/>
          </w:tcPr>
          <w:p w14:paraId="4B8C201C" w14:textId="77777777" w:rsidR="00FE56ED" w:rsidRPr="00265C4A" w:rsidRDefault="00FE56ED" w:rsidP="009D0073">
            <w:pPr>
              <w:spacing w:line="480" w:lineRule="auto"/>
              <w:jc w:val="center"/>
              <w:rPr>
                <w:rFonts w:ascii="Arial" w:hAnsi="Arial" w:cs="Arial"/>
                <w:bCs/>
                <w:sz w:val="20"/>
                <w:szCs w:val="20"/>
                <w:lang w:val="en-US"/>
              </w:rPr>
            </w:pPr>
            <w:r w:rsidRPr="00265C4A">
              <w:rPr>
                <w:rFonts w:ascii="Arial" w:hAnsi="Arial" w:cs="Arial"/>
                <w:sz w:val="20"/>
                <w:szCs w:val="20"/>
                <w:lang w:val="en-US"/>
              </w:rPr>
              <w:t>£1.38</w:t>
            </w:r>
          </w:p>
        </w:tc>
        <w:tc>
          <w:tcPr>
            <w:tcW w:w="692" w:type="pct"/>
          </w:tcPr>
          <w:p w14:paraId="59B8A9E9" w14:textId="77777777" w:rsidR="00FE56ED" w:rsidRPr="00265C4A" w:rsidRDefault="00FE56ED" w:rsidP="009D0073">
            <w:pPr>
              <w:spacing w:line="480" w:lineRule="auto"/>
              <w:jc w:val="center"/>
              <w:rPr>
                <w:rFonts w:ascii="Arial" w:hAnsi="Arial" w:cs="Arial"/>
                <w:sz w:val="20"/>
                <w:szCs w:val="20"/>
                <w:lang w:val="en-US"/>
              </w:rPr>
            </w:pPr>
            <w:r w:rsidRPr="00265C4A">
              <w:rPr>
                <w:rFonts w:ascii="Arial" w:hAnsi="Arial" w:cs="Arial"/>
                <w:sz w:val="20"/>
                <w:szCs w:val="20"/>
                <w:lang w:val="en-US"/>
              </w:rPr>
              <w:t>£6.90</w:t>
            </w:r>
          </w:p>
        </w:tc>
      </w:tr>
      <w:tr w:rsidR="00FE56ED" w:rsidRPr="00265C4A" w14:paraId="3D9663D1" w14:textId="77777777" w:rsidTr="009D0073">
        <w:trPr>
          <w:trHeight w:val="552"/>
        </w:trPr>
        <w:tc>
          <w:tcPr>
            <w:tcW w:w="4308" w:type="pct"/>
            <w:gridSpan w:val="5"/>
            <w:vAlign w:val="center"/>
          </w:tcPr>
          <w:p w14:paraId="745B3D4A"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b/>
                <w:bCs/>
                <w:sz w:val="20"/>
                <w:szCs w:val="20"/>
                <w:lang w:val="en-US"/>
              </w:rPr>
              <w:t>Weighted cost per exacerbation</w:t>
            </w:r>
          </w:p>
        </w:tc>
        <w:tc>
          <w:tcPr>
            <w:tcW w:w="692" w:type="pct"/>
            <w:vAlign w:val="center"/>
          </w:tcPr>
          <w:p w14:paraId="6B4B29FB" w14:textId="77777777" w:rsidR="00FE56ED" w:rsidRPr="00043260" w:rsidRDefault="00FE56ED" w:rsidP="009D0073">
            <w:pPr>
              <w:spacing w:line="480" w:lineRule="auto"/>
              <w:jc w:val="center"/>
              <w:rPr>
                <w:rFonts w:ascii="Arial" w:hAnsi="Arial" w:cs="Arial"/>
                <w:sz w:val="20"/>
                <w:szCs w:val="20"/>
                <w:lang w:val="en-US"/>
              </w:rPr>
            </w:pPr>
            <w:r w:rsidRPr="00043260">
              <w:rPr>
                <w:rFonts w:ascii="Arial" w:hAnsi="Arial" w:cs="Arial"/>
                <w:sz w:val="20"/>
                <w:szCs w:val="20"/>
                <w:lang w:val="en-US"/>
              </w:rPr>
              <w:t>£9.14</w:t>
            </w:r>
          </w:p>
        </w:tc>
      </w:tr>
    </w:tbl>
    <w:p w14:paraId="4D80167A" w14:textId="77777777" w:rsidR="00FE56ED" w:rsidRPr="00265C4A" w:rsidRDefault="00FE56ED" w:rsidP="00FE56ED">
      <w:pPr>
        <w:spacing w:line="480" w:lineRule="auto"/>
        <w:rPr>
          <w:rFonts w:ascii="Arial" w:hAnsi="Arial" w:cs="Arial"/>
          <w:b/>
          <w:sz w:val="20"/>
          <w:szCs w:val="20"/>
          <w:lang w:val="en-US"/>
        </w:rPr>
      </w:pPr>
    </w:p>
    <w:p w14:paraId="45EB2016" w14:textId="77777777" w:rsidR="00FE56ED" w:rsidRDefault="00FE56ED" w:rsidP="00FE56ED">
      <w:pPr>
        <w:spacing w:line="480" w:lineRule="auto"/>
        <w:rPr>
          <w:rFonts w:ascii="Arial" w:hAnsi="Arial" w:cs="Arial"/>
          <w:bCs/>
          <w:sz w:val="20"/>
          <w:szCs w:val="20"/>
          <w:lang w:val="en-US"/>
        </w:rPr>
      </w:pPr>
      <w:r w:rsidRPr="00265C4A">
        <w:rPr>
          <w:rFonts w:ascii="Arial" w:hAnsi="Arial" w:cs="Arial"/>
          <w:b/>
          <w:bCs/>
          <w:sz w:val="20"/>
          <w:szCs w:val="20"/>
          <w:lang w:val="en-US"/>
        </w:rPr>
        <w:t>Notes:</w:t>
      </w:r>
      <w:r>
        <w:rPr>
          <w:rFonts w:ascii="Arial" w:hAnsi="Arial" w:cs="Arial"/>
          <w:b/>
          <w:bCs/>
          <w:sz w:val="20"/>
          <w:szCs w:val="20"/>
          <w:lang w:val="en-US"/>
        </w:rPr>
        <w:t xml:space="preserve"> </w:t>
      </w:r>
      <w:r w:rsidRPr="001E367F">
        <w:rPr>
          <w:rFonts w:ascii="Arial" w:hAnsi="Arial" w:cs="Arial"/>
          <w:sz w:val="20"/>
          <w:szCs w:val="20"/>
          <w:lang w:val="en-US"/>
        </w:rPr>
        <w:t>Sourced from National Institute for Health and Care Excellence</w:t>
      </w:r>
      <w:r>
        <w:rPr>
          <w:rFonts w:ascii="Arial" w:hAnsi="Arial" w:cs="Arial"/>
          <w:sz w:val="20"/>
          <w:szCs w:val="20"/>
          <w:lang w:val="en-US"/>
        </w:rPr>
        <w:t>.</w:t>
      </w:r>
      <w:r w:rsidRPr="001E367F">
        <w:rPr>
          <w:rFonts w:ascii="Arial" w:hAnsi="Arial" w:cs="Arial"/>
          <w:bCs/>
          <w:sz w:val="20"/>
          <w:szCs w:val="20"/>
          <w:vertAlign w:val="superscript"/>
          <w:lang w:val="en-US"/>
        </w:rPr>
        <w:t>2–4</w:t>
      </w:r>
      <w:r w:rsidRPr="00265C4A">
        <w:rPr>
          <w:rFonts w:ascii="Arial" w:hAnsi="Arial" w:cs="Arial"/>
          <w:bCs/>
          <w:sz w:val="20"/>
          <w:szCs w:val="20"/>
          <w:lang w:val="en-US"/>
        </w:rPr>
        <w:br/>
      </w:r>
      <w:r w:rsidRPr="00265C4A">
        <w:rPr>
          <w:rFonts w:ascii="Arial" w:hAnsi="Arial" w:cs="Arial"/>
          <w:b/>
          <w:sz w:val="20"/>
          <w:szCs w:val="20"/>
          <w:lang w:val="en-US"/>
        </w:rPr>
        <w:t>Abbreviations:</w:t>
      </w:r>
      <w:r w:rsidRPr="00265C4A">
        <w:rPr>
          <w:rFonts w:ascii="Arial" w:hAnsi="Arial" w:cs="Arial"/>
          <w:bCs/>
          <w:sz w:val="20"/>
          <w:szCs w:val="20"/>
          <w:lang w:val="en-US"/>
        </w:rPr>
        <w:t xml:space="preserve"> BID, twice daily; GBP, British Pound; OCS, oral corticosteroid; QD, once daily; TID, three times daily</w:t>
      </w:r>
      <w:r>
        <w:rPr>
          <w:rFonts w:ascii="Arial" w:hAnsi="Arial" w:cs="Arial"/>
          <w:bCs/>
          <w:sz w:val="20"/>
          <w:szCs w:val="20"/>
          <w:lang w:val="en-US"/>
        </w:rPr>
        <w:t>.</w:t>
      </w:r>
    </w:p>
    <w:p w14:paraId="683AB6B2" w14:textId="77777777" w:rsidR="00FE56ED" w:rsidRPr="00265C4A" w:rsidRDefault="00FE56ED" w:rsidP="00FE56ED">
      <w:pPr>
        <w:spacing w:line="480" w:lineRule="auto"/>
        <w:rPr>
          <w:rFonts w:ascii="Arial" w:hAnsi="Arial" w:cs="Arial"/>
          <w:bCs/>
          <w:sz w:val="20"/>
          <w:szCs w:val="20"/>
          <w:lang w:val="en-US"/>
        </w:rPr>
        <w:sectPr w:rsidR="00FE56ED" w:rsidRPr="00265C4A" w:rsidSect="003A0EFD">
          <w:type w:val="continuous"/>
          <w:pgSz w:w="15840" w:h="12240" w:orient="landscape"/>
          <w:pgMar w:top="1701" w:right="1701" w:bottom="1701" w:left="1701" w:header="0" w:footer="720" w:gutter="0"/>
          <w:lnNumType w:countBy="1" w:restart="continuous"/>
          <w:cols w:space="720"/>
          <w:formProt w:val="0"/>
          <w:docGrid w:linePitch="360"/>
        </w:sectPr>
      </w:pPr>
    </w:p>
    <w:p w14:paraId="2F7FA82D" w14:textId="77777777" w:rsidR="00FE56ED" w:rsidRPr="00265C4A" w:rsidRDefault="00FE56ED" w:rsidP="00FE56ED">
      <w:pPr>
        <w:spacing w:line="480" w:lineRule="auto"/>
        <w:rPr>
          <w:rFonts w:ascii="Arial" w:hAnsi="Arial" w:cs="Arial"/>
          <w:sz w:val="20"/>
          <w:szCs w:val="20"/>
          <w:lang w:val="en-US"/>
        </w:rPr>
      </w:pPr>
      <w:r w:rsidRPr="00265C4A">
        <w:rPr>
          <w:rFonts w:ascii="Arial" w:hAnsi="Arial" w:cs="Arial"/>
          <w:b/>
          <w:bCs/>
          <w:sz w:val="20"/>
          <w:szCs w:val="20"/>
          <w:lang w:val="en-US"/>
        </w:rPr>
        <w:lastRenderedPageBreak/>
        <w:t>Table S2</w:t>
      </w:r>
      <w:r w:rsidRPr="00265C4A">
        <w:rPr>
          <w:sz w:val="20"/>
          <w:szCs w:val="20"/>
          <w:lang w:val="en-US"/>
        </w:rPr>
        <w:t xml:space="preserve"> </w:t>
      </w:r>
      <w:r w:rsidRPr="00265C4A">
        <w:rPr>
          <w:rFonts w:ascii="Arial" w:hAnsi="Arial" w:cs="Arial"/>
          <w:sz w:val="20"/>
          <w:szCs w:val="20"/>
          <w:lang w:val="en-US"/>
        </w:rPr>
        <w:t>One-way sensitivity analyses input values</w:t>
      </w:r>
    </w:p>
    <w:p w14:paraId="4F639433" w14:textId="77777777" w:rsidR="00FE56ED" w:rsidRPr="00265C4A" w:rsidRDefault="00FE56ED" w:rsidP="00FE56ED">
      <w:pPr>
        <w:spacing w:line="480" w:lineRule="auto"/>
        <w:rPr>
          <w:rFonts w:ascii="Arial" w:hAnsi="Arial" w:cs="Arial"/>
          <w:b/>
          <w:bCs/>
          <w:sz w:val="20"/>
          <w:szCs w:val="20"/>
          <w:lang w:val="en-US"/>
        </w:rPr>
      </w:pPr>
    </w:p>
    <w:tbl>
      <w:tblPr>
        <w:tblStyle w:val="TableGrid"/>
        <w:tblW w:w="5024" w:type="pct"/>
        <w:tblLook w:val="04A0" w:firstRow="1" w:lastRow="0" w:firstColumn="1" w:lastColumn="0" w:noHBand="0" w:noVBand="1"/>
      </w:tblPr>
      <w:tblGrid>
        <w:gridCol w:w="3600"/>
        <w:gridCol w:w="1749"/>
        <w:gridCol w:w="1747"/>
        <w:gridCol w:w="1774"/>
      </w:tblGrid>
      <w:tr w:rsidR="00FE56ED" w:rsidRPr="00265C4A" w14:paraId="6F7D679E" w14:textId="77777777" w:rsidTr="009D0073">
        <w:trPr>
          <w:trHeight w:val="737"/>
        </w:trPr>
        <w:tc>
          <w:tcPr>
            <w:tcW w:w="2029" w:type="pct"/>
            <w:shd w:val="clear" w:color="auto" w:fill="auto"/>
            <w:vAlign w:val="center"/>
          </w:tcPr>
          <w:p w14:paraId="3A3937CD" w14:textId="77777777" w:rsidR="00FE56ED" w:rsidRDefault="00FE56ED" w:rsidP="009D0073">
            <w:pPr>
              <w:spacing w:line="480" w:lineRule="auto"/>
              <w:rPr>
                <w:rFonts w:ascii="Arial" w:hAnsi="Arial" w:cs="Arial"/>
                <w:b/>
                <w:bCs/>
                <w:sz w:val="20"/>
                <w:szCs w:val="20"/>
                <w:lang w:val="en-US"/>
              </w:rPr>
            </w:pPr>
            <w:r>
              <w:rPr>
                <w:rFonts w:ascii="Arial" w:hAnsi="Arial" w:cs="Arial"/>
                <w:b/>
                <w:bCs/>
                <w:sz w:val="20"/>
                <w:szCs w:val="20"/>
                <w:lang w:val="en-US"/>
              </w:rPr>
              <w:t>Parameter</w:t>
            </w:r>
          </w:p>
          <w:p w14:paraId="401E940E" w14:textId="77777777" w:rsidR="00FE56ED" w:rsidRDefault="00FE56ED" w:rsidP="009D0073">
            <w:pPr>
              <w:spacing w:line="480" w:lineRule="auto"/>
              <w:rPr>
                <w:rFonts w:ascii="Arial" w:hAnsi="Arial" w:cs="Arial"/>
                <w:b/>
                <w:bCs/>
                <w:sz w:val="20"/>
                <w:szCs w:val="20"/>
                <w:lang w:val="en-US"/>
              </w:rPr>
            </w:pPr>
          </w:p>
          <w:p w14:paraId="7022BC18" w14:textId="77777777" w:rsidR="00FE56ED" w:rsidRPr="00265C4A" w:rsidRDefault="00FE56ED" w:rsidP="009D0073">
            <w:pPr>
              <w:spacing w:line="480" w:lineRule="auto"/>
              <w:rPr>
                <w:rFonts w:ascii="Arial" w:hAnsi="Arial" w:cs="Arial"/>
                <w:b/>
                <w:bCs/>
                <w:sz w:val="20"/>
                <w:szCs w:val="20"/>
                <w:lang w:val="en-US"/>
              </w:rPr>
            </w:pPr>
          </w:p>
        </w:tc>
        <w:tc>
          <w:tcPr>
            <w:tcW w:w="986" w:type="pct"/>
            <w:shd w:val="clear" w:color="auto" w:fill="auto"/>
          </w:tcPr>
          <w:p w14:paraId="7F96CAD8"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b/>
                <w:bCs/>
                <w:sz w:val="20"/>
                <w:szCs w:val="20"/>
                <w:lang w:val="en-US"/>
              </w:rPr>
              <w:t>Base case</w:t>
            </w:r>
          </w:p>
        </w:tc>
        <w:tc>
          <w:tcPr>
            <w:tcW w:w="985" w:type="pct"/>
            <w:shd w:val="clear" w:color="auto" w:fill="auto"/>
          </w:tcPr>
          <w:p w14:paraId="56F0B07C"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b/>
                <w:bCs/>
                <w:sz w:val="20"/>
                <w:szCs w:val="20"/>
                <w:lang w:val="en-US"/>
              </w:rPr>
              <w:t>Lower value</w:t>
            </w:r>
          </w:p>
          <w:p w14:paraId="6AAF742A"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b/>
                <w:bCs/>
                <w:sz w:val="20"/>
                <w:szCs w:val="20"/>
                <w:lang w:val="en-US"/>
              </w:rPr>
              <w:t>(lower limit of 95% CI)</w:t>
            </w:r>
          </w:p>
        </w:tc>
        <w:tc>
          <w:tcPr>
            <w:tcW w:w="1000" w:type="pct"/>
            <w:shd w:val="clear" w:color="auto" w:fill="auto"/>
          </w:tcPr>
          <w:p w14:paraId="68085768"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b/>
                <w:bCs/>
                <w:sz w:val="20"/>
                <w:szCs w:val="20"/>
                <w:lang w:val="en-US"/>
              </w:rPr>
              <w:t>Upper value</w:t>
            </w:r>
          </w:p>
          <w:p w14:paraId="230E1D0E"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b/>
                <w:bCs/>
                <w:sz w:val="20"/>
                <w:szCs w:val="20"/>
                <w:lang w:val="en-US"/>
              </w:rPr>
              <w:t>(upper limit of 95% CI)</w:t>
            </w:r>
          </w:p>
        </w:tc>
      </w:tr>
      <w:tr w:rsidR="00FE56ED" w:rsidRPr="00265C4A" w14:paraId="5E21BAA9" w14:textId="77777777" w:rsidTr="009D0073">
        <w:trPr>
          <w:trHeight w:val="346"/>
        </w:trPr>
        <w:tc>
          <w:tcPr>
            <w:tcW w:w="5000" w:type="pct"/>
            <w:gridSpan w:val="4"/>
            <w:shd w:val="clear" w:color="auto" w:fill="auto"/>
          </w:tcPr>
          <w:p w14:paraId="38FD07D1"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b/>
                <w:bCs/>
                <w:sz w:val="20"/>
                <w:szCs w:val="20"/>
                <w:lang w:val="en-US"/>
              </w:rPr>
              <w:t>Baseline inputs not available from Study 207626</w:t>
            </w:r>
          </w:p>
        </w:tc>
      </w:tr>
      <w:tr w:rsidR="00FE56ED" w:rsidRPr="00265C4A" w14:paraId="76C7AF98" w14:textId="77777777" w:rsidTr="009D0073">
        <w:trPr>
          <w:trHeight w:val="346"/>
        </w:trPr>
        <w:tc>
          <w:tcPr>
            <w:tcW w:w="2029" w:type="pct"/>
            <w:shd w:val="clear" w:color="auto" w:fill="auto"/>
          </w:tcPr>
          <w:p w14:paraId="4F02C826"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sz w:val="20"/>
                <w:szCs w:val="20"/>
                <w:lang w:val="en-US"/>
              </w:rPr>
              <w:t>Fibrinogen, µg/dL</w:t>
            </w:r>
          </w:p>
        </w:tc>
        <w:tc>
          <w:tcPr>
            <w:tcW w:w="986" w:type="pct"/>
            <w:shd w:val="clear" w:color="auto" w:fill="auto"/>
            <w:vAlign w:val="center"/>
          </w:tcPr>
          <w:p w14:paraId="38C54314"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sz w:val="20"/>
                <w:szCs w:val="20"/>
                <w:lang w:val="en-US"/>
              </w:rPr>
              <w:t>472.9</w:t>
            </w:r>
          </w:p>
        </w:tc>
        <w:tc>
          <w:tcPr>
            <w:tcW w:w="985" w:type="pct"/>
            <w:shd w:val="clear" w:color="auto" w:fill="auto"/>
            <w:vAlign w:val="center"/>
          </w:tcPr>
          <w:p w14:paraId="02AB37FA"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sz w:val="20"/>
                <w:szCs w:val="20"/>
                <w:lang w:val="en-US"/>
              </w:rPr>
              <w:t>468.3</w:t>
            </w:r>
          </w:p>
        </w:tc>
        <w:tc>
          <w:tcPr>
            <w:tcW w:w="1000" w:type="pct"/>
            <w:shd w:val="clear" w:color="auto" w:fill="auto"/>
            <w:vAlign w:val="center"/>
          </w:tcPr>
          <w:p w14:paraId="7D8F1FE6"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sz w:val="20"/>
                <w:szCs w:val="20"/>
                <w:lang w:val="en-US"/>
              </w:rPr>
              <w:t>477.6</w:t>
            </w:r>
          </w:p>
        </w:tc>
      </w:tr>
      <w:tr w:rsidR="00FE56ED" w:rsidRPr="00265C4A" w14:paraId="0C90E668" w14:textId="77777777" w:rsidTr="009D0073">
        <w:trPr>
          <w:trHeight w:val="346"/>
        </w:trPr>
        <w:tc>
          <w:tcPr>
            <w:tcW w:w="2029" w:type="pct"/>
            <w:shd w:val="clear" w:color="auto" w:fill="auto"/>
          </w:tcPr>
          <w:p w14:paraId="65A8407E"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sz w:val="20"/>
                <w:szCs w:val="20"/>
                <w:lang w:val="en-US"/>
              </w:rPr>
              <w:t>6MWT, m</w:t>
            </w:r>
          </w:p>
        </w:tc>
        <w:tc>
          <w:tcPr>
            <w:tcW w:w="986" w:type="pct"/>
            <w:shd w:val="clear" w:color="auto" w:fill="auto"/>
            <w:vAlign w:val="center"/>
          </w:tcPr>
          <w:p w14:paraId="02BF1FBB"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sz w:val="20"/>
                <w:szCs w:val="20"/>
                <w:lang w:val="en-US"/>
              </w:rPr>
              <w:t>364.8</w:t>
            </w:r>
          </w:p>
        </w:tc>
        <w:tc>
          <w:tcPr>
            <w:tcW w:w="985" w:type="pct"/>
            <w:shd w:val="clear" w:color="auto" w:fill="auto"/>
            <w:vAlign w:val="center"/>
          </w:tcPr>
          <w:p w14:paraId="7931095E"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sz w:val="20"/>
                <w:szCs w:val="20"/>
                <w:lang w:val="en-US"/>
              </w:rPr>
              <w:t>359.4</w:t>
            </w:r>
          </w:p>
        </w:tc>
        <w:tc>
          <w:tcPr>
            <w:tcW w:w="1000" w:type="pct"/>
            <w:shd w:val="clear" w:color="auto" w:fill="auto"/>
            <w:vAlign w:val="center"/>
          </w:tcPr>
          <w:p w14:paraId="69416371"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sz w:val="20"/>
                <w:szCs w:val="20"/>
                <w:lang w:val="en-US"/>
              </w:rPr>
              <w:t>370.2</w:t>
            </w:r>
          </w:p>
        </w:tc>
      </w:tr>
      <w:tr w:rsidR="00FE56ED" w:rsidRPr="00265C4A" w14:paraId="7A9360FD" w14:textId="77777777" w:rsidTr="009D0073">
        <w:trPr>
          <w:trHeight w:val="346"/>
        </w:trPr>
        <w:tc>
          <w:tcPr>
            <w:tcW w:w="2029" w:type="pct"/>
            <w:shd w:val="clear" w:color="auto" w:fill="auto"/>
          </w:tcPr>
          <w:p w14:paraId="2DE3DD07"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sz w:val="20"/>
                <w:szCs w:val="20"/>
                <w:lang w:val="en-US"/>
              </w:rPr>
              <w:t>mMRC score</w:t>
            </w:r>
            <w:r w:rsidRPr="00265C4A">
              <w:rPr>
                <w:rFonts w:ascii="Arial" w:hAnsi="Arial" w:cs="Arial"/>
                <w:sz w:val="20"/>
                <w:szCs w:val="20"/>
                <w:vertAlign w:val="superscript"/>
                <w:lang w:val="en-US"/>
              </w:rPr>
              <w:t>a</w:t>
            </w:r>
            <w:r w:rsidRPr="00265C4A">
              <w:rPr>
                <w:rFonts w:ascii="Arial" w:hAnsi="Arial" w:cs="Arial"/>
                <w:sz w:val="20"/>
                <w:szCs w:val="20"/>
                <w:lang w:val="en-US"/>
              </w:rPr>
              <w:t>, %</w:t>
            </w:r>
          </w:p>
        </w:tc>
        <w:tc>
          <w:tcPr>
            <w:tcW w:w="986" w:type="pct"/>
            <w:shd w:val="clear" w:color="auto" w:fill="auto"/>
            <w:vAlign w:val="center"/>
          </w:tcPr>
          <w:p w14:paraId="19A326B1"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sz w:val="20"/>
                <w:szCs w:val="20"/>
                <w:lang w:val="en-US"/>
              </w:rPr>
              <w:t>47.6</w:t>
            </w:r>
          </w:p>
        </w:tc>
        <w:tc>
          <w:tcPr>
            <w:tcW w:w="985" w:type="pct"/>
            <w:shd w:val="clear" w:color="auto" w:fill="auto"/>
            <w:vAlign w:val="center"/>
          </w:tcPr>
          <w:p w14:paraId="23102347"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sz w:val="20"/>
                <w:szCs w:val="20"/>
                <w:lang w:val="en-US"/>
              </w:rPr>
              <w:t>35.7</w:t>
            </w:r>
          </w:p>
        </w:tc>
        <w:tc>
          <w:tcPr>
            <w:tcW w:w="1000" w:type="pct"/>
            <w:shd w:val="clear" w:color="auto" w:fill="auto"/>
            <w:vAlign w:val="center"/>
          </w:tcPr>
          <w:p w14:paraId="3D261F81"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sz w:val="20"/>
                <w:szCs w:val="20"/>
                <w:lang w:val="en-US"/>
              </w:rPr>
              <w:t>59.5</w:t>
            </w:r>
          </w:p>
        </w:tc>
      </w:tr>
      <w:tr w:rsidR="00FE56ED" w:rsidRPr="00265C4A" w14:paraId="388079A9" w14:textId="77777777" w:rsidTr="009D0073">
        <w:trPr>
          <w:trHeight w:val="346"/>
        </w:trPr>
        <w:tc>
          <w:tcPr>
            <w:tcW w:w="5000" w:type="pct"/>
            <w:gridSpan w:val="4"/>
            <w:shd w:val="clear" w:color="auto" w:fill="auto"/>
          </w:tcPr>
          <w:p w14:paraId="02FCD4E8"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b/>
                <w:bCs/>
                <w:sz w:val="20"/>
                <w:szCs w:val="20"/>
                <w:lang w:val="en-US"/>
              </w:rPr>
              <w:t>Treatment effects (difference in change from baseline), FF/UMEC/VI versus TIO</w:t>
            </w:r>
          </w:p>
        </w:tc>
      </w:tr>
      <w:tr w:rsidR="00FE56ED" w:rsidRPr="00265C4A" w14:paraId="7061DC79" w14:textId="77777777" w:rsidTr="009D0073">
        <w:trPr>
          <w:trHeight w:val="346"/>
        </w:trPr>
        <w:tc>
          <w:tcPr>
            <w:tcW w:w="2029" w:type="pct"/>
            <w:shd w:val="clear" w:color="auto" w:fill="auto"/>
          </w:tcPr>
          <w:p w14:paraId="33C816C6"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sz w:val="20"/>
                <w:szCs w:val="20"/>
                <w:lang w:val="en-US"/>
              </w:rPr>
              <w:t>FEV</w:t>
            </w:r>
            <w:r w:rsidRPr="00265C4A">
              <w:rPr>
                <w:rFonts w:ascii="Arial" w:hAnsi="Arial" w:cs="Arial"/>
                <w:sz w:val="20"/>
                <w:szCs w:val="20"/>
                <w:vertAlign w:val="subscript"/>
                <w:lang w:val="en-US"/>
              </w:rPr>
              <w:t>1</w:t>
            </w:r>
            <w:r w:rsidRPr="00265C4A">
              <w:rPr>
                <w:rFonts w:ascii="Arial" w:hAnsi="Arial" w:cs="Arial"/>
                <w:sz w:val="20"/>
                <w:szCs w:val="20"/>
                <w:lang w:val="en-US"/>
              </w:rPr>
              <w:t xml:space="preserve"> increment, mL</w:t>
            </w:r>
          </w:p>
        </w:tc>
        <w:tc>
          <w:tcPr>
            <w:tcW w:w="986" w:type="pct"/>
            <w:shd w:val="clear" w:color="auto" w:fill="auto"/>
            <w:vAlign w:val="center"/>
          </w:tcPr>
          <w:p w14:paraId="1E1E7443"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sz w:val="20"/>
                <w:szCs w:val="20"/>
                <w:lang w:val="en-US"/>
              </w:rPr>
              <w:t>95</w:t>
            </w:r>
          </w:p>
        </w:tc>
        <w:tc>
          <w:tcPr>
            <w:tcW w:w="985" w:type="pct"/>
            <w:shd w:val="clear" w:color="auto" w:fill="auto"/>
            <w:vAlign w:val="center"/>
          </w:tcPr>
          <w:p w14:paraId="115EE903"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sz w:val="20"/>
                <w:szCs w:val="20"/>
                <w:lang w:val="en-US"/>
              </w:rPr>
              <w:t>62</w:t>
            </w:r>
          </w:p>
        </w:tc>
        <w:tc>
          <w:tcPr>
            <w:tcW w:w="1000" w:type="pct"/>
            <w:shd w:val="clear" w:color="auto" w:fill="auto"/>
            <w:vAlign w:val="center"/>
          </w:tcPr>
          <w:p w14:paraId="011DD430"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sz w:val="20"/>
                <w:szCs w:val="20"/>
                <w:lang w:val="en-US"/>
              </w:rPr>
              <w:t>128</w:t>
            </w:r>
          </w:p>
        </w:tc>
      </w:tr>
      <w:tr w:rsidR="00FE56ED" w:rsidRPr="00265C4A" w14:paraId="7FF7B448" w14:textId="77777777" w:rsidTr="009D0073">
        <w:trPr>
          <w:trHeight w:val="346"/>
        </w:trPr>
        <w:tc>
          <w:tcPr>
            <w:tcW w:w="2029" w:type="pct"/>
            <w:shd w:val="clear" w:color="auto" w:fill="auto"/>
          </w:tcPr>
          <w:p w14:paraId="75540025"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sz w:val="20"/>
                <w:szCs w:val="20"/>
                <w:lang w:val="en-US"/>
              </w:rPr>
              <w:t>SGRQ change</w:t>
            </w:r>
          </w:p>
        </w:tc>
        <w:tc>
          <w:tcPr>
            <w:tcW w:w="986" w:type="pct"/>
            <w:shd w:val="clear" w:color="auto" w:fill="auto"/>
            <w:vAlign w:val="center"/>
          </w:tcPr>
          <w:p w14:paraId="3296904A"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sz w:val="20"/>
                <w:szCs w:val="20"/>
                <w:lang w:val="en-US"/>
              </w:rPr>
              <w:t>−3.2</w:t>
            </w:r>
          </w:p>
        </w:tc>
        <w:tc>
          <w:tcPr>
            <w:tcW w:w="985" w:type="pct"/>
            <w:shd w:val="clear" w:color="auto" w:fill="auto"/>
            <w:vAlign w:val="center"/>
          </w:tcPr>
          <w:p w14:paraId="552A42AB"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sz w:val="20"/>
                <w:szCs w:val="20"/>
                <w:lang w:val="en-US"/>
              </w:rPr>
              <w:t>−1.4</w:t>
            </w:r>
          </w:p>
        </w:tc>
        <w:tc>
          <w:tcPr>
            <w:tcW w:w="1000" w:type="pct"/>
            <w:shd w:val="clear" w:color="auto" w:fill="auto"/>
            <w:vAlign w:val="center"/>
          </w:tcPr>
          <w:p w14:paraId="514C8784"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sz w:val="20"/>
                <w:szCs w:val="20"/>
                <w:lang w:val="en-US"/>
              </w:rPr>
              <w:t>−5.0</w:t>
            </w:r>
          </w:p>
        </w:tc>
      </w:tr>
    </w:tbl>
    <w:p w14:paraId="5CCC2C7C" w14:textId="77777777" w:rsidR="00FE56ED" w:rsidRPr="00265C4A" w:rsidRDefault="00FE56ED" w:rsidP="00FE56ED">
      <w:pPr>
        <w:spacing w:line="480" w:lineRule="auto"/>
        <w:rPr>
          <w:rFonts w:ascii="Arial" w:hAnsi="Arial" w:cs="Arial"/>
          <w:sz w:val="20"/>
          <w:szCs w:val="20"/>
          <w:lang w:val="en-US"/>
        </w:rPr>
      </w:pPr>
    </w:p>
    <w:p w14:paraId="1FD3747B" w14:textId="77777777" w:rsidR="00FE56ED" w:rsidRPr="00265C4A" w:rsidRDefault="00FE56ED" w:rsidP="00FE56ED">
      <w:pPr>
        <w:spacing w:line="480" w:lineRule="auto"/>
        <w:rPr>
          <w:rFonts w:ascii="Arial" w:hAnsi="Arial" w:cs="Arial"/>
          <w:sz w:val="20"/>
          <w:szCs w:val="20"/>
          <w:lang w:val="en-US"/>
        </w:rPr>
      </w:pPr>
      <w:r w:rsidRPr="00265C4A">
        <w:rPr>
          <w:rFonts w:ascii="Arial" w:hAnsi="Arial" w:cs="Arial"/>
          <w:b/>
          <w:bCs/>
          <w:sz w:val="20"/>
          <w:szCs w:val="20"/>
          <w:lang w:val="en-US"/>
        </w:rPr>
        <w:t>Notes:</w:t>
      </w:r>
      <w:r>
        <w:rPr>
          <w:rFonts w:ascii="Arial" w:hAnsi="Arial" w:cs="Arial"/>
          <w:b/>
          <w:bCs/>
          <w:sz w:val="20"/>
          <w:szCs w:val="20"/>
          <w:lang w:val="en-US"/>
        </w:rPr>
        <w:t xml:space="preserve"> </w:t>
      </w:r>
      <w:r w:rsidRPr="00265C4A">
        <w:rPr>
          <w:rFonts w:ascii="Arial" w:hAnsi="Arial" w:cs="Arial"/>
          <w:sz w:val="20"/>
          <w:szCs w:val="20"/>
          <w:vertAlign w:val="superscript"/>
          <w:lang w:val="en-US"/>
        </w:rPr>
        <w:t>a</w:t>
      </w:r>
      <w:r w:rsidRPr="00265C4A">
        <w:rPr>
          <w:rFonts w:ascii="Arial" w:hAnsi="Arial" w:cs="Arial"/>
          <w:sz w:val="20"/>
          <w:szCs w:val="20"/>
          <w:lang w:val="en-US"/>
        </w:rPr>
        <w:t xml:space="preserve">As it was not possible to approximate a 95% CI, +/− 25% relative to the base case value was used. </w:t>
      </w:r>
    </w:p>
    <w:p w14:paraId="0E284796" w14:textId="77777777" w:rsidR="00FE56ED" w:rsidRPr="00265C4A" w:rsidRDefault="00FE56ED" w:rsidP="00FE56ED">
      <w:pPr>
        <w:spacing w:line="480" w:lineRule="auto"/>
        <w:rPr>
          <w:rFonts w:ascii="Arial" w:hAnsi="Arial" w:cs="Arial"/>
          <w:b/>
          <w:bCs/>
          <w:lang w:val="en-US"/>
        </w:rPr>
      </w:pPr>
      <w:r w:rsidRPr="00265C4A">
        <w:rPr>
          <w:rFonts w:ascii="Arial" w:hAnsi="Arial" w:cs="Arial"/>
          <w:b/>
          <w:sz w:val="20"/>
          <w:szCs w:val="20"/>
          <w:lang w:val="en-US"/>
        </w:rPr>
        <w:t>Abbreviations:</w:t>
      </w:r>
      <w:r w:rsidRPr="00265C4A">
        <w:rPr>
          <w:rFonts w:ascii="Arial" w:hAnsi="Arial" w:cs="Arial"/>
          <w:bCs/>
          <w:sz w:val="20"/>
          <w:szCs w:val="20"/>
          <w:lang w:val="en-US"/>
        </w:rPr>
        <w:t xml:space="preserve"> </w:t>
      </w:r>
      <w:r w:rsidRPr="00265C4A">
        <w:rPr>
          <w:rFonts w:ascii="Arial" w:hAnsi="Arial" w:cs="Arial"/>
          <w:sz w:val="20"/>
          <w:szCs w:val="20"/>
          <w:lang w:val="en-US"/>
        </w:rPr>
        <w:t xml:space="preserve">6MWT, </w:t>
      </w:r>
      <w:r>
        <w:rPr>
          <w:rFonts w:ascii="Arial" w:hAnsi="Arial" w:cs="Arial"/>
          <w:sz w:val="20"/>
          <w:szCs w:val="20"/>
          <w:lang w:val="en-US"/>
        </w:rPr>
        <w:t>6</w:t>
      </w:r>
      <w:r w:rsidRPr="00265C4A">
        <w:rPr>
          <w:rFonts w:ascii="Arial" w:hAnsi="Arial" w:cs="Arial"/>
          <w:sz w:val="20"/>
          <w:szCs w:val="20"/>
          <w:lang w:val="en-US"/>
        </w:rPr>
        <w:t xml:space="preserve">-minute walk test; </w:t>
      </w:r>
      <w:r>
        <w:rPr>
          <w:rFonts w:ascii="Arial" w:hAnsi="Arial" w:cs="Arial"/>
          <w:sz w:val="20"/>
          <w:szCs w:val="20"/>
          <w:lang w:val="en-US"/>
        </w:rPr>
        <w:t xml:space="preserve">CI, confidence interval; </w:t>
      </w:r>
      <w:r w:rsidRPr="00265C4A">
        <w:rPr>
          <w:rFonts w:ascii="Arial" w:hAnsi="Arial" w:cs="Arial"/>
          <w:sz w:val="20"/>
          <w:szCs w:val="20"/>
          <w:lang w:val="en-US"/>
        </w:rPr>
        <w:t>FEV</w:t>
      </w:r>
      <w:r w:rsidRPr="00265C4A">
        <w:rPr>
          <w:rFonts w:ascii="Arial" w:hAnsi="Arial" w:cs="Arial"/>
          <w:sz w:val="20"/>
          <w:szCs w:val="20"/>
          <w:vertAlign w:val="subscript"/>
          <w:lang w:val="en-US"/>
        </w:rPr>
        <w:t>1</w:t>
      </w:r>
      <w:r w:rsidRPr="00265C4A">
        <w:rPr>
          <w:rFonts w:ascii="Arial" w:hAnsi="Arial" w:cs="Arial"/>
          <w:sz w:val="20"/>
          <w:szCs w:val="20"/>
          <w:lang w:val="en-US"/>
        </w:rPr>
        <w:t xml:space="preserve">, forced expiratory volume in </w:t>
      </w:r>
      <w:r>
        <w:rPr>
          <w:rFonts w:ascii="Arial" w:hAnsi="Arial" w:cs="Arial"/>
          <w:sz w:val="20"/>
          <w:szCs w:val="20"/>
          <w:lang w:val="en-US"/>
        </w:rPr>
        <w:t>1</w:t>
      </w:r>
      <w:r w:rsidRPr="00265C4A">
        <w:rPr>
          <w:rFonts w:ascii="Arial" w:hAnsi="Arial" w:cs="Arial"/>
          <w:sz w:val="20"/>
          <w:szCs w:val="20"/>
          <w:lang w:val="en-US"/>
        </w:rPr>
        <w:t xml:space="preserve"> second; FF, fluticasone furoate; mMRC, modified Medical Research Council; SGRQ, St George’s Respiratory Questionnaire; TIO, tiotropium; UMEC, umeclidinium; VI, vilanterol.</w:t>
      </w:r>
      <w:r w:rsidRPr="00265C4A">
        <w:rPr>
          <w:rFonts w:ascii="Arial" w:hAnsi="Arial" w:cs="Arial"/>
          <w:b/>
          <w:bCs/>
          <w:lang w:val="en-US"/>
        </w:rPr>
        <w:br w:type="page"/>
      </w:r>
    </w:p>
    <w:p w14:paraId="3A4F021C" w14:textId="77777777" w:rsidR="00FE56ED" w:rsidRPr="00265C4A" w:rsidRDefault="00FE56ED" w:rsidP="00FE56ED">
      <w:pPr>
        <w:spacing w:line="480" w:lineRule="auto"/>
        <w:rPr>
          <w:rFonts w:ascii="Arial" w:hAnsi="Arial" w:cs="Arial"/>
          <w:bCs/>
          <w:sz w:val="20"/>
          <w:szCs w:val="20"/>
          <w:lang w:val="en-US"/>
        </w:rPr>
      </w:pPr>
      <w:r w:rsidRPr="00265C4A">
        <w:rPr>
          <w:rFonts w:ascii="Arial" w:hAnsi="Arial" w:cs="Arial"/>
          <w:b/>
          <w:bCs/>
          <w:sz w:val="20"/>
          <w:szCs w:val="20"/>
          <w:lang w:val="en-US"/>
        </w:rPr>
        <w:lastRenderedPageBreak/>
        <w:t>Table S3</w:t>
      </w:r>
      <w:r w:rsidRPr="00265C4A">
        <w:rPr>
          <w:rFonts w:ascii="Arial" w:hAnsi="Arial" w:cs="Arial"/>
          <w:bCs/>
          <w:sz w:val="20"/>
          <w:szCs w:val="20"/>
          <w:lang w:val="en-US"/>
        </w:rPr>
        <w:t xml:space="preserve"> Parameter distributions assigned in model probabilistic analyses</w:t>
      </w:r>
    </w:p>
    <w:p w14:paraId="0410C3FE" w14:textId="77777777" w:rsidR="00FE56ED" w:rsidRPr="00265C4A" w:rsidRDefault="00FE56ED" w:rsidP="00FE56ED">
      <w:pPr>
        <w:spacing w:line="480" w:lineRule="auto"/>
        <w:rPr>
          <w:rFonts w:ascii="Arial" w:hAnsi="Arial" w:cs="Arial"/>
          <w:b/>
          <w:bCs/>
          <w:sz w:val="20"/>
          <w:szCs w:val="20"/>
          <w:lang w:val="en-US"/>
        </w:rPr>
      </w:pPr>
    </w:p>
    <w:tbl>
      <w:tblPr>
        <w:tblStyle w:val="TableGrid"/>
        <w:tblW w:w="5000" w:type="pct"/>
        <w:tblLook w:val="04A0" w:firstRow="1" w:lastRow="0" w:firstColumn="1" w:lastColumn="0" w:noHBand="0" w:noVBand="1"/>
      </w:tblPr>
      <w:tblGrid>
        <w:gridCol w:w="3743"/>
        <w:gridCol w:w="5085"/>
      </w:tblGrid>
      <w:tr w:rsidR="00FE56ED" w:rsidRPr="00265C4A" w14:paraId="049FFC30" w14:textId="77777777" w:rsidTr="009D0073">
        <w:trPr>
          <w:trHeight w:val="449"/>
        </w:trPr>
        <w:tc>
          <w:tcPr>
            <w:tcW w:w="2120" w:type="pct"/>
          </w:tcPr>
          <w:p w14:paraId="123B9642"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b/>
                <w:bCs/>
                <w:sz w:val="20"/>
                <w:szCs w:val="20"/>
                <w:lang w:val="en-US"/>
              </w:rPr>
              <w:t>Input parameter</w:t>
            </w:r>
          </w:p>
        </w:tc>
        <w:tc>
          <w:tcPr>
            <w:tcW w:w="2880" w:type="pct"/>
          </w:tcPr>
          <w:p w14:paraId="1300112F"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b/>
                <w:bCs/>
                <w:sz w:val="20"/>
                <w:szCs w:val="20"/>
                <w:lang w:val="en-US"/>
              </w:rPr>
              <w:t>Distribution and inputs</w:t>
            </w:r>
          </w:p>
        </w:tc>
      </w:tr>
      <w:tr w:rsidR="00FE56ED" w:rsidRPr="00265C4A" w14:paraId="7AB78A5D" w14:textId="77777777" w:rsidTr="009D0073">
        <w:trPr>
          <w:trHeight w:val="449"/>
        </w:trPr>
        <w:tc>
          <w:tcPr>
            <w:tcW w:w="2120" w:type="pct"/>
          </w:tcPr>
          <w:p w14:paraId="089A7530"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sz w:val="20"/>
                <w:szCs w:val="20"/>
                <w:lang w:val="en-US"/>
              </w:rPr>
              <w:t xml:space="preserve">Baseline parameter inputs </w:t>
            </w:r>
          </w:p>
        </w:tc>
        <w:tc>
          <w:tcPr>
            <w:tcW w:w="2880" w:type="pct"/>
          </w:tcPr>
          <w:p w14:paraId="288E6B4F"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sz w:val="20"/>
                <w:szCs w:val="20"/>
                <w:lang w:val="en-US"/>
              </w:rPr>
              <w:t>Fixed</w:t>
            </w:r>
          </w:p>
        </w:tc>
      </w:tr>
      <w:tr w:rsidR="00FE56ED" w:rsidRPr="00265C4A" w14:paraId="07161B41" w14:textId="77777777" w:rsidTr="009D0073">
        <w:trPr>
          <w:trHeight w:val="1515"/>
        </w:trPr>
        <w:tc>
          <w:tcPr>
            <w:tcW w:w="2120" w:type="pct"/>
          </w:tcPr>
          <w:p w14:paraId="6E441BBA"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sz w:val="20"/>
                <w:szCs w:val="20"/>
                <w:lang w:val="en-US"/>
              </w:rPr>
              <w:t>Risk equations</w:t>
            </w:r>
          </w:p>
        </w:tc>
        <w:tc>
          <w:tcPr>
            <w:tcW w:w="2880" w:type="pct"/>
          </w:tcPr>
          <w:p w14:paraId="45E897D8" w14:textId="77777777" w:rsidR="00FE56ED" w:rsidRPr="00265C4A" w:rsidRDefault="00FE56ED" w:rsidP="009D0073">
            <w:pPr>
              <w:spacing w:line="480" w:lineRule="auto"/>
              <w:rPr>
                <w:rFonts w:ascii="Arial" w:hAnsi="Arial" w:cs="Arial"/>
                <w:sz w:val="20"/>
                <w:szCs w:val="20"/>
                <w:lang w:val="en-US"/>
              </w:rPr>
            </w:pPr>
            <w:r w:rsidRPr="00265C4A">
              <w:rPr>
                <w:rFonts w:ascii="Arial" w:hAnsi="Arial" w:cs="Arial"/>
                <w:sz w:val="20"/>
                <w:szCs w:val="20"/>
                <w:lang w:val="en-US"/>
              </w:rPr>
              <w:t xml:space="preserve">Cholesky </w:t>
            </w:r>
            <w:r>
              <w:rPr>
                <w:rFonts w:ascii="Arial" w:hAnsi="Arial" w:cs="Arial"/>
                <w:sz w:val="20"/>
                <w:szCs w:val="20"/>
                <w:lang w:val="en-US"/>
              </w:rPr>
              <w:t>d</w:t>
            </w:r>
            <w:r w:rsidRPr="00265C4A">
              <w:rPr>
                <w:rFonts w:ascii="Arial" w:hAnsi="Arial" w:cs="Arial"/>
                <w:sz w:val="20"/>
                <w:szCs w:val="20"/>
                <w:lang w:val="en-US"/>
              </w:rPr>
              <w:t xml:space="preserve">ecomposition matrix included for each risk equation. The decomposition tables were applied using a random draw from a standard normal distribution (mean </w:t>
            </w:r>
            <w:r>
              <w:rPr>
                <w:rFonts w:ascii="Arial" w:hAnsi="Arial" w:cs="Arial"/>
                <w:sz w:val="20"/>
                <w:szCs w:val="20"/>
                <w:lang w:val="en-US"/>
              </w:rPr>
              <w:t>0</w:t>
            </w:r>
            <w:r w:rsidRPr="00265C4A">
              <w:rPr>
                <w:rFonts w:ascii="Arial" w:hAnsi="Arial" w:cs="Arial"/>
                <w:sz w:val="20"/>
                <w:szCs w:val="20"/>
                <w:lang w:val="en-US"/>
              </w:rPr>
              <w:t xml:space="preserve">, standard deviation of </w:t>
            </w:r>
            <w:r>
              <w:rPr>
                <w:rFonts w:ascii="Arial" w:hAnsi="Arial" w:cs="Arial"/>
                <w:sz w:val="20"/>
                <w:szCs w:val="20"/>
                <w:lang w:val="en-US"/>
              </w:rPr>
              <w:t>1</w:t>
            </w:r>
            <w:r w:rsidRPr="00265C4A">
              <w:rPr>
                <w:rFonts w:ascii="Arial" w:hAnsi="Arial" w:cs="Arial"/>
                <w:sz w:val="20"/>
                <w:szCs w:val="20"/>
                <w:lang w:val="en-US"/>
              </w:rPr>
              <w:t>) for each coefficient</w:t>
            </w:r>
          </w:p>
        </w:tc>
      </w:tr>
      <w:tr w:rsidR="00FE56ED" w:rsidRPr="00265C4A" w14:paraId="346789B6" w14:textId="77777777" w:rsidTr="009D0073">
        <w:trPr>
          <w:trHeight w:val="449"/>
        </w:trPr>
        <w:tc>
          <w:tcPr>
            <w:tcW w:w="2120" w:type="pct"/>
          </w:tcPr>
          <w:p w14:paraId="762041A9"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sz w:val="20"/>
                <w:szCs w:val="20"/>
                <w:lang w:val="en-US"/>
              </w:rPr>
              <w:t>FEV</w:t>
            </w:r>
            <w:r w:rsidRPr="00265C4A">
              <w:rPr>
                <w:rFonts w:ascii="Arial" w:hAnsi="Arial" w:cs="Arial"/>
                <w:sz w:val="20"/>
                <w:szCs w:val="20"/>
                <w:vertAlign w:val="subscript"/>
                <w:lang w:val="en-US"/>
              </w:rPr>
              <w:t>1</w:t>
            </w:r>
            <w:r w:rsidRPr="00265C4A">
              <w:rPr>
                <w:rFonts w:ascii="Arial" w:hAnsi="Arial" w:cs="Arial"/>
                <w:sz w:val="20"/>
                <w:szCs w:val="20"/>
                <w:lang w:val="en-US"/>
              </w:rPr>
              <w:t xml:space="preserve"> increment from baseline</w:t>
            </w:r>
          </w:p>
        </w:tc>
        <w:tc>
          <w:tcPr>
            <w:tcW w:w="2880" w:type="pct"/>
          </w:tcPr>
          <w:p w14:paraId="4E83E150"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sz w:val="20"/>
                <w:szCs w:val="20"/>
                <w:lang w:val="en-US"/>
              </w:rPr>
              <w:t>Normal (mean: 95; 95% CI 62, 128)</w:t>
            </w:r>
          </w:p>
        </w:tc>
      </w:tr>
      <w:tr w:rsidR="00FE56ED" w:rsidRPr="00265C4A" w14:paraId="4299FB8A" w14:textId="77777777" w:rsidTr="009D0073">
        <w:trPr>
          <w:trHeight w:val="449"/>
        </w:trPr>
        <w:tc>
          <w:tcPr>
            <w:tcW w:w="2120" w:type="pct"/>
          </w:tcPr>
          <w:p w14:paraId="031AE82F"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sz w:val="20"/>
                <w:szCs w:val="20"/>
                <w:lang w:val="en-US"/>
              </w:rPr>
              <w:t>SGRQ change from baseline</w:t>
            </w:r>
          </w:p>
        </w:tc>
        <w:tc>
          <w:tcPr>
            <w:tcW w:w="2880" w:type="pct"/>
          </w:tcPr>
          <w:p w14:paraId="3A49F71E"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sz w:val="20"/>
                <w:szCs w:val="20"/>
                <w:lang w:val="en-US"/>
              </w:rPr>
              <w:t>Normal (mean: −3.2; 95% CI −1.4, −5.0)</w:t>
            </w:r>
          </w:p>
        </w:tc>
      </w:tr>
      <w:tr w:rsidR="00FE56ED" w:rsidRPr="00265C4A" w14:paraId="388A113B" w14:textId="77777777" w:rsidTr="009D0073">
        <w:trPr>
          <w:trHeight w:val="449"/>
        </w:trPr>
        <w:tc>
          <w:tcPr>
            <w:tcW w:w="2120" w:type="pct"/>
          </w:tcPr>
          <w:p w14:paraId="2853AC1C"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sz w:val="20"/>
                <w:szCs w:val="20"/>
                <w:lang w:val="en-US"/>
              </w:rPr>
              <w:t>Drug costs and resource use costs</w:t>
            </w:r>
          </w:p>
        </w:tc>
        <w:tc>
          <w:tcPr>
            <w:tcW w:w="2880" w:type="pct"/>
          </w:tcPr>
          <w:p w14:paraId="2CFE72E2"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sz w:val="20"/>
                <w:szCs w:val="20"/>
                <w:lang w:val="en-US"/>
              </w:rPr>
              <w:t>Fixed</w:t>
            </w:r>
          </w:p>
        </w:tc>
      </w:tr>
    </w:tbl>
    <w:p w14:paraId="23C3E910" w14:textId="77777777" w:rsidR="00FE56ED" w:rsidRPr="00265C4A" w:rsidRDefault="00FE56ED" w:rsidP="00FE56ED">
      <w:pPr>
        <w:spacing w:line="480" w:lineRule="auto"/>
        <w:rPr>
          <w:rFonts w:ascii="Arial" w:hAnsi="Arial" w:cs="Arial"/>
          <w:b/>
          <w:bCs/>
          <w:sz w:val="20"/>
          <w:szCs w:val="20"/>
          <w:lang w:val="en-US"/>
        </w:rPr>
      </w:pPr>
    </w:p>
    <w:p w14:paraId="2DD0E27B" w14:textId="77777777" w:rsidR="00FE56ED" w:rsidRPr="00265C4A" w:rsidRDefault="00FE56ED" w:rsidP="00FE56ED">
      <w:pPr>
        <w:spacing w:line="480" w:lineRule="auto"/>
        <w:rPr>
          <w:rFonts w:ascii="Arial" w:hAnsi="Arial" w:cs="Arial"/>
          <w:b/>
          <w:bCs/>
          <w:sz w:val="20"/>
          <w:szCs w:val="20"/>
          <w:lang w:val="en-US"/>
        </w:rPr>
      </w:pPr>
      <w:r w:rsidRPr="00265C4A">
        <w:rPr>
          <w:rFonts w:ascii="Arial" w:hAnsi="Arial" w:cs="Arial"/>
          <w:b/>
          <w:bCs/>
          <w:sz w:val="20"/>
          <w:szCs w:val="20"/>
          <w:lang w:val="en-US"/>
        </w:rPr>
        <w:t>Notes:</w:t>
      </w:r>
      <w:r w:rsidRPr="00265C4A">
        <w:rPr>
          <w:rFonts w:ascii="Arial" w:hAnsi="Arial" w:cs="Arial"/>
          <w:sz w:val="20"/>
          <w:szCs w:val="20"/>
          <w:lang w:val="en-US"/>
        </w:rPr>
        <w:t xml:space="preserve"> Exacerbation treatment effect was not included in the model. Hence, relative risks for moderate and severe exacerbation reductions were not included in the probabilistic analyses. It should be noted that intercept and coefficients of moderate and severe exacerbation risk equations were varied using the Cholesky covariance matrix in the probabilistic analyses.</w:t>
      </w:r>
    </w:p>
    <w:p w14:paraId="418D5017" w14:textId="77777777" w:rsidR="00FE56ED" w:rsidRPr="00265C4A" w:rsidRDefault="00FE56ED" w:rsidP="00FE56ED">
      <w:pPr>
        <w:spacing w:line="480" w:lineRule="auto"/>
        <w:rPr>
          <w:rFonts w:ascii="Arial" w:hAnsi="Arial" w:cs="Arial"/>
          <w:sz w:val="20"/>
          <w:szCs w:val="20"/>
          <w:lang w:val="en-US"/>
        </w:rPr>
        <w:sectPr w:rsidR="00FE56ED" w:rsidRPr="00265C4A" w:rsidSect="003A0EFD">
          <w:footerReference w:type="default" r:id="rId10"/>
          <w:type w:val="continuous"/>
          <w:pgSz w:w="12240" w:h="15840"/>
          <w:pgMar w:top="1701" w:right="1701" w:bottom="1701" w:left="1701" w:header="0" w:footer="720" w:gutter="0"/>
          <w:lnNumType w:countBy="1" w:restart="continuous"/>
          <w:cols w:space="720"/>
          <w:formProt w:val="0"/>
          <w:docGrid w:linePitch="360"/>
        </w:sectPr>
      </w:pPr>
      <w:r w:rsidRPr="00265C4A">
        <w:rPr>
          <w:rFonts w:ascii="Arial" w:hAnsi="Arial" w:cs="Arial"/>
          <w:b/>
          <w:sz w:val="20"/>
          <w:szCs w:val="20"/>
          <w:lang w:val="en-US"/>
        </w:rPr>
        <w:t>Abbreviations:</w:t>
      </w:r>
      <w:r w:rsidRPr="00265C4A">
        <w:rPr>
          <w:rFonts w:ascii="Arial" w:hAnsi="Arial" w:cs="Arial"/>
          <w:bCs/>
          <w:sz w:val="20"/>
          <w:szCs w:val="20"/>
          <w:lang w:val="en-US"/>
        </w:rPr>
        <w:t xml:space="preserve"> </w:t>
      </w:r>
      <w:r w:rsidRPr="00265C4A">
        <w:rPr>
          <w:rFonts w:ascii="Arial" w:hAnsi="Arial" w:cs="Arial"/>
          <w:sz w:val="20"/>
          <w:szCs w:val="20"/>
          <w:lang w:val="en-US"/>
        </w:rPr>
        <w:t>CI, confidence interval; FEV</w:t>
      </w:r>
      <w:r w:rsidRPr="00265C4A">
        <w:rPr>
          <w:rFonts w:ascii="Arial" w:hAnsi="Arial" w:cs="Arial"/>
          <w:sz w:val="20"/>
          <w:szCs w:val="20"/>
          <w:vertAlign w:val="subscript"/>
          <w:lang w:val="en-US"/>
        </w:rPr>
        <w:t>1</w:t>
      </w:r>
      <w:r w:rsidRPr="00265C4A">
        <w:rPr>
          <w:rFonts w:ascii="Arial" w:hAnsi="Arial" w:cs="Arial"/>
          <w:sz w:val="20"/>
          <w:szCs w:val="20"/>
          <w:lang w:val="en-US"/>
        </w:rPr>
        <w:t xml:space="preserve">, forced expiratory volume in </w:t>
      </w:r>
      <w:r>
        <w:rPr>
          <w:rFonts w:ascii="Arial" w:hAnsi="Arial" w:cs="Arial"/>
          <w:sz w:val="20"/>
          <w:szCs w:val="20"/>
          <w:lang w:val="en-US"/>
        </w:rPr>
        <w:t>1</w:t>
      </w:r>
      <w:r w:rsidRPr="00265C4A">
        <w:rPr>
          <w:rFonts w:ascii="Arial" w:hAnsi="Arial" w:cs="Arial"/>
          <w:sz w:val="20"/>
          <w:szCs w:val="20"/>
          <w:lang w:val="en-US"/>
        </w:rPr>
        <w:t xml:space="preserve"> second; SGRQ, St George’s Respiratory Questionnaire.</w:t>
      </w:r>
      <w:r>
        <w:rPr>
          <w:rFonts w:ascii="Arial" w:hAnsi="Arial" w:cs="Arial"/>
          <w:sz w:val="20"/>
          <w:szCs w:val="20"/>
          <w:lang w:val="en-US"/>
        </w:rPr>
        <w:t xml:space="preserve"> </w:t>
      </w:r>
    </w:p>
    <w:p w14:paraId="6546602A" w14:textId="77777777" w:rsidR="00FE56ED" w:rsidRPr="00265C4A" w:rsidRDefault="00FE56ED" w:rsidP="00FE56ED">
      <w:pPr>
        <w:pStyle w:val="Caption"/>
        <w:spacing w:before="0" w:after="0" w:line="480" w:lineRule="auto"/>
        <w:rPr>
          <w:rFonts w:cs="Arial"/>
          <w:i w:val="0"/>
          <w:iCs w:val="0"/>
          <w:sz w:val="20"/>
          <w:szCs w:val="20"/>
          <w:lang w:val="en-US"/>
        </w:rPr>
      </w:pPr>
      <w:r w:rsidRPr="00265C4A">
        <w:rPr>
          <w:rFonts w:cs="Arial"/>
          <w:b/>
          <w:i w:val="0"/>
          <w:iCs w:val="0"/>
          <w:sz w:val="20"/>
          <w:szCs w:val="20"/>
          <w:lang w:val="en-US"/>
        </w:rPr>
        <w:lastRenderedPageBreak/>
        <w:t>Table S4</w:t>
      </w:r>
      <w:r w:rsidRPr="00265C4A">
        <w:rPr>
          <w:rFonts w:cs="Arial"/>
          <w:i w:val="0"/>
          <w:iCs w:val="0"/>
          <w:sz w:val="20"/>
          <w:szCs w:val="20"/>
          <w:lang w:val="en-US"/>
        </w:rPr>
        <w:t xml:space="preserve"> Results of sensitivity analyses, FF/UMEC/VI versus TIO, 2021</w:t>
      </w:r>
      <w:r w:rsidRPr="00265C4A">
        <w:rPr>
          <w:i w:val="0"/>
          <w:iCs w:val="0"/>
          <w:sz w:val="20"/>
          <w:szCs w:val="20"/>
          <w:lang w:val="en-US"/>
        </w:rPr>
        <w:t xml:space="preserve"> </w:t>
      </w:r>
      <w:r w:rsidRPr="00265C4A">
        <w:rPr>
          <w:rFonts w:cs="Arial"/>
          <w:i w:val="0"/>
          <w:iCs w:val="0"/>
          <w:sz w:val="20"/>
          <w:szCs w:val="20"/>
          <w:lang w:val="en-US"/>
        </w:rPr>
        <w:t>GBP</w:t>
      </w:r>
    </w:p>
    <w:p w14:paraId="57E414FB" w14:textId="77777777" w:rsidR="00FE56ED" w:rsidRPr="00265C4A" w:rsidRDefault="00FE56ED" w:rsidP="00FE56ED">
      <w:pPr>
        <w:pStyle w:val="Caption"/>
        <w:spacing w:before="0" w:after="0" w:line="480" w:lineRule="auto"/>
        <w:rPr>
          <w:i w:val="0"/>
          <w:iCs w:val="0"/>
          <w:sz w:val="20"/>
          <w:szCs w:val="20"/>
          <w:lang w:val="en-US"/>
        </w:rPr>
      </w:pPr>
    </w:p>
    <w:tbl>
      <w:tblPr>
        <w:tblStyle w:val="TableGrid"/>
        <w:tblW w:w="5000" w:type="pct"/>
        <w:tblLook w:val="04A0" w:firstRow="1" w:lastRow="0" w:firstColumn="1" w:lastColumn="0" w:noHBand="0" w:noVBand="1"/>
      </w:tblPr>
      <w:tblGrid>
        <w:gridCol w:w="5302"/>
        <w:gridCol w:w="1496"/>
        <w:gridCol w:w="1636"/>
        <w:gridCol w:w="2314"/>
        <w:gridCol w:w="1680"/>
      </w:tblGrid>
      <w:tr w:rsidR="00FE56ED" w:rsidRPr="00265C4A" w14:paraId="23B2833B" w14:textId="77777777" w:rsidTr="009D0073">
        <w:tc>
          <w:tcPr>
            <w:tcW w:w="2133" w:type="pct"/>
            <w:shd w:val="clear" w:color="auto" w:fill="auto"/>
            <w:vAlign w:val="center"/>
          </w:tcPr>
          <w:p w14:paraId="6405C656" w14:textId="77777777" w:rsidR="00FE56ED" w:rsidRDefault="00FE56ED" w:rsidP="009D0073">
            <w:pPr>
              <w:spacing w:line="480" w:lineRule="auto"/>
              <w:rPr>
                <w:rFonts w:ascii="Arial" w:hAnsi="Arial" w:cs="Arial"/>
                <w:b/>
                <w:bCs/>
                <w:sz w:val="20"/>
                <w:szCs w:val="20"/>
                <w:lang w:val="en-US"/>
              </w:rPr>
            </w:pPr>
            <w:r w:rsidRPr="00265C4A">
              <w:rPr>
                <w:rFonts w:ascii="Arial" w:hAnsi="Arial" w:cs="Arial"/>
                <w:b/>
                <w:bCs/>
                <w:sz w:val="20"/>
                <w:szCs w:val="20"/>
                <w:lang w:val="en-US"/>
              </w:rPr>
              <w:t>Analysis</w:t>
            </w:r>
          </w:p>
          <w:p w14:paraId="4C96B353" w14:textId="77777777" w:rsidR="00FE56ED" w:rsidRPr="00265C4A" w:rsidRDefault="00FE56ED" w:rsidP="009D0073">
            <w:pPr>
              <w:spacing w:line="480" w:lineRule="auto"/>
              <w:rPr>
                <w:rFonts w:ascii="Arial" w:hAnsi="Arial" w:cs="Arial"/>
                <w:b/>
                <w:bCs/>
                <w:sz w:val="20"/>
                <w:szCs w:val="20"/>
                <w:lang w:val="en-US"/>
              </w:rPr>
            </w:pPr>
          </w:p>
        </w:tc>
        <w:tc>
          <w:tcPr>
            <w:tcW w:w="602" w:type="pct"/>
            <w:shd w:val="clear" w:color="auto" w:fill="auto"/>
          </w:tcPr>
          <w:p w14:paraId="4C6A4813"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b/>
                <w:bCs/>
                <w:sz w:val="20"/>
                <w:szCs w:val="20"/>
                <w:lang w:val="en-US"/>
              </w:rPr>
              <w:t>Incremental LYs</w:t>
            </w:r>
          </w:p>
        </w:tc>
        <w:tc>
          <w:tcPr>
            <w:tcW w:w="658" w:type="pct"/>
            <w:shd w:val="clear" w:color="auto" w:fill="auto"/>
          </w:tcPr>
          <w:p w14:paraId="245BE156"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b/>
                <w:bCs/>
                <w:sz w:val="20"/>
                <w:szCs w:val="20"/>
                <w:lang w:val="en-US"/>
              </w:rPr>
              <w:t>Incremental QALYs</w:t>
            </w:r>
          </w:p>
        </w:tc>
        <w:tc>
          <w:tcPr>
            <w:tcW w:w="931" w:type="pct"/>
            <w:shd w:val="clear" w:color="auto" w:fill="auto"/>
          </w:tcPr>
          <w:p w14:paraId="73E07150"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b/>
                <w:bCs/>
                <w:sz w:val="20"/>
                <w:szCs w:val="20"/>
                <w:lang w:val="en-US"/>
              </w:rPr>
              <w:t>Incremental costs, 2021 GBP</w:t>
            </w:r>
          </w:p>
        </w:tc>
        <w:tc>
          <w:tcPr>
            <w:tcW w:w="676" w:type="pct"/>
            <w:shd w:val="clear" w:color="auto" w:fill="auto"/>
          </w:tcPr>
          <w:p w14:paraId="0467F870" w14:textId="77777777" w:rsidR="00FE56ED" w:rsidRPr="00265C4A" w:rsidRDefault="00FE56ED" w:rsidP="009D0073">
            <w:pPr>
              <w:spacing w:line="480" w:lineRule="auto"/>
              <w:jc w:val="center"/>
              <w:rPr>
                <w:rFonts w:ascii="Arial" w:hAnsi="Arial" w:cs="Arial"/>
                <w:b/>
                <w:bCs/>
                <w:sz w:val="20"/>
                <w:szCs w:val="20"/>
                <w:lang w:val="en-US"/>
              </w:rPr>
            </w:pPr>
            <w:r w:rsidRPr="00265C4A">
              <w:rPr>
                <w:rFonts w:ascii="Arial" w:hAnsi="Arial" w:cs="Arial"/>
                <w:b/>
                <w:bCs/>
                <w:sz w:val="20"/>
                <w:szCs w:val="20"/>
                <w:lang w:val="en-US"/>
              </w:rPr>
              <w:t>ICER/QALY</w:t>
            </w:r>
          </w:p>
        </w:tc>
      </w:tr>
      <w:tr w:rsidR="00FE56ED" w:rsidRPr="00265C4A" w14:paraId="0A25FD72" w14:textId="77777777" w:rsidTr="009D0073">
        <w:trPr>
          <w:trHeight w:val="558"/>
        </w:trPr>
        <w:tc>
          <w:tcPr>
            <w:tcW w:w="2133" w:type="pct"/>
            <w:shd w:val="clear" w:color="auto" w:fill="auto"/>
            <w:vAlign w:val="center"/>
          </w:tcPr>
          <w:p w14:paraId="12613E29" w14:textId="77777777" w:rsidR="00FE56ED" w:rsidRPr="000A2F06" w:rsidRDefault="00FE56ED" w:rsidP="009D0073">
            <w:pPr>
              <w:spacing w:line="480" w:lineRule="auto"/>
              <w:rPr>
                <w:rFonts w:ascii="Arial" w:hAnsi="Arial" w:cs="Arial"/>
                <w:b/>
                <w:bCs/>
                <w:sz w:val="20"/>
                <w:szCs w:val="20"/>
                <w:lang w:val="en-US"/>
              </w:rPr>
            </w:pPr>
            <w:r w:rsidRPr="000A2F06">
              <w:rPr>
                <w:rFonts w:ascii="Arial" w:hAnsi="Arial" w:cs="Arial"/>
                <w:b/>
                <w:bCs/>
                <w:sz w:val="20"/>
                <w:szCs w:val="20"/>
                <w:lang w:val="en-US"/>
              </w:rPr>
              <w:t>Base case</w:t>
            </w:r>
          </w:p>
        </w:tc>
        <w:tc>
          <w:tcPr>
            <w:tcW w:w="602" w:type="pct"/>
            <w:shd w:val="clear" w:color="auto" w:fill="auto"/>
          </w:tcPr>
          <w:p w14:paraId="379A6890" w14:textId="77777777" w:rsidR="00FE56ED" w:rsidRPr="000A2F06" w:rsidRDefault="00FE56ED" w:rsidP="009D0073">
            <w:pPr>
              <w:spacing w:line="480" w:lineRule="auto"/>
              <w:jc w:val="center"/>
              <w:rPr>
                <w:rFonts w:ascii="Arial" w:hAnsi="Arial" w:cs="Arial"/>
                <w:sz w:val="20"/>
                <w:szCs w:val="20"/>
                <w:lang w:val="en-US"/>
              </w:rPr>
            </w:pPr>
            <w:r w:rsidRPr="000A2F06">
              <w:rPr>
                <w:rFonts w:ascii="Arial" w:hAnsi="Arial" w:cs="Arial"/>
                <w:sz w:val="20"/>
                <w:szCs w:val="20"/>
                <w:lang w:val="en-US"/>
              </w:rPr>
              <w:t>0.393</w:t>
            </w:r>
          </w:p>
        </w:tc>
        <w:tc>
          <w:tcPr>
            <w:tcW w:w="658" w:type="pct"/>
            <w:shd w:val="clear" w:color="auto" w:fill="auto"/>
          </w:tcPr>
          <w:p w14:paraId="39AA2299" w14:textId="77777777" w:rsidR="00FE56ED" w:rsidRPr="000A2F06" w:rsidRDefault="00FE56ED" w:rsidP="009D0073">
            <w:pPr>
              <w:spacing w:line="480" w:lineRule="auto"/>
              <w:jc w:val="center"/>
              <w:rPr>
                <w:rFonts w:ascii="Arial" w:hAnsi="Arial" w:cs="Arial"/>
                <w:sz w:val="20"/>
                <w:szCs w:val="20"/>
                <w:lang w:val="en-US"/>
              </w:rPr>
            </w:pPr>
            <w:r w:rsidRPr="000A2F06">
              <w:rPr>
                <w:rFonts w:ascii="Arial" w:hAnsi="Arial" w:cs="Arial"/>
                <w:sz w:val="20"/>
                <w:szCs w:val="20"/>
                <w:lang w:val="en-US"/>
              </w:rPr>
              <w:t>0.443</w:t>
            </w:r>
          </w:p>
        </w:tc>
        <w:tc>
          <w:tcPr>
            <w:tcW w:w="931" w:type="pct"/>
            <w:shd w:val="clear" w:color="auto" w:fill="auto"/>
          </w:tcPr>
          <w:p w14:paraId="4EFE0998" w14:textId="77777777" w:rsidR="00FE56ED" w:rsidRPr="000A2F06" w:rsidRDefault="00FE56ED" w:rsidP="009D0073">
            <w:pPr>
              <w:spacing w:line="480" w:lineRule="auto"/>
              <w:jc w:val="center"/>
              <w:rPr>
                <w:rFonts w:ascii="Arial" w:hAnsi="Arial" w:cs="Arial"/>
                <w:sz w:val="20"/>
                <w:szCs w:val="20"/>
                <w:lang w:val="en-US"/>
              </w:rPr>
            </w:pPr>
            <w:r w:rsidRPr="000A2F06">
              <w:rPr>
                <w:rFonts w:ascii="Arial" w:hAnsi="Arial" w:cs="Arial"/>
                <w:sz w:val="20"/>
                <w:szCs w:val="20"/>
                <w:lang w:val="en-US"/>
              </w:rPr>
              <w:t>−£880</w:t>
            </w:r>
          </w:p>
        </w:tc>
        <w:tc>
          <w:tcPr>
            <w:tcW w:w="676" w:type="pct"/>
            <w:shd w:val="clear" w:color="auto" w:fill="auto"/>
          </w:tcPr>
          <w:p w14:paraId="02C2E709" w14:textId="77777777" w:rsidR="00FE56ED" w:rsidRPr="000A2F06" w:rsidRDefault="00FE56ED" w:rsidP="009D0073">
            <w:pPr>
              <w:spacing w:line="480" w:lineRule="auto"/>
              <w:jc w:val="center"/>
              <w:rPr>
                <w:rFonts w:ascii="Arial" w:hAnsi="Arial" w:cs="Arial"/>
                <w:sz w:val="20"/>
                <w:szCs w:val="20"/>
                <w:lang w:val="en-US"/>
              </w:rPr>
            </w:pPr>
            <w:r w:rsidRPr="000A2F06">
              <w:rPr>
                <w:rFonts w:ascii="Arial" w:hAnsi="Arial" w:cs="Arial"/>
                <w:sz w:val="20"/>
                <w:szCs w:val="20"/>
                <w:lang w:val="en-US"/>
              </w:rPr>
              <w:t>Dominant</w:t>
            </w:r>
          </w:p>
        </w:tc>
      </w:tr>
      <w:tr w:rsidR="00FE56ED" w:rsidRPr="00265C4A" w14:paraId="24F49B86" w14:textId="77777777" w:rsidTr="009D0073">
        <w:trPr>
          <w:trHeight w:val="409"/>
        </w:trPr>
        <w:tc>
          <w:tcPr>
            <w:tcW w:w="5000" w:type="pct"/>
            <w:gridSpan w:val="5"/>
            <w:shd w:val="clear" w:color="auto" w:fill="auto"/>
            <w:vAlign w:val="center"/>
          </w:tcPr>
          <w:p w14:paraId="6E78A23B"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b/>
                <w:bCs/>
                <w:sz w:val="20"/>
                <w:szCs w:val="20"/>
                <w:lang w:val="en-US"/>
              </w:rPr>
              <w:t>Baseline demographics</w:t>
            </w:r>
          </w:p>
        </w:tc>
      </w:tr>
      <w:tr w:rsidR="00FE56ED" w:rsidRPr="00265C4A" w14:paraId="3715F84E" w14:textId="77777777" w:rsidTr="009D0073">
        <w:tc>
          <w:tcPr>
            <w:tcW w:w="2133" w:type="pct"/>
            <w:shd w:val="clear" w:color="auto" w:fill="auto"/>
          </w:tcPr>
          <w:p w14:paraId="56FF362D" w14:textId="77777777" w:rsidR="00FE56ED" w:rsidRPr="00265C4A" w:rsidRDefault="00FE56ED" w:rsidP="009D0073">
            <w:pPr>
              <w:spacing w:line="480" w:lineRule="auto"/>
              <w:rPr>
                <w:rFonts w:ascii="Arial" w:hAnsi="Arial" w:cs="Arial"/>
                <w:b/>
                <w:sz w:val="20"/>
                <w:szCs w:val="20"/>
                <w:lang w:val="en-US"/>
              </w:rPr>
            </w:pPr>
            <w:r w:rsidRPr="00265C4A">
              <w:rPr>
                <w:rFonts w:ascii="Arial" w:hAnsi="Arial" w:cs="Arial"/>
                <w:sz w:val="20"/>
                <w:szCs w:val="20"/>
                <w:lang w:val="en-US"/>
              </w:rPr>
              <w:t>Fibrinogen lower CI using ECLIPSE data</w:t>
            </w:r>
          </w:p>
        </w:tc>
        <w:tc>
          <w:tcPr>
            <w:tcW w:w="602" w:type="pct"/>
            <w:shd w:val="clear" w:color="auto" w:fill="auto"/>
          </w:tcPr>
          <w:p w14:paraId="17CE35AA"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0.394</w:t>
            </w:r>
          </w:p>
        </w:tc>
        <w:tc>
          <w:tcPr>
            <w:tcW w:w="658" w:type="pct"/>
            <w:shd w:val="clear" w:color="auto" w:fill="auto"/>
          </w:tcPr>
          <w:p w14:paraId="5CED8203"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0.445</w:t>
            </w:r>
          </w:p>
        </w:tc>
        <w:tc>
          <w:tcPr>
            <w:tcW w:w="931" w:type="pct"/>
            <w:shd w:val="clear" w:color="auto" w:fill="auto"/>
          </w:tcPr>
          <w:p w14:paraId="1EA1A354"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−£878</w:t>
            </w:r>
          </w:p>
        </w:tc>
        <w:tc>
          <w:tcPr>
            <w:tcW w:w="676" w:type="pct"/>
            <w:shd w:val="clear" w:color="auto" w:fill="auto"/>
          </w:tcPr>
          <w:p w14:paraId="3A03991E" w14:textId="77777777" w:rsidR="00FE56ED" w:rsidRPr="000A2F06" w:rsidRDefault="00FE56ED" w:rsidP="009D0073">
            <w:pPr>
              <w:spacing w:line="480" w:lineRule="auto"/>
              <w:jc w:val="center"/>
              <w:rPr>
                <w:rFonts w:ascii="Arial" w:hAnsi="Arial" w:cs="Arial"/>
                <w:sz w:val="20"/>
                <w:szCs w:val="20"/>
                <w:lang w:val="en-US"/>
              </w:rPr>
            </w:pPr>
            <w:r w:rsidRPr="000A2F06">
              <w:rPr>
                <w:rFonts w:ascii="Arial" w:hAnsi="Arial" w:cs="Arial"/>
                <w:sz w:val="20"/>
                <w:szCs w:val="20"/>
                <w:lang w:val="en-US"/>
              </w:rPr>
              <w:t>Dominant</w:t>
            </w:r>
          </w:p>
        </w:tc>
      </w:tr>
      <w:tr w:rsidR="00FE56ED" w:rsidRPr="00265C4A" w14:paraId="47BFA57B" w14:textId="77777777" w:rsidTr="009D0073">
        <w:tc>
          <w:tcPr>
            <w:tcW w:w="2133" w:type="pct"/>
            <w:shd w:val="clear" w:color="auto" w:fill="auto"/>
          </w:tcPr>
          <w:p w14:paraId="60E38B18" w14:textId="77777777" w:rsidR="00FE56ED" w:rsidRPr="00265C4A" w:rsidRDefault="00FE56ED" w:rsidP="009D0073">
            <w:pPr>
              <w:spacing w:line="480" w:lineRule="auto"/>
              <w:rPr>
                <w:rFonts w:ascii="Arial" w:hAnsi="Arial" w:cs="Arial"/>
                <w:b/>
                <w:sz w:val="20"/>
                <w:szCs w:val="20"/>
                <w:lang w:val="en-US"/>
              </w:rPr>
            </w:pPr>
            <w:r w:rsidRPr="00265C4A">
              <w:rPr>
                <w:rFonts w:ascii="Arial" w:hAnsi="Arial" w:cs="Arial"/>
                <w:sz w:val="20"/>
                <w:szCs w:val="20"/>
                <w:lang w:val="en-US"/>
              </w:rPr>
              <w:t>Fibrinogen upper CI using ECLIPSE data</w:t>
            </w:r>
          </w:p>
        </w:tc>
        <w:tc>
          <w:tcPr>
            <w:tcW w:w="602" w:type="pct"/>
            <w:shd w:val="clear" w:color="auto" w:fill="auto"/>
          </w:tcPr>
          <w:p w14:paraId="145C11DB"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0.391</w:t>
            </w:r>
          </w:p>
        </w:tc>
        <w:tc>
          <w:tcPr>
            <w:tcW w:w="658" w:type="pct"/>
            <w:shd w:val="clear" w:color="auto" w:fill="auto"/>
          </w:tcPr>
          <w:p w14:paraId="2B25B4E2"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0.441</w:t>
            </w:r>
          </w:p>
        </w:tc>
        <w:tc>
          <w:tcPr>
            <w:tcW w:w="931" w:type="pct"/>
            <w:shd w:val="clear" w:color="auto" w:fill="auto"/>
          </w:tcPr>
          <w:p w14:paraId="60991006"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−£859</w:t>
            </w:r>
          </w:p>
        </w:tc>
        <w:tc>
          <w:tcPr>
            <w:tcW w:w="676" w:type="pct"/>
            <w:shd w:val="clear" w:color="auto" w:fill="auto"/>
          </w:tcPr>
          <w:p w14:paraId="6B08B2C8" w14:textId="77777777" w:rsidR="00FE56ED" w:rsidRPr="000A2F06" w:rsidRDefault="00FE56ED" w:rsidP="009D0073">
            <w:pPr>
              <w:spacing w:line="480" w:lineRule="auto"/>
              <w:jc w:val="center"/>
              <w:rPr>
                <w:rFonts w:ascii="Arial" w:hAnsi="Arial" w:cs="Arial"/>
                <w:sz w:val="20"/>
                <w:szCs w:val="20"/>
                <w:lang w:val="en-US"/>
              </w:rPr>
            </w:pPr>
            <w:r w:rsidRPr="000A2F06">
              <w:rPr>
                <w:rFonts w:ascii="Arial" w:hAnsi="Arial" w:cs="Arial"/>
                <w:sz w:val="20"/>
                <w:szCs w:val="20"/>
                <w:lang w:val="en-US"/>
              </w:rPr>
              <w:t>Dominant</w:t>
            </w:r>
          </w:p>
        </w:tc>
      </w:tr>
      <w:tr w:rsidR="00FE56ED" w:rsidRPr="00265C4A" w14:paraId="32CB7AF3" w14:textId="77777777" w:rsidTr="009D0073">
        <w:tc>
          <w:tcPr>
            <w:tcW w:w="2133" w:type="pct"/>
            <w:shd w:val="clear" w:color="auto" w:fill="auto"/>
          </w:tcPr>
          <w:p w14:paraId="1E3C3F38" w14:textId="77777777" w:rsidR="00FE56ED" w:rsidRPr="00265C4A" w:rsidRDefault="00FE56ED" w:rsidP="009D0073">
            <w:pPr>
              <w:spacing w:line="480" w:lineRule="auto"/>
              <w:rPr>
                <w:rFonts w:ascii="Arial" w:hAnsi="Arial" w:cs="Arial"/>
                <w:b/>
                <w:sz w:val="20"/>
                <w:szCs w:val="20"/>
                <w:lang w:val="en-US"/>
              </w:rPr>
            </w:pPr>
            <w:r w:rsidRPr="00265C4A">
              <w:rPr>
                <w:rFonts w:ascii="Arial" w:hAnsi="Arial" w:cs="Arial"/>
                <w:sz w:val="20"/>
                <w:szCs w:val="20"/>
                <w:lang w:val="en-US"/>
              </w:rPr>
              <w:t>6MWT lower CI using ECLIPSE data</w:t>
            </w:r>
          </w:p>
        </w:tc>
        <w:tc>
          <w:tcPr>
            <w:tcW w:w="602" w:type="pct"/>
            <w:shd w:val="clear" w:color="auto" w:fill="auto"/>
          </w:tcPr>
          <w:p w14:paraId="08521187"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0.392</w:t>
            </w:r>
          </w:p>
        </w:tc>
        <w:tc>
          <w:tcPr>
            <w:tcW w:w="658" w:type="pct"/>
            <w:shd w:val="clear" w:color="auto" w:fill="auto"/>
          </w:tcPr>
          <w:p w14:paraId="4F7714C6"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0.443</w:t>
            </w:r>
          </w:p>
        </w:tc>
        <w:tc>
          <w:tcPr>
            <w:tcW w:w="931" w:type="pct"/>
            <w:shd w:val="clear" w:color="auto" w:fill="auto"/>
          </w:tcPr>
          <w:p w14:paraId="2664DAA1"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−£856</w:t>
            </w:r>
          </w:p>
        </w:tc>
        <w:tc>
          <w:tcPr>
            <w:tcW w:w="676" w:type="pct"/>
            <w:shd w:val="clear" w:color="auto" w:fill="auto"/>
          </w:tcPr>
          <w:p w14:paraId="06241F25" w14:textId="77777777" w:rsidR="00FE56ED" w:rsidRPr="000A2F06" w:rsidRDefault="00FE56ED" w:rsidP="009D0073">
            <w:pPr>
              <w:spacing w:line="480" w:lineRule="auto"/>
              <w:jc w:val="center"/>
              <w:rPr>
                <w:rFonts w:ascii="Arial" w:hAnsi="Arial" w:cs="Arial"/>
                <w:sz w:val="20"/>
                <w:szCs w:val="20"/>
                <w:lang w:val="en-US"/>
              </w:rPr>
            </w:pPr>
            <w:r w:rsidRPr="000A2F06">
              <w:rPr>
                <w:rFonts w:ascii="Arial" w:hAnsi="Arial" w:cs="Arial"/>
                <w:sz w:val="20"/>
                <w:szCs w:val="20"/>
                <w:lang w:val="en-US"/>
              </w:rPr>
              <w:t>Dominant</w:t>
            </w:r>
          </w:p>
        </w:tc>
      </w:tr>
      <w:tr w:rsidR="00FE56ED" w:rsidRPr="00265C4A" w14:paraId="761543B8" w14:textId="77777777" w:rsidTr="009D0073">
        <w:tc>
          <w:tcPr>
            <w:tcW w:w="2133" w:type="pct"/>
            <w:shd w:val="clear" w:color="auto" w:fill="auto"/>
          </w:tcPr>
          <w:p w14:paraId="43389212" w14:textId="77777777" w:rsidR="00FE56ED" w:rsidRPr="00265C4A" w:rsidRDefault="00FE56ED" w:rsidP="009D0073">
            <w:pPr>
              <w:spacing w:line="480" w:lineRule="auto"/>
              <w:rPr>
                <w:rFonts w:ascii="Arial" w:hAnsi="Arial" w:cs="Arial"/>
                <w:b/>
                <w:sz w:val="20"/>
                <w:szCs w:val="20"/>
                <w:lang w:val="en-US"/>
              </w:rPr>
            </w:pPr>
            <w:r w:rsidRPr="00265C4A">
              <w:rPr>
                <w:rFonts w:ascii="Arial" w:hAnsi="Arial" w:cs="Arial"/>
                <w:sz w:val="20"/>
                <w:szCs w:val="20"/>
                <w:lang w:val="en-US"/>
              </w:rPr>
              <w:t>6MWT upper CI using ECLIPSE data</w:t>
            </w:r>
          </w:p>
        </w:tc>
        <w:tc>
          <w:tcPr>
            <w:tcW w:w="602" w:type="pct"/>
            <w:shd w:val="clear" w:color="auto" w:fill="auto"/>
          </w:tcPr>
          <w:p w14:paraId="6C48958D"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0.393</w:t>
            </w:r>
          </w:p>
        </w:tc>
        <w:tc>
          <w:tcPr>
            <w:tcW w:w="658" w:type="pct"/>
            <w:shd w:val="clear" w:color="auto" w:fill="auto"/>
          </w:tcPr>
          <w:p w14:paraId="379E3A55"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0.443</w:t>
            </w:r>
          </w:p>
        </w:tc>
        <w:tc>
          <w:tcPr>
            <w:tcW w:w="931" w:type="pct"/>
            <w:shd w:val="clear" w:color="auto" w:fill="auto"/>
          </w:tcPr>
          <w:p w14:paraId="4C30AF50"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−£880</w:t>
            </w:r>
          </w:p>
        </w:tc>
        <w:tc>
          <w:tcPr>
            <w:tcW w:w="676" w:type="pct"/>
            <w:shd w:val="clear" w:color="auto" w:fill="auto"/>
          </w:tcPr>
          <w:p w14:paraId="02C26124" w14:textId="77777777" w:rsidR="00FE56ED" w:rsidRPr="000A2F06" w:rsidRDefault="00FE56ED" w:rsidP="009D0073">
            <w:pPr>
              <w:spacing w:line="480" w:lineRule="auto"/>
              <w:jc w:val="center"/>
              <w:rPr>
                <w:rFonts w:ascii="Arial" w:hAnsi="Arial" w:cs="Arial"/>
                <w:sz w:val="20"/>
                <w:szCs w:val="20"/>
                <w:lang w:val="en-US"/>
              </w:rPr>
            </w:pPr>
            <w:r w:rsidRPr="000A2F06">
              <w:rPr>
                <w:rFonts w:ascii="Arial" w:hAnsi="Arial" w:cs="Arial"/>
                <w:sz w:val="20"/>
                <w:szCs w:val="20"/>
                <w:lang w:val="en-US"/>
              </w:rPr>
              <w:t>Dominant</w:t>
            </w:r>
          </w:p>
        </w:tc>
      </w:tr>
      <w:tr w:rsidR="00FE56ED" w:rsidRPr="00265C4A" w14:paraId="306D1BE0" w14:textId="77777777" w:rsidTr="009D0073">
        <w:tc>
          <w:tcPr>
            <w:tcW w:w="2133" w:type="pct"/>
            <w:shd w:val="clear" w:color="auto" w:fill="auto"/>
          </w:tcPr>
          <w:p w14:paraId="28D3D90B" w14:textId="77777777" w:rsidR="00FE56ED" w:rsidRPr="00265C4A" w:rsidRDefault="00FE56ED" w:rsidP="009D0073">
            <w:pPr>
              <w:spacing w:line="480" w:lineRule="auto"/>
              <w:rPr>
                <w:rFonts w:ascii="Arial" w:hAnsi="Arial" w:cs="Arial"/>
                <w:b/>
                <w:sz w:val="20"/>
                <w:szCs w:val="20"/>
                <w:lang w:val="en-US"/>
              </w:rPr>
            </w:pPr>
            <w:r w:rsidRPr="00265C4A">
              <w:rPr>
                <w:rFonts w:ascii="Arial" w:hAnsi="Arial" w:cs="Arial"/>
                <w:sz w:val="20"/>
                <w:szCs w:val="20"/>
                <w:lang w:val="en-US"/>
              </w:rPr>
              <w:t>mMRC −25%</w:t>
            </w:r>
          </w:p>
        </w:tc>
        <w:tc>
          <w:tcPr>
            <w:tcW w:w="602" w:type="pct"/>
            <w:shd w:val="clear" w:color="auto" w:fill="auto"/>
          </w:tcPr>
          <w:p w14:paraId="623A3477"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0.398</w:t>
            </w:r>
          </w:p>
        </w:tc>
        <w:tc>
          <w:tcPr>
            <w:tcW w:w="658" w:type="pct"/>
            <w:shd w:val="clear" w:color="auto" w:fill="auto"/>
          </w:tcPr>
          <w:p w14:paraId="6DFB9F48"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0.447</w:t>
            </w:r>
          </w:p>
        </w:tc>
        <w:tc>
          <w:tcPr>
            <w:tcW w:w="931" w:type="pct"/>
            <w:shd w:val="clear" w:color="auto" w:fill="auto"/>
          </w:tcPr>
          <w:p w14:paraId="691A7621"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−£878</w:t>
            </w:r>
          </w:p>
        </w:tc>
        <w:tc>
          <w:tcPr>
            <w:tcW w:w="676" w:type="pct"/>
            <w:shd w:val="clear" w:color="auto" w:fill="auto"/>
          </w:tcPr>
          <w:p w14:paraId="3732BC43" w14:textId="77777777" w:rsidR="00FE56ED" w:rsidRPr="000A2F06" w:rsidRDefault="00FE56ED" w:rsidP="009D0073">
            <w:pPr>
              <w:spacing w:line="480" w:lineRule="auto"/>
              <w:jc w:val="center"/>
              <w:rPr>
                <w:rFonts w:ascii="Arial" w:hAnsi="Arial" w:cs="Arial"/>
                <w:sz w:val="20"/>
                <w:szCs w:val="20"/>
                <w:lang w:val="en-US"/>
              </w:rPr>
            </w:pPr>
            <w:r w:rsidRPr="000A2F06">
              <w:rPr>
                <w:rFonts w:ascii="Arial" w:hAnsi="Arial" w:cs="Arial"/>
                <w:sz w:val="20"/>
                <w:szCs w:val="20"/>
                <w:lang w:val="en-US"/>
              </w:rPr>
              <w:t>Dominant</w:t>
            </w:r>
          </w:p>
        </w:tc>
      </w:tr>
      <w:tr w:rsidR="00FE56ED" w:rsidRPr="00265C4A" w14:paraId="0290B2E3" w14:textId="77777777" w:rsidTr="009D0073">
        <w:tc>
          <w:tcPr>
            <w:tcW w:w="2133" w:type="pct"/>
            <w:shd w:val="clear" w:color="auto" w:fill="auto"/>
          </w:tcPr>
          <w:p w14:paraId="64D3296E" w14:textId="77777777" w:rsidR="00FE56ED" w:rsidRPr="00265C4A" w:rsidRDefault="00FE56ED" w:rsidP="009D0073">
            <w:pPr>
              <w:spacing w:line="480" w:lineRule="auto"/>
              <w:rPr>
                <w:rFonts w:ascii="Arial" w:hAnsi="Arial" w:cs="Arial"/>
                <w:b/>
                <w:sz w:val="20"/>
                <w:szCs w:val="20"/>
                <w:lang w:val="en-US"/>
              </w:rPr>
            </w:pPr>
            <w:r w:rsidRPr="00265C4A">
              <w:rPr>
                <w:rFonts w:ascii="Arial" w:hAnsi="Arial" w:cs="Arial"/>
                <w:sz w:val="20"/>
                <w:szCs w:val="20"/>
                <w:lang w:val="en-US"/>
              </w:rPr>
              <w:t>mMRC +25%</w:t>
            </w:r>
          </w:p>
        </w:tc>
        <w:tc>
          <w:tcPr>
            <w:tcW w:w="602" w:type="pct"/>
            <w:shd w:val="clear" w:color="auto" w:fill="auto"/>
          </w:tcPr>
          <w:p w14:paraId="13E93EA0"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0.387</w:t>
            </w:r>
          </w:p>
        </w:tc>
        <w:tc>
          <w:tcPr>
            <w:tcW w:w="658" w:type="pct"/>
            <w:shd w:val="clear" w:color="auto" w:fill="auto"/>
          </w:tcPr>
          <w:p w14:paraId="7614358C"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0.438</w:t>
            </w:r>
          </w:p>
        </w:tc>
        <w:tc>
          <w:tcPr>
            <w:tcW w:w="931" w:type="pct"/>
            <w:shd w:val="clear" w:color="auto" w:fill="auto"/>
          </w:tcPr>
          <w:p w14:paraId="00572942"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−£860</w:t>
            </w:r>
          </w:p>
        </w:tc>
        <w:tc>
          <w:tcPr>
            <w:tcW w:w="676" w:type="pct"/>
            <w:shd w:val="clear" w:color="auto" w:fill="auto"/>
          </w:tcPr>
          <w:p w14:paraId="2AD683F2" w14:textId="77777777" w:rsidR="00FE56ED" w:rsidRPr="000A2F06" w:rsidRDefault="00FE56ED" w:rsidP="009D0073">
            <w:pPr>
              <w:spacing w:line="480" w:lineRule="auto"/>
              <w:jc w:val="center"/>
              <w:rPr>
                <w:rFonts w:ascii="Arial" w:hAnsi="Arial" w:cs="Arial"/>
                <w:sz w:val="20"/>
                <w:szCs w:val="20"/>
                <w:lang w:val="en-US"/>
              </w:rPr>
            </w:pPr>
            <w:r w:rsidRPr="000A2F06">
              <w:rPr>
                <w:rFonts w:ascii="Arial" w:hAnsi="Arial" w:cs="Arial"/>
                <w:sz w:val="20"/>
                <w:szCs w:val="20"/>
                <w:lang w:val="en-US"/>
              </w:rPr>
              <w:t>Dominant</w:t>
            </w:r>
          </w:p>
        </w:tc>
      </w:tr>
      <w:tr w:rsidR="00FE56ED" w:rsidRPr="00265C4A" w14:paraId="0D2B8551" w14:textId="77777777" w:rsidTr="009D0073">
        <w:trPr>
          <w:trHeight w:val="426"/>
        </w:trPr>
        <w:tc>
          <w:tcPr>
            <w:tcW w:w="5000" w:type="pct"/>
            <w:gridSpan w:val="5"/>
            <w:shd w:val="clear" w:color="auto" w:fill="auto"/>
            <w:vAlign w:val="center"/>
          </w:tcPr>
          <w:p w14:paraId="042B5369" w14:textId="77777777" w:rsidR="00FE56ED" w:rsidRPr="00265C4A" w:rsidRDefault="00FE56ED" w:rsidP="009D0073">
            <w:pPr>
              <w:spacing w:line="480" w:lineRule="auto"/>
              <w:rPr>
                <w:rFonts w:ascii="Arial" w:hAnsi="Arial" w:cs="Arial"/>
                <w:b/>
                <w:bCs/>
                <w:sz w:val="20"/>
                <w:szCs w:val="20"/>
                <w:lang w:val="en-US"/>
              </w:rPr>
            </w:pPr>
            <w:r w:rsidRPr="00265C4A">
              <w:rPr>
                <w:rFonts w:ascii="Arial" w:hAnsi="Arial" w:cs="Arial"/>
                <w:b/>
                <w:bCs/>
                <w:sz w:val="20"/>
                <w:szCs w:val="20"/>
                <w:lang w:val="en-US"/>
              </w:rPr>
              <w:t>Treatment effects (FF/UMEC/VI versus TIO)</w:t>
            </w:r>
          </w:p>
        </w:tc>
      </w:tr>
      <w:tr w:rsidR="00FE56ED" w:rsidRPr="00265C4A" w14:paraId="3E5C47C6" w14:textId="77777777" w:rsidTr="009D0073">
        <w:tc>
          <w:tcPr>
            <w:tcW w:w="2133" w:type="pct"/>
            <w:shd w:val="clear" w:color="auto" w:fill="auto"/>
          </w:tcPr>
          <w:p w14:paraId="59A6384D" w14:textId="77777777" w:rsidR="00FE56ED" w:rsidRPr="00265C4A" w:rsidRDefault="00FE56ED" w:rsidP="009D0073">
            <w:pPr>
              <w:spacing w:line="480" w:lineRule="auto"/>
              <w:rPr>
                <w:rFonts w:ascii="Arial" w:hAnsi="Arial" w:cs="Arial"/>
                <w:b/>
                <w:sz w:val="20"/>
                <w:szCs w:val="20"/>
                <w:lang w:val="en-US"/>
              </w:rPr>
            </w:pPr>
            <w:r w:rsidRPr="00265C4A">
              <w:rPr>
                <w:rFonts w:ascii="Arial" w:hAnsi="Arial" w:cs="Arial"/>
                <w:sz w:val="20"/>
                <w:szCs w:val="20"/>
                <w:lang w:val="en-US"/>
              </w:rPr>
              <w:t>FEV</w:t>
            </w:r>
            <w:r w:rsidRPr="00265C4A">
              <w:rPr>
                <w:rFonts w:ascii="Arial" w:hAnsi="Arial" w:cs="Arial"/>
                <w:sz w:val="20"/>
                <w:szCs w:val="20"/>
                <w:vertAlign w:val="subscript"/>
                <w:lang w:val="en-US"/>
              </w:rPr>
              <w:t>1</w:t>
            </w:r>
            <w:r w:rsidRPr="00265C4A">
              <w:rPr>
                <w:rFonts w:ascii="Arial" w:hAnsi="Arial" w:cs="Arial"/>
                <w:sz w:val="20"/>
                <w:szCs w:val="20"/>
                <w:lang w:val="en-US"/>
              </w:rPr>
              <w:t xml:space="preserve"> lower CI</w:t>
            </w:r>
          </w:p>
        </w:tc>
        <w:tc>
          <w:tcPr>
            <w:tcW w:w="602" w:type="pct"/>
            <w:shd w:val="clear" w:color="auto" w:fill="auto"/>
          </w:tcPr>
          <w:p w14:paraId="58CAC248"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0.256</w:t>
            </w:r>
          </w:p>
        </w:tc>
        <w:tc>
          <w:tcPr>
            <w:tcW w:w="658" w:type="pct"/>
            <w:shd w:val="clear" w:color="auto" w:fill="auto"/>
          </w:tcPr>
          <w:p w14:paraId="758C3512"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0.386</w:t>
            </w:r>
          </w:p>
        </w:tc>
        <w:tc>
          <w:tcPr>
            <w:tcW w:w="931" w:type="pct"/>
            <w:shd w:val="clear" w:color="auto" w:fill="auto"/>
          </w:tcPr>
          <w:p w14:paraId="1EDCE97B"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−£310</w:t>
            </w:r>
          </w:p>
        </w:tc>
        <w:tc>
          <w:tcPr>
            <w:tcW w:w="676" w:type="pct"/>
            <w:shd w:val="clear" w:color="auto" w:fill="auto"/>
          </w:tcPr>
          <w:p w14:paraId="1BF5C391" w14:textId="77777777" w:rsidR="00FE56ED" w:rsidRPr="000A2F06" w:rsidRDefault="00FE56ED" w:rsidP="009D0073">
            <w:pPr>
              <w:spacing w:line="480" w:lineRule="auto"/>
              <w:jc w:val="center"/>
              <w:rPr>
                <w:rFonts w:ascii="Arial" w:hAnsi="Arial" w:cs="Arial"/>
                <w:sz w:val="20"/>
                <w:szCs w:val="20"/>
                <w:lang w:val="en-US"/>
              </w:rPr>
            </w:pPr>
            <w:r w:rsidRPr="000A2F06">
              <w:rPr>
                <w:rFonts w:ascii="Arial" w:hAnsi="Arial" w:cs="Arial"/>
                <w:sz w:val="20"/>
                <w:szCs w:val="20"/>
                <w:lang w:val="en-US"/>
              </w:rPr>
              <w:t>Dominant</w:t>
            </w:r>
          </w:p>
        </w:tc>
      </w:tr>
      <w:tr w:rsidR="00FE56ED" w:rsidRPr="00265C4A" w14:paraId="101EBE8A" w14:textId="77777777" w:rsidTr="009D0073">
        <w:tc>
          <w:tcPr>
            <w:tcW w:w="2133" w:type="pct"/>
            <w:shd w:val="clear" w:color="auto" w:fill="auto"/>
          </w:tcPr>
          <w:p w14:paraId="753A564F" w14:textId="77777777" w:rsidR="00FE56ED" w:rsidRPr="00265C4A" w:rsidRDefault="00FE56ED" w:rsidP="009D0073">
            <w:pPr>
              <w:spacing w:line="480" w:lineRule="auto"/>
              <w:rPr>
                <w:rFonts w:ascii="Arial" w:hAnsi="Arial" w:cs="Arial"/>
                <w:b/>
                <w:sz w:val="20"/>
                <w:szCs w:val="20"/>
                <w:lang w:val="en-US"/>
              </w:rPr>
            </w:pPr>
            <w:r w:rsidRPr="00265C4A">
              <w:rPr>
                <w:rFonts w:ascii="Arial" w:hAnsi="Arial" w:cs="Arial"/>
                <w:sz w:val="20"/>
                <w:szCs w:val="20"/>
                <w:lang w:val="en-US"/>
              </w:rPr>
              <w:t>FEV</w:t>
            </w:r>
            <w:r w:rsidRPr="00265C4A">
              <w:rPr>
                <w:rFonts w:ascii="Arial" w:hAnsi="Arial" w:cs="Arial"/>
                <w:sz w:val="20"/>
                <w:szCs w:val="20"/>
                <w:vertAlign w:val="subscript"/>
                <w:lang w:val="en-US"/>
              </w:rPr>
              <w:t>1</w:t>
            </w:r>
            <w:r w:rsidRPr="00265C4A">
              <w:rPr>
                <w:rFonts w:ascii="Arial" w:hAnsi="Arial" w:cs="Arial"/>
                <w:sz w:val="20"/>
                <w:szCs w:val="20"/>
                <w:lang w:val="en-US"/>
              </w:rPr>
              <w:t xml:space="preserve"> upper CI</w:t>
            </w:r>
          </w:p>
        </w:tc>
        <w:tc>
          <w:tcPr>
            <w:tcW w:w="602" w:type="pct"/>
            <w:shd w:val="clear" w:color="auto" w:fill="auto"/>
          </w:tcPr>
          <w:p w14:paraId="5A0E1DAB"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0.530</w:t>
            </w:r>
          </w:p>
        </w:tc>
        <w:tc>
          <w:tcPr>
            <w:tcW w:w="658" w:type="pct"/>
            <w:shd w:val="clear" w:color="auto" w:fill="auto"/>
          </w:tcPr>
          <w:p w14:paraId="6A950475"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0.500</w:t>
            </w:r>
          </w:p>
        </w:tc>
        <w:tc>
          <w:tcPr>
            <w:tcW w:w="931" w:type="pct"/>
            <w:shd w:val="clear" w:color="auto" w:fill="auto"/>
          </w:tcPr>
          <w:p w14:paraId="71D8E673"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−£1378</w:t>
            </w:r>
          </w:p>
        </w:tc>
        <w:tc>
          <w:tcPr>
            <w:tcW w:w="676" w:type="pct"/>
            <w:shd w:val="clear" w:color="auto" w:fill="auto"/>
          </w:tcPr>
          <w:p w14:paraId="290DC3D6" w14:textId="77777777" w:rsidR="00FE56ED" w:rsidRPr="000A2F06" w:rsidRDefault="00FE56ED" w:rsidP="009D0073">
            <w:pPr>
              <w:spacing w:line="480" w:lineRule="auto"/>
              <w:jc w:val="center"/>
              <w:rPr>
                <w:rFonts w:ascii="Arial" w:hAnsi="Arial" w:cs="Arial"/>
                <w:sz w:val="20"/>
                <w:szCs w:val="20"/>
                <w:lang w:val="en-US"/>
              </w:rPr>
            </w:pPr>
            <w:r w:rsidRPr="000A2F06">
              <w:rPr>
                <w:rFonts w:ascii="Arial" w:hAnsi="Arial" w:cs="Arial"/>
                <w:sz w:val="20"/>
                <w:szCs w:val="20"/>
                <w:lang w:val="en-US"/>
              </w:rPr>
              <w:t>Dominant</w:t>
            </w:r>
          </w:p>
        </w:tc>
      </w:tr>
      <w:tr w:rsidR="00FE56ED" w:rsidRPr="00265C4A" w14:paraId="19F59075" w14:textId="77777777" w:rsidTr="009D0073">
        <w:tc>
          <w:tcPr>
            <w:tcW w:w="2133" w:type="pct"/>
            <w:shd w:val="clear" w:color="auto" w:fill="auto"/>
          </w:tcPr>
          <w:p w14:paraId="068066CA" w14:textId="77777777" w:rsidR="00FE56ED" w:rsidRPr="00265C4A" w:rsidRDefault="00FE56ED" w:rsidP="009D0073">
            <w:pPr>
              <w:spacing w:line="480" w:lineRule="auto"/>
              <w:rPr>
                <w:rFonts w:ascii="Arial" w:hAnsi="Arial" w:cs="Arial"/>
                <w:b/>
                <w:sz w:val="20"/>
                <w:szCs w:val="20"/>
                <w:lang w:val="en-US"/>
              </w:rPr>
            </w:pPr>
            <w:r w:rsidRPr="00265C4A">
              <w:rPr>
                <w:rFonts w:ascii="Arial" w:hAnsi="Arial" w:cs="Arial"/>
                <w:sz w:val="20"/>
                <w:szCs w:val="20"/>
                <w:lang w:val="en-US"/>
              </w:rPr>
              <w:t xml:space="preserve">SGRQ lower CI </w:t>
            </w:r>
          </w:p>
        </w:tc>
        <w:tc>
          <w:tcPr>
            <w:tcW w:w="602" w:type="pct"/>
            <w:shd w:val="clear" w:color="auto" w:fill="auto"/>
          </w:tcPr>
          <w:p w14:paraId="06F3FEC5"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0.393</w:t>
            </w:r>
          </w:p>
        </w:tc>
        <w:tc>
          <w:tcPr>
            <w:tcW w:w="658" w:type="pct"/>
            <w:shd w:val="clear" w:color="auto" w:fill="auto"/>
          </w:tcPr>
          <w:p w14:paraId="5981858F"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0.282</w:t>
            </w:r>
          </w:p>
        </w:tc>
        <w:tc>
          <w:tcPr>
            <w:tcW w:w="931" w:type="pct"/>
            <w:shd w:val="clear" w:color="auto" w:fill="auto"/>
          </w:tcPr>
          <w:p w14:paraId="58EDAF6A"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−£880</w:t>
            </w:r>
          </w:p>
        </w:tc>
        <w:tc>
          <w:tcPr>
            <w:tcW w:w="676" w:type="pct"/>
            <w:shd w:val="clear" w:color="auto" w:fill="auto"/>
          </w:tcPr>
          <w:p w14:paraId="316F6800" w14:textId="77777777" w:rsidR="00FE56ED" w:rsidRPr="000A2F06" w:rsidRDefault="00FE56ED" w:rsidP="009D0073">
            <w:pPr>
              <w:spacing w:line="480" w:lineRule="auto"/>
              <w:jc w:val="center"/>
              <w:rPr>
                <w:rFonts w:ascii="Arial" w:hAnsi="Arial" w:cs="Arial"/>
                <w:sz w:val="20"/>
                <w:szCs w:val="20"/>
                <w:lang w:val="en-US"/>
              </w:rPr>
            </w:pPr>
            <w:r w:rsidRPr="000A2F06">
              <w:rPr>
                <w:rFonts w:ascii="Arial" w:hAnsi="Arial" w:cs="Arial"/>
                <w:sz w:val="20"/>
                <w:szCs w:val="20"/>
                <w:lang w:val="en-US"/>
              </w:rPr>
              <w:t>Dominant</w:t>
            </w:r>
          </w:p>
        </w:tc>
      </w:tr>
      <w:tr w:rsidR="00FE56ED" w:rsidRPr="00265C4A" w14:paraId="297FB2B0" w14:textId="77777777" w:rsidTr="009D0073">
        <w:tc>
          <w:tcPr>
            <w:tcW w:w="2133" w:type="pct"/>
            <w:shd w:val="clear" w:color="auto" w:fill="auto"/>
          </w:tcPr>
          <w:p w14:paraId="7CB3A4C7" w14:textId="77777777" w:rsidR="00FE56ED" w:rsidRPr="00265C4A" w:rsidRDefault="00FE56ED" w:rsidP="009D0073">
            <w:pPr>
              <w:spacing w:line="480" w:lineRule="auto"/>
              <w:rPr>
                <w:rFonts w:ascii="Arial" w:hAnsi="Arial" w:cs="Arial"/>
                <w:b/>
                <w:sz w:val="20"/>
                <w:szCs w:val="20"/>
                <w:lang w:val="en-US"/>
              </w:rPr>
            </w:pPr>
            <w:r w:rsidRPr="00265C4A">
              <w:rPr>
                <w:rFonts w:ascii="Arial" w:hAnsi="Arial" w:cs="Arial"/>
                <w:sz w:val="20"/>
                <w:szCs w:val="20"/>
                <w:lang w:val="en-US"/>
              </w:rPr>
              <w:t xml:space="preserve">SGRQ upper CI </w:t>
            </w:r>
          </w:p>
        </w:tc>
        <w:tc>
          <w:tcPr>
            <w:tcW w:w="602" w:type="pct"/>
            <w:shd w:val="clear" w:color="auto" w:fill="auto"/>
          </w:tcPr>
          <w:p w14:paraId="12C5630D"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0.393</w:t>
            </w:r>
          </w:p>
        </w:tc>
        <w:tc>
          <w:tcPr>
            <w:tcW w:w="658" w:type="pct"/>
            <w:shd w:val="clear" w:color="auto" w:fill="auto"/>
          </w:tcPr>
          <w:p w14:paraId="3975ADD5"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0.598</w:t>
            </w:r>
          </w:p>
        </w:tc>
        <w:tc>
          <w:tcPr>
            <w:tcW w:w="931" w:type="pct"/>
            <w:shd w:val="clear" w:color="auto" w:fill="auto"/>
          </w:tcPr>
          <w:p w14:paraId="729AA27C" w14:textId="77777777" w:rsidR="00FE56ED" w:rsidRPr="00265C4A" w:rsidRDefault="00FE56ED" w:rsidP="009D0073">
            <w:pPr>
              <w:spacing w:line="480" w:lineRule="auto"/>
              <w:jc w:val="center"/>
              <w:rPr>
                <w:rFonts w:ascii="Arial" w:hAnsi="Arial" w:cs="Arial"/>
                <w:b/>
                <w:sz w:val="20"/>
                <w:szCs w:val="20"/>
                <w:lang w:val="en-US"/>
              </w:rPr>
            </w:pPr>
            <w:r w:rsidRPr="00265C4A">
              <w:rPr>
                <w:rFonts w:ascii="Arial" w:hAnsi="Arial" w:cs="Arial"/>
                <w:sz w:val="20"/>
                <w:szCs w:val="20"/>
                <w:lang w:val="en-US"/>
              </w:rPr>
              <w:t>−£880</w:t>
            </w:r>
          </w:p>
        </w:tc>
        <w:tc>
          <w:tcPr>
            <w:tcW w:w="676" w:type="pct"/>
            <w:shd w:val="clear" w:color="auto" w:fill="auto"/>
          </w:tcPr>
          <w:p w14:paraId="315874A5" w14:textId="77777777" w:rsidR="00FE56ED" w:rsidRPr="000A2F06" w:rsidRDefault="00FE56ED" w:rsidP="009D0073">
            <w:pPr>
              <w:spacing w:line="480" w:lineRule="auto"/>
              <w:jc w:val="center"/>
              <w:rPr>
                <w:rFonts w:ascii="Arial" w:hAnsi="Arial" w:cs="Arial"/>
                <w:sz w:val="20"/>
                <w:szCs w:val="20"/>
                <w:lang w:val="en-US"/>
              </w:rPr>
            </w:pPr>
            <w:r w:rsidRPr="000A2F06">
              <w:rPr>
                <w:rFonts w:ascii="Arial" w:hAnsi="Arial" w:cs="Arial"/>
                <w:sz w:val="20"/>
                <w:szCs w:val="20"/>
                <w:lang w:val="en-US"/>
              </w:rPr>
              <w:t>Dominant</w:t>
            </w:r>
          </w:p>
        </w:tc>
      </w:tr>
    </w:tbl>
    <w:p w14:paraId="22F6CE20" w14:textId="77777777" w:rsidR="00FE56ED" w:rsidRPr="00265C4A" w:rsidRDefault="00FE56ED" w:rsidP="00FE56ED">
      <w:pPr>
        <w:spacing w:line="480" w:lineRule="auto"/>
        <w:rPr>
          <w:rFonts w:ascii="Arial" w:hAnsi="Arial" w:cs="Arial"/>
          <w:bCs/>
          <w:sz w:val="20"/>
          <w:szCs w:val="20"/>
          <w:lang w:val="en-US"/>
        </w:rPr>
      </w:pPr>
    </w:p>
    <w:p w14:paraId="714E6056" w14:textId="77777777" w:rsidR="00FE56ED" w:rsidRDefault="00FE56ED" w:rsidP="00FE56ED">
      <w:pPr>
        <w:spacing w:line="480" w:lineRule="auto"/>
        <w:rPr>
          <w:rFonts w:ascii="Arial" w:hAnsi="Arial" w:cs="Arial"/>
          <w:bCs/>
          <w:sz w:val="20"/>
          <w:szCs w:val="20"/>
          <w:lang w:val="en-US"/>
        </w:rPr>
        <w:sectPr w:rsidR="00FE56ED" w:rsidSect="003A0EFD">
          <w:type w:val="continuous"/>
          <w:pgSz w:w="15840" w:h="12240" w:orient="landscape"/>
          <w:pgMar w:top="1701" w:right="1701" w:bottom="1701" w:left="1701" w:header="0" w:footer="720" w:gutter="0"/>
          <w:lnNumType w:countBy="1" w:restart="continuous"/>
          <w:cols w:space="720"/>
          <w:formProt w:val="0"/>
          <w:docGrid w:linePitch="360"/>
        </w:sectPr>
      </w:pPr>
      <w:r w:rsidRPr="00265C4A">
        <w:rPr>
          <w:rFonts w:ascii="Arial" w:hAnsi="Arial" w:cs="Arial"/>
          <w:b/>
          <w:sz w:val="20"/>
          <w:szCs w:val="20"/>
          <w:lang w:val="en-US"/>
        </w:rPr>
        <w:lastRenderedPageBreak/>
        <w:t>Abbreviations:</w:t>
      </w:r>
      <w:r w:rsidRPr="00265C4A">
        <w:rPr>
          <w:rFonts w:ascii="Arial" w:hAnsi="Arial" w:cs="Arial"/>
          <w:bCs/>
          <w:sz w:val="20"/>
          <w:szCs w:val="20"/>
          <w:lang w:val="en-US"/>
        </w:rPr>
        <w:t xml:space="preserve"> 6MWT, </w:t>
      </w:r>
      <w:r>
        <w:rPr>
          <w:rFonts w:ascii="Arial" w:hAnsi="Arial" w:cs="Arial"/>
          <w:bCs/>
          <w:sz w:val="20"/>
          <w:szCs w:val="20"/>
          <w:lang w:val="en-US"/>
        </w:rPr>
        <w:t>6</w:t>
      </w:r>
      <w:r w:rsidRPr="00265C4A">
        <w:rPr>
          <w:rFonts w:ascii="Arial" w:hAnsi="Arial" w:cs="Arial"/>
          <w:bCs/>
          <w:sz w:val="20"/>
          <w:szCs w:val="20"/>
          <w:lang w:val="en-US"/>
        </w:rPr>
        <w:t xml:space="preserve">-minute walk test; CI, confidence interval; </w:t>
      </w:r>
      <w:r w:rsidRPr="008D3C7C">
        <w:rPr>
          <w:rFonts w:ascii="Arial" w:hAnsi="Arial" w:cs="Arial"/>
          <w:bCs/>
          <w:sz w:val="20"/>
          <w:szCs w:val="20"/>
          <w:lang w:val="en-US"/>
        </w:rPr>
        <w:t>ECLIPSE, Evaluation of COPD Longitudinally to Identify Predictive Surrogate End-points</w:t>
      </w:r>
      <w:r>
        <w:rPr>
          <w:rFonts w:ascii="Arial" w:hAnsi="Arial" w:cs="Arial"/>
          <w:bCs/>
          <w:sz w:val="20"/>
          <w:szCs w:val="20"/>
          <w:lang w:val="en-US"/>
        </w:rPr>
        <w:t>;</w:t>
      </w:r>
      <w:r w:rsidRPr="008D3C7C">
        <w:rPr>
          <w:rFonts w:ascii="Arial" w:hAnsi="Arial" w:cs="Arial"/>
          <w:bCs/>
          <w:sz w:val="20"/>
          <w:szCs w:val="20"/>
          <w:lang w:val="en-US"/>
        </w:rPr>
        <w:t xml:space="preserve"> </w:t>
      </w:r>
      <w:r w:rsidRPr="00265C4A">
        <w:rPr>
          <w:rFonts w:ascii="Arial" w:hAnsi="Arial" w:cs="Arial"/>
          <w:bCs/>
          <w:sz w:val="20"/>
          <w:szCs w:val="20"/>
          <w:lang w:val="en-US"/>
        </w:rPr>
        <w:t>FEV</w:t>
      </w:r>
      <w:r w:rsidRPr="00265C4A">
        <w:rPr>
          <w:rFonts w:ascii="Arial" w:hAnsi="Arial" w:cs="Arial"/>
          <w:bCs/>
          <w:sz w:val="20"/>
          <w:szCs w:val="20"/>
          <w:vertAlign w:val="subscript"/>
          <w:lang w:val="en-US"/>
        </w:rPr>
        <w:t>1</w:t>
      </w:r>
      <w:r w:rsidRPr="00265C4A">
        <w:rPr>
          <w:rFonts w:ascii="Arial" w:hAnsi="Arial" w:cs="Arial"/>
          <w:bCs/>
          <w:sz w:val="20"/>
          <w:szCs w:val="20"/>
          <w:lang w:val="en-US"/>
        </w:rPr>
        <w:t xml:space="preserve">, forced expiratory volume in </w:t>
      </w:r>
      <w:r>
        <w:rPr>
          <w:rFonts w:ascii="Arial" w:hAnsi="Arial" w:cs="Arial"/>
          <w:bCs/>
          <w:sz w:val="20"/>
          <w:szCs w:val="20"/>
          <w:lang w:val="en-US"/>
        </w:rPr>
        <w:t>1</w:t>
      </w:r>
      <w:r w:rsidRPr="00265C4A">
        <w:rPr>
          <w:rFonts w:ascii="Arial" w:hAnsi="Arial" w:cs="Arial"/>
          <w:bCs/>
          <w:sz w:val="20"/>
          <w:szCs w:val="20"/>
          <w:lang w:val="en-US"/>
        </w:rPr>
        <w:t xml:space="preserve"> second; FF, fluticasone furoate; GBP, British Pound; ICER, incremental cost-effectiveness ratio; LY</w:t>
      </w:r>
      <w:r>
        <w:rPr>
          <w:rFonts w:ascii="Arial" w:hAnsi="Arial" w:cs="Arial"/>
          <w:bCs/>
          <w:sz w:val="20"/>
          <w:szCs w:val="20"/>
          <w:lang w:val="en-US"/>
        </w:rPr>
        <w:t>s</w:t>
      </w:r>
      <w:r w:rsidRPr="00265C4A">
        <w:rPr>
          <w:rFonts w:ascii="Arial" w:hAnsi="Arial" w:cs="Arial"/>
          <w:bCs/>
          <w:sz w:val="20"/>
          <w:szCs w:val="20"/>
          <w:lang w:val="en-US"/>
        </w:rPr>
        <w:t>, life year</w:t>
      </w:r>
      <w:r>
        <w:rPr>
          <w:rFonts w:ascii="Arial" w:hAnsi="Arial" w:cs="Arial"/>
          <w:bCs/>
          <w:sz w:val="20"/>
          <w:szCs w:val="20"/>
          <w:lang w:val="en-US"/>
        </w:rPr>
        <w:t>s</w:t>
      </w:r>
      <w:r w:rsidRPr="00265C4A">
        <w:rPr>
          <w:rFonts w:ascii="Arial" w:hAnsi="Arial" w:cs="Arial"/>
          <w:bCs/>
          <w:sz w:val="20"/>
          <w:szCs w:val="20"/>
          <w:lang w:val="en-US"/>
        </w:rPr>
        <w:t>; mMRC, modified Medical Research Council; QALY</w:t>
      </w:r>
      <w:r>
        <w:rPr>
          <w:rFonts w:ascii="Arial" w:hAnsi="Arial" w:cs="Arial"/>
          <w:bCs/>
          <w:sz w:val="20"/>
          <w:szCs w:val="20"/>
          <w:lang w:val="en-US"/>
        </w:rPr>
        <w:t>s</w:t>
      </w:r>
      <w:r w:rsidRPr="00265C4A">
        <w:rPr>
          <w:rFonts w:ascii="Arial" w:hAnsi="Arial" w:cs="Arial"/>
          <w:bCs/>
          <w:sz w:val="20"/>
          <w:szCs w:val="20"/>
          <w:lang w:val="en-US"/>
        </w:rPr>
        <w:t>, quality-adjusted life year</w:t>
      </w:r>
      <w:r>
        <w:rPr>
          <w:rFonts w:ascii="Arial" w:hAnsi="Arial" w:cs="Arial"/>
          <w:bCs/>
          <w:sz w:val="20"/>
          <w:szCs w:val="20"/>
          <w:lang w:val="en-US"/>
        </w:rPr>
        <w:t>s</w:t>
      </w:r>
      <w:r w:rsidRPr="00265C4A">
        <w:rPr>
          <w:rFonts w:ascii="Arial" w:hAnsi="Arial" w:cs="Arial"/>
          <w:bCs/>
          <w:sz w:val="20"/>
          <w:szCs w:val="20"/>
          <w:lang w:val="en-US"/>
        </w:rPr>
        <w:t>; SGRQ, St George’s Respiratory Questionnaire; TIO, tiotropium; UMEC, umeclidinium; VI, vilanterol.</w:t>
      </w:r>
    </w:p>
    <w:p w14:paraId="66D2C4B7" w14:textId="77777777" w:rsidR="00FE56ED" w:rsidRDefault="00FE56ED" w:rsidP="00FE56ED">
      <w:pPr>
        <w:pStyle w:val="Heading1"/>
        <w:rPr>
          <w:lang w:val="en-US"/>
        </w:rPr>
      </w:pPr>
      <w:r>
        <w:rPr>
          <w:lang w:val="en-US"/>
        </w:rPr>
        <w:lastRenderedPageBreak/>
        <w:t>Supplementary references</w:t>
      </w:r>
    </w:p>
    <w:p w14:paraId="3ED19BE3" w14:textId="77777777" w:rsidR="00FE56ED" w:rsidRDefault="00FE56ED" w:rsidP="00FE56ED">
      <w:pPr>
        <w:pStyle w:val="ListParagraph"/>
        <w:numPr>
          <w:ilvl w:val="0"/>
          <w:numId w:val="1"/>
        </w:numPr>
        <w:spacing w:line="480" w:lineRule="auto"/>
        <w:rPr>
          <w:rFonts w:ascii="Arial" w:hAnsi="Arial" w:cs="Arial"/>
          <w:sz w:val="20"/>
          <w:szCs w:val="20"/>
          <w:lang w:val="en-US"/>
        </w:rPr>
      </w:pPr>
      <w:r w:rsidRPr="000A2F06">
        <w:rPr>
          <w:rFonts w:ascii="Arial" w:hAnsi="Arial" w:cs="Arial"/>
          <w:sz w:val="20"/>
          <w:szCs w:val="20"/>
          <w:lang w:val="en-US"/>
        </w:rPr>
        <w:t xml:space="preserve">Jones PW, Adamek L, Nadeau G, Banik N. Comparisons of health status scores with MRC grades in COPD: implications for the GOLD 2011 classification. </w:t>
      </w:r>
      <w:r w:rsidRPr="000A2F06">
        <w:rPr>
          <w:rFonts w:ascii="Arial" w:hAnsi="Arial" w:cs="Arial"/>
          <w:i/>
          <w:iCs/>
          <w:sz w:val="20"/>
          <w:szCs w:val="20"/>
          <w:lang w:val="en-US"/>
        </w:rPr>
        <w:t>Eur Respir J</w:t>
      </w:r>
      <w:r w:rsidRPr="000A2F06">
        <w:rPr>
          <w:rFonts w:ascii="Arial" w:hAnsi="Arial" w:cs="Arial"/>
          <w:sz w:val="20"/>
          <w:szCs w:val="20"/>
          <w:lang w:val="en-US"/>
        </w:rPr>
        <w:t>. 2013;42(3):647–654.</w:t>
      </w:r>
    </w:p>
    <w:p w14:paraId="0A563387" w14:textId="77777777" w:rsidR="00FE56ED" w:rsidRDefault="00FE56ED" w:rsidP="00FE56ED">
      <w:pPr>
        <w:pStyle w:val="ListParagraph"/>
        <w:numPr>
          <w:ilvl w:val="0"/>
          <w:numId w:val="1"/>
        </w:numPr>
        <w:spacing w:line="480" w:lineRule="auto"/>
        <w:rPr>
          <w:rFonts w:ascii="Arial" w:hAnsi="Arial" w:cs="Arial"/>
          <w:sz w:val="20"/>
          <w:szCs w:val="20"/>
          <w:lang w:val="en-US"/>
        </w:rPr>
      </w:pPr>
      <w:r w:rsidRPr="00D13186">
        <w:rPr>
          <w:rFonts w:ascii="Arial" w:hAnsi="Arial" w:cs="Arial"/>
          <w:sz w:val="20"/>
          <w:szCs w:val="20"/>
          <w:lang w:val="en-US"/>
        </w:rPr>
        <w:t xml:space="preserve">National Institute for Health and Care Excellence [Internet]. Chronic obstructive disease in over 16s: diagnosis and management. NICE guideline NG115; 2018. Available from: </w:t>
      </w:r>
      <w:hyperlink r:id="rId11" w:history="1">
        <w:r w:rsidRPr="005B67A9">
          <w:rPr>
            <w:rStyle w:val="Hyperlink"/>
            <w:rFonts w:ascii="Arial" w:hAnsi="Arial" w:cs="Arial"/>
            <w:sz w:val="20"/>
            <w:szCs w:val="20"/>
            <w:lang w:val="en-US"/>
          </w:rPr>
          <w:t>https://www.nice.org.uk/guidance/NG115</w:t>
        </w:r>
      </w:hyperlink>
      <w:r w:rsidRPr="00D13186">
        <w:rPr>
          <w:rFonts w:ascii="Arial" w:hAnsi="Arial" w:cs="Arial"/>
          <w:sz w:val="20"/>
          <w:szCs w:val="20"/>
          <w:lang w:val="en-US"/>
        </w:rPr>
        <w:t>. Accessed April</w:t>
      </w:r>
      <w:r>
        <w:rPr>
          <w:rFonts w:ascii="Arial" w:hAnsi="Arial" w:cs="Arial"/>
          <w:sz w:val="20"/>
          <w:szCs w:val="20"/>
          <w:lang w:val="en-US"/>
        </w:rPr>
        <w:t xml:space="preserve"> 4</w:t>
      </w:r>
      <w:r w:rsidRPr="00D13186">
        <w:rPr>
          <w:rFonts w:ascii="Arial" w:hAnsi="Arial" w:cs="Arial"/>
          <w:sz w:val="20"/>
          <w:szCs w:val="20"/>
          <w:lang w:val="en-US"/>
        </w:rPr>
        <w:t>, 2022.</w:t>
      </w:r>
    </w:p>
    <w:p w14:paraId="28037047" w14:textId="77777777" w:rsidR="00FE56ED" w:rsidRDefault="00FE56ED" w:rsidP="00FE56ED">
      <w:pPr>
        <w:pStyle w:val="ListParagraph"/>
        <w:numPr>
          <w:ilvl w:val="0"/>
          <w:numId w:val="1"/>
        </w:numPr>
        <w:spacing w:line="480" w:lineRule="auto"/>
        <w:rPr>
          <w:rFonts w:ascii="Arial" w:hAnsi="Arial" w:cs="Arial"/>
          <w:sz w:val="20"/>
          <w:szCs w:val="20"/>
          <w:lang w:val="en-US"/>
        </w:rPr>
      </w:pPr>
      <w:r w:rsidRPr="00D13186">
        <w:rPr>
          <w:rFonts w:ascii="Arial" w:hAnsi="Arial" w:cs="Arial"/>
          <w:sz w:val="20"/>
          <w:szCs w:val="20"/>
          <w:lang w:val="en-US"/>
        </w:rPr>
        <w:t xml:space="preserve">National Institute for Health and Care Excellence [Internet]. Chronic obstructive pulmonary disease (acute exacerbation): antimicrobial prescribing. NICE guideline NG114; 2018. Available from: </w:t>
      </w:r>
      <w:hyperlink r:id="rId12" w:history="1">
        <w:r w:rsidRPr="005B67A9">
          <w:rPr>
            <w:rStyle w:val="Hyperlink"/>
            <w:rFonts w:ascii="Arial" w:hAnsi="Arial" w:cs="Arial"/>
            <w:sz w:val="20"/>
            <w:szCs w:val="20"/>
            <w:lang w:val="en-US"/>
          </w:rPr>
          <w:t>https://www.nice.org.uk/guidance/ng114</w:t>
        </w:r>
      </w:hyperlink>
      <w:r w:rsidRPr="00D13186">
        <w:rPr>
          <w:rFonts w:ascii="Arial" w:hAnsi="Arial" w:cs="Arial"/>
          <w:sz w:val="20"/>
          <w:szCs w:val="20"/>
          <w:lang w:val="en-US"/>
        </w:rPr>
        <w:t>. Accessed April</w:t>
      </w:r>
      <w:r>
        <w:rPr>
          <w:rFonts w:ascii="Arial" w:hAnsi="Arial" w:cs="Arial"/>
          <w:sz w:val="20"/>
          <w:szCs w:val="20"/>
          <w:lang w:val="en-US"/>
        </w:rPr>
        <w:t xml:space="preserve"> 4</w:t>
      </w:r>
      <w:r w:rsidRPr="00D13186">
        <w:rPr>
          <w:rFonts w:ascii="Arial" w:hAnsi="Arial" w:cs="Arial"/>
          <w:sz w:val="20"/>
          <w:szCs w:val="20"/>
          <w:lang w:val="en-US"/>
        </w:rPr>
        <w:t>, 2022.</w:t>
      </w:r>
    </w:p>
    <w:p w14:paraId="26F70A0B" w14:textId="77777777" w:rsidR="00FE56ED" w:rsidRPr="000A2F06" w:rsidRDefault="00FE56ED" w:rsidP="00FE56ED">
      <w:pPr>
        <w:pStyle w:val="ListParagraph"/>
        <w:numPr>
          <w:ilvl w:val="0"/>
          <w:numId w:val="1"/>
        </w:numPr>
        <w:spacing w:line="480" w:lineRule="auto"/>
        <w:rPr>
          <w:rFonts w:ascii="Arial" w:hAnsi="Arial" w:cs="Arial"/>
          <w:sz w:val="20"/>
          <w:szCs w:val="20"/>
          <w:lang w:val="en-US"/>
        </w:rPr>
      </w:pPr>
      <w:r w:rsidRPr="00D13186">
        <w:rPr>
          <w:rFonts w:ascii="Arial" w:hAnsi="Arial" w:cs="Arial"/>
          <w:sz w:val="20"/>
          <w:szCs w:val="20"/>
          <w:lang w:val="en-US"/>
        </w:rPr>
        <w:t xml:space="preserve">National Institute for Health and Care Excellence [Internet]. British National Formulary (BNF); 2022. Available from: </w:t>
      </w:r>
      <w:hyperlink r:id="rId13" w:history="1">
        <w:r w:rsidRPr="005B67A9">
          <w:rPr>
            <w:rStyle w:val="Hyperlink"/>
            <w:rFonts w:ascii="Arial" w:hAnsi="Arial" w:cs="Arial"/>
            <w:sz w:val="20"/>
            <w:szCs w:val="20"/>
            <w:lang w:val="en-US"/>
          </w:rPr>
          <w:t>https://bnf.nice.org.uk/</w:t>
        </w:r>
      </w:hyperlink>
      <w:r w:rsidRPr="00D13186">
        <w:rPr>
          <w:rFonts w:ascii="Arial" w:hAnsi="Arial" w:cs="Arial"/>
          <w:sz w:val="20"/>
          <w:szCs w:val="20"/>
          <w:lang w:val="en-US"/>
        </w:rPr>
        <w:t>. Accessed April</w:t>
      </w:r>
      <w:r>
        <w:rPr>
          <w:rFonts w:ascii="Arial" w:hAnsi="Arial" w:cs="Arial"/>
          <w:sz w:val="20"/>
          <w:szCs w:val="20"/>
          <w:lang w:val="en-US"/>
        </w:rPr>
        <w:t xml:space="preserve"> 4</w:t>
      </w:r>
      <w:r w:rsidRPr="00D13186">
        <w:rPr>
          <w:rFonts w:ascii="Arial" w:hAnsi="Arial" w:cs="Arial"/>
          <w:sz w:val="20"/>
          <w:szCs w:val="20"/>
          <w:lang w:val="en-US"/>
        </w:rPr>
        <w:t>, 2022.</w:t>
      </w:r>
    </w:p>
    <w:p w14:paraId="3711E125" w14:textId="77777777" w:rsidR="00435620" w:rsidRDefault="00435620"/>
    <w:sectPr w:rsidR="00435620" w:rsidSect="000A2F06">
      <w:pgSz w:w="12240" w:h="15840"/>
      <w:pgMar w:top="1701" w:right="1701" w:bottom="1701" w:left="1701" w:header="0" w:footer="720" w:gutter="0"/>
      <w:lnNumType w:countBy="1" w:restart="continuou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E31D" w14:textId="77777777" w:rsidR="00BC77AE" w:rsidRDefault="00E3267D">
      <w:r>
        <w:separator/>
      </w:r>
    </w:p>
  </w:endnote>
  <w:endnote w:type="continuationSeparator" w:id="0">
    <w:p w14:paraId="1AA6C337" w14:textId="77777777" w:rsidR="00BC77AE" w:rsidRDefault="00E3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03383880"/>
      <w:docPartObj>
        <w:docPartGallery w:val="Page Numbers (Bottom of Page)"/>
        <w:docPartUnique/>
      </w:docPartObj>
    </w:sdtPr>
    <w:sdtEndPr>
      <w:rPr>
        <w:rFonts w:ascii="Arial" w:hAnsi="Arial" w:cs="Arial"/>
        <w:noProof/>
      </w:rPr>
    </w:sdtEndPr>
    <w:sdtContent>
      <w:p w14:paraId="6E490EF3" w14:textId="77777777" w:rsidR="004820E9" w:rsidRPr="00E5108B" w:rsidRDefault="00FE56ED">
        <w:pPr>
          <w:pStyle w:val="Footer"/>
          <w:jc w:val="right"/>
          <w:rPr>
            <w:rFonts w:ascii="Arial" w:hAnsi="Arial" w:cs="Arial"/>
            <w:sz w:val="20"/>
            <w:szCs w:val="20"/>
          </w:rPr>
        </w:pPr>
        <w:r w:rsidRPr="00E5108B">
          <w:rPr>
            <w:rFonts w:ascii="Arial" w:hAnsi="Arial" w:cs="Arial"/>
            <w:sz w:val="20"/>
            <w:szCs w:val="20"/>
          </w:rPr>
          <w:fldChar w:fldCharType="begin"/>
        </w:r>
        <w:r w:rsidRPr="00E5108B">
          <w:rPr>
            <w:rFonts w:ascii="Arial" w:hAnsi="Arial" w:cs="Arial"/>
            <w:sz w:val="20"/>
            <w:szCs w:val="20"/>
          </w:rPr>
          <w:instrText xml:space="preserve"> PAGE   \* MERGEFORMAT </w:instrText>
        </w:r>
        <w:r w:rsidRPr="00E5108B">
          <w:rPr>
            <w:rFonts w:ascii="Arial" w:hAnsi="Arial" w:cs="Arial"/>
            <w:sz w:val="20"/>
            <w:szCs w:val="20"/>
          </w:rPr>
          <w:fldChar w:fldCharType="separate"/>
        </w:r>
        <w:r w:rsidRPr="00E5108B">
          <w:rPr>
            <w:rFonts w:ascii="Arial" w:hAnsi="Arial" w:cs="Arial"/>
            <w:noProof/>
            <w:sz w:val="20"/>
            <w:szCs w:val="20"/>
          </w:rPr>
          <w:t>49</w:t>
        </w:r>
        <w:r w:rsidRPr="00E5108B">
          <w:rPr>
            <w:rFonts w:ascii="Arial" w:hAnsi="Arial" w:cs="Arial"/>
            <w:noProof/>
            <w:sz w:val="20"/>
            <w:szCs w:val="20"/>
          </w:rPr>
          <w:fldChar w:fldCharType="end"/>
        </w:r>
      </w:p>
    </w:sdtContent>
  </w:sdt>
  <w:p w14:paraId="03CF8102" w14:textId="77777777" w:rsidR="004820E9" w:rsidRPr="009E799D" w:rsidRDefault="006A476D">
    <w:pPr>
      <w:pStyle w:val="Footer"/>
      <w:rPr>
        <w:rStyle w:val="PageNumber"/>
        <w:rFonts w:ascii="Arial" w:hAnsi="Arial" w:cs="Arial"/>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84C6" w14:textId="77777777" w:rsidR="00BC77AE" w:rsidRDefault="00E3267D">
      <w:r>
        <w:separator/>
      </w:r>
    </w:p>
  </w:footnote>
  <w:footnote w:type="continuationSeparator" w:id="0">
    <w:p w14:paraId="15136F79" w14:textId="77777777" w:rsidR="00BC77AE" w:rsidRDefault="00E32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B1489"/>
    <w:multiLevelType w:val="hybridMultilevel"/>
    <w:tmpl w:val="E15C4914"/>
    <w:lvl w:ilvl="0" w:tplc="3F04F8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536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ED"/>
    <w:rsid w:val="00435620"/>
    <w:rsid w:val="006A476D"/>
    <w:rsid w:val="006E7C08"/>
    <w:rsid w:val="00AA5961"/>
    <w:rsid w:val="00BC77AE"/>
    <w:rsid w:val="00CB32B3"/>
    <w:rsid w:val="00E3267D"/>
    <w:rsid w:val="00F6561C"/>
    <w:rsid w:val="00FE5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5731"/>
  <w15:chartTrackingRefBased/>
  <w15:docId w15:val="{DFF26FE2-30F9-4F95-8C81-52DB3C9C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6E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E56ED"/>
    <w:pPr>
      <w:keepNext/>
      <w:spacing w:before="240" w:after="60" w:line="480" w:lineRule="auto"/>
      <w:outlineLvl w:val="0"/>
    </w:pPr>
    <w:rPr>
      <w:rFonts w:ascii="Arial" w:hAnsi="Arial" w:cs="Arial"/>
      <w:b/>
      <w:sz w:val="32"/>
      <w:szCs w:val="28"/>
    </w:rPr>
  </w:style>
  <w:style w:type="paragraph" w:styleId="Heading2">
    <w:name w:val="heading 2"/>
    <w:basedOn w:val="Normal"/>
    <w:next w:val="Normal"/>
    <w:link w:val="Heading2Char"/>
    <w:qFormat/>
    <w:rsid w:val="00FE56ED"/>
    <w:pPr>
      <w:keepNext/>
      <w:spacing w:before="240" w:after="60" w:line="480" w:lineRule="auto"/>
      <w:outlineLvl w:val="1"/>
    </w:pPr>
    <w:rPr>
      <w:rFonts w:ascii="Arial" w:eastAsiaTheme="minorHAnsi"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E56ED"/>
    <w:rPr>
      <w:rFonts w:ascii="Arial" w:eastAsia="Times New Roman" w:hAnsi="Arial" w:cs="Arial"/>
      <w:b/>
      <w:sz w:val="32"/>
      <w:szCs w:val="28"/>
      <w:lang w:eastAsia="en-GB"/>
    </w:rPr>
  </w:style>
  <w:style w:type="character" w:customStyle="1" w:styleId="Heading2Char">
    <w:name w:val="Heading 2 Char"/>
    <w:basedOn w:val="DefaultParagraphFont"/>
    <w:link w:val="Heading2"/>
    <w:qFormat/>
    <w:rsid w:val="00FE56ED"/>
    <w:rPr>
      <w:rFonts w:ascii="Arial" w:hAnsi="Arial" w:cs="Arial"/>
      <w:b/>
      <w:i/>
      <w:sz w:val="28"/>
      <w:lang w:eastAsia="en-GB"/>
    </w:rPr>
  </w:style>
  <w:style w:type="character" w:styleId="Hyperlink">
    <w:name w:val="Hyperlink"/>
    <w:basedOn w:val="DefaultParagraphFont"/>
    <w:uiPriority w:val="99"/>
    <w:unhideWhenUsed/>
    <w:rsid w:val="00FE56ED"/>
    <w:rPr>
      <w:color w:val="0000FF"/>
      <w:u w:val="single"/>
    </w:rPr>
  </w:style>
  <w:style w:type="character" w:customStyle="1" w:styleId="FooterChar">
    <w:name w:val="Footer Char"/>
    <w:basedOn w:val="DefaultParagraphFont"/>
    <w:link w:val="Footer"/>
    <w:uiPriority w:val="99"/>
    <w:qFormat/>
    <w:rsid w:val="00FE56ED"/>
    <w:rPr>
      <w:rFonts w:ascii="Times New Roman" w:eastAsia="Times New Roman" w:hAnsi="Times New Roman" w:cs="Times New Roman"/>
      <w:lang w:eastAsia="en-GB"/>
    </w:rPr>
  </w:style>
  <w:style w:type="character" w:styleId="PageNumber">
    <w:name w:val="page number"/>
    <w:basedOn w:val="DefaultParagraphFont"/>
    <w:uiPriority w:val="99"/>
    <w:semiHidden/>
    <w:unhideWhenUsed/>
    <w:qFormat/>
    <w:rsid w:val="00FE56ED"/>
    <w:rPr>
      <w:rFonts w:ascii="Times New Roman" w:hAnsi="Times New Roman"/>
    </w:rPr>
  </w:style>
  <w:style w:type="character" w:customStyle="1" w:styleId="ListParagraphChar">
    <w:name w:val="List Paragraph Char"/>
    <w:basedOn w:val="DefaultParagraphFont"/>
    <w:link w:val="ListParagraph"/>
    <w:uiPriority w:val="34"/>
    <w:qFormat/>
    <w:locked/>
    <w:rsid w:val="00FE56ED"/>
    <w:rPr>
      <w:rFonts w:ascii="Times New Roman" w:eastAsia="Times New Roman" w:hAnsi="Times New Roman" w:cs="Times New Roman"/>
      <w:lang w:eastAsia="en-GB"/>
    </w:rPr>
  </w:style>
  <w:style w:type="paragraph" w:styleId="Caption">
    <w:name w:val="caption"/>
    <w:aliases w:val="~Caption,Caption for Appendix,Table Caption,IB Caption,Medical Caption,CAPTION,Bayer Caption,Char,Caption2,Caption Char1 Char,Caption Char Char Char,Caption Char1 Char Char Char,Caption Char Char Char Char Char,Caption Char Char1 Char,- H17"/>
    <w:basedOn w:val="Normal"/>
    <w:link w:val="CaptionChar"/>
    <w:qFormat/>
    <w:rsid w:val="00FE56ED"/>
    <w:pPr>
      <w:suppressLineNumbers/>
      <w:spacing w:before="120" w:after="120"/>
    </w:pPr>
    <w:rPr>
      <w:rFonts w:ascii="Arial" w:hAnsi="Arial" w:cs="Lohit Devanagari"/>
      <w:i/>
      <w:iCs/>
    </w:rPr>
  </w:style>
  <w:style w:type="paragraph" w:styleId="ListParagraph">
    <w:name w:val="List Paragraph"/>
    <w:basedOn w:val="Normal"/>
    <w:link w:val="ListParagraphChar"/>
    <w:uiPriority w:val="34"/>
    <w:qFormat/>
    <w:rsid w:val="00FE56ED"/>
    <w:pPr>
      <w:ind w:left="720"/>
      <w:contextualSpacing/>
    </w:pPr>
    <w:rPr>
      <w:sz w:val="22"/>
      <w:szCs w:val="22"/>
    </w:rPr>
  </w:style>
  <w:style w:type="paragraph" w:styleId="Footer">
    <w:name w:val="footer"/>
    <w:basedOn w:val="Normal"/>
    <w:link w:val="FooterChar"/>
    <w:uiPriority w:val="99"/>
    <w:unhideWhenUsed/>
    <w:rsid w:val="00FE56ED"/>
    <w:pPr>
      <w:tabs>
        <w:tab w:val="center" w:pos="4680"/>
        <w:tab w:val="right" w:pos="9360"/>
      </w:tabs>
    </w:pPr>
    <w:rPr>
      <w:sz w:val="22"/>
      <w:szCs w:val="22"/>
    </w:rPr>
  </w:style>
  <w:style w:type="character" w:customStyle="1" w:styleId="FooterChar1">
    <w:name w:val="Footer Char1"/>
    <w:basedOn w:val="DefaultParagraphFont"/>
    <w:uiPriority w:val="99"/>
    <w:semiHidden/>
    <w:rsid w:val="00FE56ED"/>
    <w:rPr>
      <w:rFonts w:ascii="Times New Roman" w:eastAsia="Times New Roman" w:hAnsi="Times New Roman" w:cs="Times New Roman"/>
      <w:sz w:val="24"/>
      <w:szCs w:val="24"/>
      <w:lang w:eastAsia="en-GB"/>
    </w:rPr>
  </w:style>
  <w:style w:type="table" w:styleId="TableGrid">
    <w:name w:val="Table Grid"/>
    <w:basedOn w:val="TableNormal"/>
    <w:uiPriority w:val="39"/>
    <w:rsid w:val="00FE56E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tion Char,Caption for Appendix Char,Table Caption Char,IB Caption Char,Medical Caption Char,CAPTION Char,Bayer Caption Char,Char Char,Caption2 Char,Caption Char1 Char Char,Caption Char Char Char Char,Caption Char1 Char Char Char Char"/>
    <w:basedOn w:val="DefaultParagraphFont"/>
    <w:link w:val="Caption"/>
    <w:rsid w:val="00FE56ED"/>
    <w:rPr>
      <w:rFonts w:ascii="Arial" w:eastAsia="Times New Roman" w:hAnsi="Arial" w:cs="Lohit Devanagari"/>
      <w:i/>
      <w:iCs/>
      <w:sz w:val="24"/>
      <w:szCs w:val="24"/>
      <w:lang w:eastAsia="en-GB"/>
    </w:rPr>
  </w:style>
  <w:style w:type="character" w:styleId="LineNumber">
    <w:name w:val="line number"/>
    <w:basedOn w:val="DefaultParagraphFont"/>
    <w:uiPriority w:val="99"/>
    <w:semiHidden/>
    <w:unhideWhenUsed/>
    <w:rsid w:val="00FE56ED"/>
  </w:style>
  <w:style w:type="paragraph" w:styleId="Revision">
    <w:name w:val="Revision"/>
    <w:hidden/>
    <w:uiPriority w:val="99"/>
    <w:semiHidden/>
    <w:rsid w:val="00F6561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nf.nic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ce.org.uk/guidance/ng1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guidance/NG11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256d653-f31e-4e0e-8309-eadac25a8b8d" xsi:nil="true"/>
    <lcf76f155ced4ddcb4097134ff3c332f xmlns="7f9c56cb-d15a-4551-840a-39c89227f738">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93AF4C3812148A61739EEDD98EC44" ma:contentTypeVersion="5" ma:contentTypeDescription="Create a new document." ma:contentTypeScope="" ma:versionID="199c37a5b4e0c5e6d45932b98aae7c4e">
  <xsd:schema xmlns:xsd="http://www.w3.org/2001/XMLSchema" xmlns:xs="http://www.w3.org/2001/XMLSchema" xmlns:p="http://schemas.microsoft.com/office/2006/metadata/properties" xmlns:ns1="http://schemas.microsoft.com/sharepoint/v3" xmlns:ns2="7f9c56cb-d15a-4551-840a-39c89227f738" xmlns:ns3="0256d653-f31e-4e0e-8309-eadac25a8b8d" xmlns:ns4="20280fe6-6c23-486a-8f97-9ead9cb44225" xmlns:ns5="9ec7de23-bb5a-49de-ace5-5cac4066ed19" targetNamespace="http://schemas.microsoft.com/office/2006/metadata/properties" ma:root="true" ma:fieldsID="669f7ec6e1124364c4a9d67dcc7e6414" ns1:_="" ns2:_="" ns3:_="" ns4:_="" ns5:_="">
    <xsd:import namespace="http://schemas.microsoft.com/sharepoint/v3"/>
    <xsd:import namespace="7f9c56cb-d15a-4551-840a-39c89227f738"/>
    <xsd:import namespace="0256d653-f31e-4e0e-8309-eadac25a8b8d"/>
    <xsd:import namespace="20280fe6-6c23-486a-8f97-9ead9cb44225"/>
    <xsd:import namespace="9ec7de23-bb5a-49de-ace5-5cac4066ed19"/>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c56cb-d15a-4551-840a-39c89227f738"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92ca2d3d-5e9e-448f-a267-95438d541b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56d653-f31e-4e0e-8309-eadac25a8b8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fd7999f-fafe-49af-aa8c-13c3680a5a28}" ma:internalName="TaxCatchAll" ma:showField="CatchAllData" ma:web="0256d653-f31e-4e0e-8309-eadac25a8b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280fe6-6c23-486a-8f97-9ead9cb442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c7de23-bb5a-49de-ace5-5cac4066ed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59514-99CF-4500-B614-5046AC454F11}">
  <ds:schemaRefs>
    <ds:schemaRef ds:uri="http://schemas.microsoft.com/office/2006/metadata/properties"/>
    <ds:schemaRef ds:uri="http://schemas.microsoft.com/office/infopath/2007/PartnerControls"/>
    <ds:schemaRef ds:uri="http://schemas.microsoft.com/sharepoint/v3"/>
    <ds:schemaRef ds:uri="0256d653-f31e-4e0e-8309-eadac25a8b8d"/>
    <ds:schemaRef ds:uri="7f9c56cb-d15a-4551-840a-39c89227f738"/>
  </ds:schemaRefs>
</ds:datastoreItem>
</file>

<file path=customXml/itemProps2.xml><?xml version="1.0" encoding="utf-8"?>
<ds:datastoreItem xmlns:ds="http://schemas.openxmlformats.org/officeDocument/2006/customXml" ds:itemID="{A98E760A-0E27-406A-8538-8787D877D4B0}">
  <ds:schemaRefs>
    <ds:schemaRef ds:uri="http://schemas.microsoft.com/sharepoint/v3/contenttype/forms"/>
  </ds:schemaRefs>
</ds:datastoreItem>
</file>

<file path=customXml/itemProps3.xml><?xml version="1.0" encoding="utf-8"?>
<ds:datastoreItem xmlns:ds="http://schemas.openxmlformats.org/officeDocument/2006/customXml" ds:itemID="{9A34CE31-E554-4CAC-89FE-8BF480428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c56cb-d15a-4551-840a-39c89227f738"/>
    <ds:schemaRef ds:uri="0256d653-f31e-4e0e-8309-eadac25a8b8d"/>
    <ds:schemaRef ds:uri="20280fe6-6c23-486a-8f97-9ead9cb44225"/>
    <ds:schemaRef ds:uri="9ec7de23-bb5a-49de-ace5-5cac4066e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1241</Words>
  <Characters>7075</Characters>
  <Application>Microsoft Office Word</Application>
  <DocSecurity>0</DocSecurity>
  <Lines>58</Lines>
  <Paragraphs>16</Paragraphs>
  <ScaleCrop>false</ScaleCrop>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Cunningham</dc:creator>
  <cp:keywords/>
  <dc:description/>
  <cp:lastModifiedBy>Rebecca Cunningham</cp:lastModifiedBy>
  <cp:revision>24</cp:revision>
  <dcterms:created xsi:type="dcterms:W3CDTF">2022-11-14T14:55:00Z</dcterms:created>
  <dcterms:modified xsi:type="dcterms:W3CDTF">2023-07-05T11:11:00Z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0x010100E2993AF4C3812148A61739EEDD98EC44</vt:lpwstr>
  </property>
</Properties>
</file>