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34DD" w14:textId="1256150F" w:rsidR="00DA4D7F" w:rsidRDefault="00273B9E" w:rsidP="000225EA">
      <w:pPr>
        <w:pStyle w:val="MDPI62BackMatter"/>
        <w:spacing w:before="240"/>
        <w:ind w:left="0"/>
        <w:rPr>
          <w:bCs/>
        </w:rPr>
      </w:pPr>
      <w:r w:rsidRPr="00FA04F1">
        <w:rPr>
          <w:b/>
        </w:rPr>
        <w:t>Supplementary</w:t>
      </w:r>
      <w:r w:rsidRPr="00B07E0E">
        <w:rPr>
          <w:b/>
        </w:rPr>
        <w:t xml:space="preserve"> </w:t>
      </w:r>
      <w:r w:rsidR="00183C84">
        <w:rPr>
          <w:b/>
        </w:rPr>
        <w:t>F</w:t>
      </w:r>
      <w:r w:rsidR="000225EA">
        <w:rPr>
          <w:b/>
        </w:rPr>
        <w:t>igure</w:t>
      </w:r>
      <w:r w:rsidRPr="00B07E0E">
        <w:rPr>
          <w:b/>
        </w:rPr>
        <w:t xml:space="preserve"> </w:t>
      </w:r>
      <w:r>
        <w:rPr>
          <w:b/>
        </w:rPr>
        <w:t>1</w:t>
      </w:r>
      <w:r w:rsidRPr="00B07E0E">
        <w:rPr>
          <w:b/>
        </w:rPr>
        <w:t xml:space="preserve">. </w:t>
      </w:r>
      <w:r w:rsidR="00DA4D7F" w:rsidRPr="00DA4D7F">
        <w:rPr>
          <w:bCs/>
        </w:rPr>
        <w:t>The flow chart of the patient enrollment.</w:t>
      </w:r>
    </w:p>
    <w:p w14:paraId="1A1B1A39" w14:textId="43E1BA64" w:rsidR="00EE7677" w:rsidRDefault="00EE7677" w:rsidP="000225EA">
      <w:pPr>
        <w:pStyle w:val="MDPI62BackMatter"/>
        <w:spacing w:before="240"/>
        <w:ind w:left="0"/>
        <w:rPr>
          <w:b/>
        </w:rPr>
      </w:pPr>
      <w:r w:rsidRPr="00EE7677">
        <w:rPr>
          <w:b/>
          <w:noProof/>
        </w:rPr>
        <w:drawing>
          <wp:inline distT="0" distB="0" distL="0" distR="0" wp14:anchorId="45B86D0A" wp14:editId="0F8155CB">
            <wp:extent cx="5274310" cy="44913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8835" w14:textId="77777777" w:rsidR="00DA4D7F" w:rsidRDefault="00DA4D7F">
      <w:pPr>
        <w:spacing w:line="240" w:lineRule="auto"/>
        <w:jc w:val="left"/>
        <w:rPr>
          <w:rFonts w:eastAsia="Times New Roman"/>
          <w:b/>
          <w:noProof w:val="0"/>
          <w:snapToGrid w:val="0"/>
          <w:sz w:val="18"/>
          <w:lang w:eastAsia="en-US" w:bidi="en-US"/>
        </w:rPr>
      </w:pPr>
      <w:r>
        <w:rPr>
          <w:b/>
        </w:rPr>
        <w:br w:type="page"/>
      </w:r>
    </w:p>
    <w:p w14:paraId="2D6F34A4" w14:textId="4864DCF5" w:rsidR="000225EA" w:rsidRDefault="00DA4D7F" w:rsidP="000225EA">
      <w:pPr>
        <w:pStyle w:val="MDPI62BackMatter"/>
        <w:spacing w:before="240"/>
        <w:ind w:left="0"/>
        <w:rPr>
          <w:b/>
        </w:rPr>
      </w:pPr>
      <w:r w:rsidRPr="00FA04F1">
        <w:rPr>
          <w:b/>
        </w:rPr>
        <w:lastRenderedPageBreak/>
        <w:t>Supplementary</w:t>
      </w:r>
      <w:r w:rsidRPr="00B07E0E">
        <w:rPr>
          <w:b/>
        </w:rPr>
        <w:t xml:space="preserve"> </w:t>
      </w:r>
      <w:r w:rsidR="00183C84">
        <w:rPr>
          <w:b/>
        </w:rPr>
        <w:t>F</w:t>
      </w:r>
      <w:r>
        <w:rPr>
          <w:b/>
        </w:rPr>
        <w:t>igure</w:t>
      </w:r>
      <w:r w:rsidRPr="00B07E0E">
        <w:rPr>
          <w:b/>
        </w:rPr>
        <w:t xml:space="preserve"> </w:t>
      </w:r>
      <w:r>
        <w:rPr>
          <w:b/>
        </w:rPr>
        <w:t>2</w:t>
      </w:r>
      <w:r w:rsidRPr="00B07E0E">
        <w:rPr>
          <w:b/>
        </w:rPr>
        <w:t>.</w:t>
      </w:r>
      <w:r>
        <w:rPr>
          <w:b/>
        </w:rPr>
        <w:t xml:space="preserve"> </w:t>
      </w:r>
      <w:r w:rsidR="00E5742A" w:rsidRPr="00E5742A">
        <w:t xml:space="preserve">Kaplan-Meier plot for duration time from infection to the nucleic acid negative conversion time and the plasma 25(OH)D level in COVID-19 patients with age </w:t>
      </w:r>
      <w:r w:rsidR="00E5742A">
        <w:t>&gt; =</w:t>
      </w:r>
      <w:r w:rsidR="00E5742A" w:rsidRPr="00E5742A">
        <w:t xml:space="preserve"> 60 years old.</w:t>
      </w:r>
      <w:r w:rsidR="000225EA" w:rsidRPr="000225EA">
        <w:rPr>
          <w:b/>
        </w:rPr>
        <w:t xml:space="preserve"> </w:t>
      </w:r>
    </w:p>
    <w:p w14:paraId="04CFF38D" w14:textId="1426AFC4" w:rsidR="000225EA" w:rsidRDefault="000225EA" w:rsidP="000225EA">
      <w:pPr>
        <w:pStyle w:val="MDPI62BackMatter"/>
        <w:spacing w:before="240"/>
        <w:ind w:left="0"/>
        <w:rPr>
          <w:b/>
        </w:rPr>
      </w:pPr>
      <w:r>
        <w:rPr>
          <w:b/>
          <w:noProof/>
          <w:snapToGrid/>
        </w:rPr>
        <w:drawing>
          <wp:inline distT="0" distB="0" distL="0" distR="0" wp14:anchorId="2B31B125" wp14:editId="269B5706">
            <wp:extent cx="3250692" cy="2539746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692" cy="25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D4A9" w14:textId="77777777" w:rsidR="000225EA" w:rsidRDefault="000225EA">
      <w:pPr>
        <w:spacing w:line="240" w:lineRule="auto"/>
        <w:jc w:val="left"/>
        <w:rPr>
          <w:rFonts w:eastAsia="Times New Roman"/>
          <w:b/>
          <w:noProof w:val="0"/>
          <w:snapToGrid w:val="0"/>
          <w:sz w:val="18"/>
          <w:lang w:eastAsia="en-US" w:bidi="en-US"/>
        </w:rPr>
      </w:pPr>
      <w:r>
        <w:rPr>
          <w:b/>
        </w:rPr>
        <w:br w:type="page"/>
      </w:r>
    </w:p>
    <w:p w14:paraId="15842D51" w14:textId="46A7591C" w:rsidR="00811D77" w:rsidRDefault="00811D77" w:rsidP="00811D77">
      <w:pPr>
        <w:pStyle w:val="MDPI62BackMatter"/>
        <w:spacing w:before="240"/>
        <w:ind w:left="0"/>
      </w:pPr>
      <w:r w:rsidRPr="00FA04F1">
        <w:rPr>
          <w:b/>
        </w:rPr>
        <w:lastRenderedPageBreak/>
        <w:t>Supplementary</w:t>
      </w:r>
      <w:r w:rsidRPr="00B07E0E">
        <w:rPr>
          <w:b/>
        </w:rPr>
        <w:t xml:space="preserve"> </w:t>
      </w:r>
      <w:r w:rsidR="00183C84">
        <w:rPr>
          <w:b/>
        </w:rPr>
        <w:t>T</w:t>
      </w:r>
      <w:r w:rsidRPr="00B07E0E">
        <w:rPr>
          <w:b/>
        </w:rPr>
        <w:t xml:space="preserve">able </w:t>
      </w:r>
      <w:r w:rsidR="006D729C">
        <w:rPr>
          <w:b/>
        </w:rPr>
        <w:t>1</w:t>
      </w:r>
      <w:r w:rsidRPr="00B07E0E">
        <w:rPr>
          <w:b/>
        </w:rPr>
        <w:t>.</w:t>
      </w:r>
      <w:r w:rsidRPr="00811D77">
        <w:rPr>
          <w:bCs/>
        </w:rPr>
        <w:t xml:space="preserve"> T</w:t>
      </w:r>
      <w:r w:rsidRPr="00811D77">
        <w:t>he types of Covid-19 vaccines received by participants</w:t>
      </w:r>
      <w:r>
        <w:t>.</w:t>
      </w:r>
    </w:p>
    <w:tbl>
      <w:tblPr>
        <w:tblW w:w="7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1240"/>
      </w:tblGrid>
      <w:tr w:rsidR="00811D77" w:rsidRPr="00811D77" w14:paraId="15874314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1D7F6040" w14:textId="7777777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Types  of Covid-19 vaccines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9C3418" w14:textId="43B9B6D1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(%)</w:t>
            </w:r>
          </w:p>
        </w:tc>
      </w:tr>
      <w:tr w:rsidR="00811D77" w:rsidRPr="00811D77" w14:paraId="2FCD2FAD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1251F40" w14:textId="7777777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Sinopharm / BIBP (Beijing Institute of Biological Products Co., Ltd)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2C8A95" w14:textId="68E3DA5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1</w:t>
            </w:r>
            <w:r w:rsidR="0089031D">
              <w:rPr>
                <w:sz w:val="18"/>
                <w:szCs w:val="18"/>
              </w:rPr>
              <w:t>03</w:t>
            </w:r>
            <w:r w:rsidRPr="00811D77">
              <w:rPr>
                <w:rFonts w:hint="eastAsia"/>
                <w:sz w:val="18"/>
                <w:szCs w:val="18"/>
              </w:rPr>
              <w:t xml:space="preserve"> (5</w:t>
            </w:r>
            <w:r w:rsidR="0089031D">
              <w:rPr>
                <w:sz w:val="18"/>
                <w:szCs w:val="18"/>
              </w:rPr>
              <w:t>5</w:t>
            </w:r>
            <w:r w:rsidRPr="00811D77">
              <w:rPr>
                <w:rFonts w:hint="eastAsia"/>
                <w:sz w:val="18"/>
                <w:szCs w:val="18"/>
              </w:rPr>
              <w:t>.</w:t>
            </w:r>
            <w:r w:rsidR="0089031D">
              <w:rPr>
                <w:sz w:val="18"/>
                <w:szCs w:val="18"/>
              </w:rPr>
              <w:t>38</w:t>
            </w:r>
            <w:r w:rsidRPr="00811D77">
              <w:rPr>
                <w:rFonts w:hint="eastAsia"/>
                <w:sz w:val="18"/>
                <w:szCs w:val="18"/>
              </w:rPr>
              <w:t>%)</w:t>
            </w:r>
          </w:p>
        </w:tc>
      </w:tr>
      <w:tr w:rsidR="00811D77" w:rsidRPr="00811D77" w14:paraId="46B91B22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E984F31" w14:textId="7777777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sinovac (Sinovac Life Sciences Co., Ltd)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422D103" w14:textId="00C499B3" w:rsidR="00811D77" w:rsidRPr="00811D77" w:rsidRDefault="0089031D" w:rsidP="00811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811D77" w:rsidRPr="00811D77">
              <w:rPr>
                <w:rFonts w:hint="eastAsia"/>
                <w:sz w:val="18"/>
                <w:szCs w:val="18"/>
              </w:rPr>
              <w:t xml:space="preserve"> (3</w:t>
            </w:r>
            <w:r>
              <w:rPr>
                <w:sz w:val="18"/>
                <w:szCs w:val="18"/>
              </w:rPr>
              <w:t>3</w:t>
            </w:r>
            <w:r w:rsidR="00811D77" w:rsidRPr="00811D77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</w:t>
            </w:r>
            <w:r w:rsidR="00811D77" w:rsidRPr="00811D77">
              <w:rPr>
                <w:rFonts w:hint="eastAsia"/>
                <w:sz w:val="18"/>
                <w:szCs w:val="18"/>
              </w:rPr>
              <w:t>%)</w:t>
            </w:r>
          </w:p>
        </w:tc>
      </w:tr>
      <w:tr w:rsidR="0089031D" w:rsidRPr="00811D77" w14:paraId="0DF4B8D8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</w:tcPr>
          <w:p w14:paraId="5A1906F6" w14:textId="637BECDA" w:rsidR="0089031D" w:rsidRPr="00811D77" w:rsidRDefault="0089031D" w:rsidP="00811D77">
            <w:pPr>
              <w:rPr>
                <w:rFonts w:hint="eastAsia"/>
                <w:sz w:val="18"/>
                <w:szCs w:val="18"/>
              </w:rPr>
            </w:pPr>
            <w:r w:rsidRPr="0089031D">
              <w:rPr>
                <w:sz w:val="18"/>
                <w:szCs w:val="18"/>
              </w:rPr>
              <w:t>Sinopharm / WIBP (Wuhan Institute of Biological Products Co., Ltd)</w:t>
            </w:r>
            <w:r w:rsidRPr="0089031D">
              <w:rPr>
                <w:sz w:val="18"/>
                <w:szCs w:val="18"/>
              </w:rPr>
              <w:tab/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D2CE25D" w14:textId="5B566D1A" w:rsidR="0089031D" w:rsidRPr="00811D77" w:rsidRDefault="0089031D" w:rsidP="00811D77">
            <w:pPr>
              <w:rPr>
                <w:rFonts w:hint="eastAsia"/>
                <w:sz w:val="18"/>
                <w:szCs w:val="18"/>
              </w:rPr>
            </w:pPr>
            <w:r w:rsidRPr="0089031D">
              <w:rPr>
                <w:sz w:val="18"/>
                <w:szCs w:val="18"/>
              </w:rPr>
              <w:t>1</w:t>
            </w:r>
            <w:r w:rsidR="001637D6">
              <w:rPr>
                <w:sz w:val="18"/>
                <w:szCs w:val="18"/>
              </w:rPr>
              <w:t>0</w:t>
            </w:r>
            <w:r w:rsidRPr="0089031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89031D">
              <w:rPr>
                <w:sz w:val="18"/>
                <w:szCs w:val="18"/>
              </w:rPr>
              <w:t>.</w:t>
            </w:r>
            <w:r w:rsidR="001637D6">
              <w:rPr>
                <w:sz w:val="18"/>
                <w:szCs w:val="18"/>
              </w:rPr>
              <w:t>38</w:t>
            </w:r>
            <w:r w:rsidRPr="0089031D">
              <w:rPr>
                <w:sz w:val="18"/>
                <w:szCs w:val="18"/>
              </w:rPr>
              <w:t>%)</w:t>
            </w:r>
          </w:p>
        </w:tc>
      </w:tr>
      <w:tr w:rsidR="00811D77" w:rsidRPr="00811D77" w14:paraId="08B289EA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4652C649" w14:textId="7777777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CanSinoBio (CanSino Biologics Inc)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8DBDAD" w14:textId="6C3D3574" w:rsidR="00811D77" w:rsidRPr="00811D77" w:rsidRDefault="0089031D" w:rsidP="00811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11D77" w:rsidRPr="00811D77">
              <w:rPr>
                <w:rFonts w:hint="eastAsia"/>
                <w:sz w:val="18"/>
                <w:szCs w:val="18"/>
              </w:rPr>
              <w:t xml:space="preserve"> (2.</w:t>
            </w:r>
            <w:r>
              <w:rPr>
                <w:sz w:val="18"/>
                <w:szCs w:val="18"/>
              </w:rPr>
              <w:t>69</w:t>
            </w:r>
            <w:r w:rsidR="00811D77" w:rsidRPr="00811D77">
              <w:rPr>
                <w:rFonts w:hint="eastAsia"/>
                <w:sz w:val="18"/>
                <w:szCs w:val="18"/>
              </w:rPr>
              <w:t>%)</w:t>
            </w:r>
          </w:p>
        </w:tc>
      </w:tr>
      <w:tr w:rsidR="00811D77" w:rsidRPr="00811D77" w14:paraId="2796FAE6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4461976C" w14:textId="77777777" w:rsidR="00811D77" w:rsidRPr="00811D77" w:rsidRDefault="00811D77" w:rsidP="00811D77">
            <w:pPr>
              <w:rPr>
                <w:sz w:val="18"/>
                <w:szCs w:val="18"/>
              </w:rPr>
            </w:pPr>
            <w:r w:rsidRPr="00811D77">
              <w:rPr>
                <w:rFonts w:hint="eastAsia"/>
                <w:sz w:val="18"/>
                <w:szCs w:val="18"/>
              </w:rPr>
              <w:t>Zhifei Longcom, China (Anhui Zhifei Longcom Biopharmaceutical)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FAD3A9" w14:textId="34021F17" w:rsidR="00811D77" w:rsidRPr="00811D77" w:rsidRDefault="0089031D" w:rsidP="00811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11D77" w:rsidRPr="00811D77">
              <w:rPr>
                <w:rFonts w:hint="eastAsia"/>
                <w:sz w:val="18"/>
                <w:szCs w:val="18"/>
              </w:rPr>
              <w:t xml:space="preserve"> (2.</w:t>
            </w:r>
            <w:r>
              <w:rPr>
                <w:sz w:val="18"/>
                <w:szCs w:val="18"/>
              </w:rPr>
              <w:t>69</w:t>
            </w:r>
            <w:r w:rsidR="00811D77" w:rsidRPr="00811D77">
              <w:rPr>
                <w:rFonts w:hint="eastAsia"/>
                <w:sz w:val="18"/>
                <w:szCs w:val="18"/>
              </w:rPr>
              <w:t>%)</w:t>
            </w:r>
          </w:p>
        </w:tc>
      </w:tr>
      <w:tr w:rsidR="000225EA" w:rsidRPr="00811D77" w14:paraId="2AE92C90" w14:textId="77777777" w:rsidTr="00811D77">
        <w:trPr>
          <w:trHeight w:val="276"/>
        </w:trPr>
        <w:tc>
          <w:tcPr>
            <w:tcW w:w="6480" w:type="dxa"/>
            <w:shd w:val="clear" w:color="auto" w:fill="auto"/>
            <w:noWrap/>
            <w:vAlign w:val="bottom"/>
          </w:tcPr>
          <w:p w14:paraId="5F1D4972" w14:textId="172D1CE2" w:rsidR="000225EA" w:rsidRPr="00811D77" w:rsidRDefault="000225EA" w:rsidP="00811D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otal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1977827" w14:textId="2DFECE35" w:rsidR="000225EA" w:rsidRPr="00811D77" w:rsidRDefault="006A6D84" w:rsidP="00811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</w:tbl>
    <w:p w14:paraId="1BDEAEE4" w14:textId="77777777" w:rsidR="00811D77" w:rsidRDefault="00811D77" w:rsidP="00811D77">
      <w:pPr>
        <w:pStyle w:val="MDPI62BackMatter"/>
        <w:spacing w:before="240"/>
        <w:ind w:left="0"/>
      </w:pPr>
    </w:p>
    <w:p w14:paraId="757B47F3" w14:textId="3C9C2851" w:rsidR="00163486" w:rsidRDefault="00163486">
      <w:pPr>
        <w:spacing w:line="240" w:lineRule="auto"/>
        <w:jc w:val="left"/>
      </w:pPr>
      <w:r>
        <w:br w:type="page"/>
      </w:r>
    </w:p>
    <w:p w14:paraId="34B16755" w14:textId="656B3E66" w:rsidR="00163486" w:rsidRDefault="00163486" w:rsidP="00163486">
      <w:pPr>
        <w:pStyle w:val="MDPI62BackMatter"/>
        <w:spacing w:before="240"/>
        <w:ind w:left="0"/>
      </w:pPr>
      <w:r w:rsidRPr="00FA04F1">
        <w:rPr>
          <w:b/>
        </w:rPr>
        <w:lastRenderedPageBreak/>
        <w:t>Supplementary</w:t>
      </w:r>
      <w:r w:rsidRPr="00B07E0E">
        <w:rPr>
          <w:b/>
        </w:rPr>
        <w:t xml:space="preserve"> </w:t>
      </w:r>
      <w:r w:rsidR="00183C84">
        <w:rPr>
          <w:b/>
        </w:rPr>
        <w:t>T</w:t>
      </w:r>
      <w:r w:rsidRPr="00B07E0E">
        <w:rPr>
          <w:b/>
        </w:rPr>
        <w:t xml:space="preserve">able </w:t>
      </w:r>
      <w:r w:rsidR="006D729C">
        <w:rPr>
          <w:b/>
        </w:rPr>
        <w:t>2</w:t>
      </w:r>
      <w:r w:rsidRPr="00B07E0E">
        <w:rPr>
          <w:b/>
        </w:rPr>
        <w:t xml:space="preserve">. </w:t>
      </w:r>
      <w:r w:rsidRPr="009C0737">
        <w:t xml:space="preserve">The univariate Cox proportional hazard regression analysis of nucleic acid negative </w:t>
      </w:r>
      <w:r>
        <w:t>conversion</w:t>
      </w:r>
      <w:r w:rsidRPr="009C0737">
        <w:t xml:space="preserve"> time in COVID-19 </w:t>
      </w:r>
      <w:r>
        <w:t>p</w:t>
      </w:r>
      <w:r w:rsidRPr="009C0737">
        <w:t>atients (N = 158</w:t>
      </w:r>
      <w:r>
        <w:t>, P &gt; = 0.05</w:t>
      </w:r>
      <w:r w:rsidRPr="009C0737">
        <w:t>)</w:t>
      </w:r>
    </w:p>
    <w:tbl>
      <w:tblPr>
        <w:tblW w:w="8091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62"/>
        <w:gridCol w:w="1560"/>
      </w:tblGrid>
      <w:tr w:rsidR="00163486" w:rsidRPr="00B4041C" w14:paraId="6EB040C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D5E4A6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Variable</w:t>
            </w:r>
          </w:p>
        </w:tc>
        <w:tc>
          <w:tcPr>
            <w:tcW w:w="4122" w:type="dxa"/>
            <w:gridSpan w:val="2"/>
            <w:shd w:val="clear" w:color="auto" w:fill="auto"/>
            <w:noWrap/>
            <w:vAlign w:val="center"/>
            <w:hideMark/>
          </w:tcPr>
          <w:p w14:paraId="6CB173B1" w14:textId="77777777" w:rsidR="00163486" w:rsidRPr="00B4041C" w:rsidRDefault="00163486" w:rsidP="00CA72BE">
            <w:pPr>
              <w:jc w:val="center"/>
              <w:rPr>
                <w:sz w:val="18"/>
                <w:szCs w:val="18"/>
              </w:rPr>
            </w:pPr>
            <w:r w:rsidRPr="00B4041C">
              <w:rPr>
                <w:sz w:val="18"/>
                <w:szCs w:val="18"/>
              </w:rPr>
              <w:t>Duration time of virus infection to nucleic acid negative conversion</w:t>
            </w:r>
          </w:p>
        </w:tc>
      </w:tr>
      <w:tr w:rsidR="00163486" w:rsidRPr="00B4041C" w14:paraId="00D91141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B17598" w14:textId="77777777" w:rsidR="00163486" w:rsidRPr="00B4041C" w:rsidRDefault="00163486" w:rsidP="00CA72BE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4F932B2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HR (95% CI)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1A8E7C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163486" w:rsidRPr="00B4041C" w14:paraId="3FBCAD18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27794CD" w14:textId="2EF248FE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WBC#, </w:t>
            </w:r>
            <w:r w:rsidR="00A41C0F">
              <w:t>×</w:t>
            </w:r>
            <w:r w:rsidRPr="00B4041C">
              <w:rPr>
                <w:rFonts w:hint="eastAsia"/>
                <w:sz w:val="18"/>
                <w:szCs w:val="18"/>
              </w:rPr>
              <w:t>10</w:t>
            </w:r>
            <w:r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Pr="00B4041C">
              <w:rPr>
                <w:rFonts w:hint="eastAsia"/>
                <w:sz w:val="18"/>
                <w:szCs w:val="18"/>
              </w:rPr>
              <w:t>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5.5 vs. &lt;5.5)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60943A10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1.35 (0.98-1.87)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8468F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0.066</w:t>
            </w:r>
          </w:p>
        </w:tc>
      </w:tr>
      <w:tr w:rsidR="00163486" w:rsidRPr="00B4041C" w14:paraId="631305A6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493CDF" w14:textId="41B170E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PLT#, </w:t>
            </w:r>
            <w:r w:rsidR="00A41C0F">
              <w:t>×</w:t>
            </w:r>
            <w:r w:rsidR="00A41C0F" w:rsidRPr="00B4041C">
              <w:rPr>
                <w:rFonts w:hint="eastAsia"/>
                <w:sz w:val="18"/>
                <w:szCs w:val="18"/>
              </w:rPr>
              <w:t>10</w:t>
            </w:r>
            <w:r w:rsidR="00A41C0F"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="00A41C0F" w:rsidRPr="00B4041C">
              <w:rPr>
                <w:rFonts w:hint="eastAsia"/>
                <w:sz w:val="18"/>
                <w:szCs w:val="18"/>
              </w:rPr>
              <w:t xml:space="preserve">/L </w:t>
            </w:r>
            <w:r w:rsidRPr="00B4041C">
              <w:rPr>
                <w:rFonts w:hint="eastAsia"/>
                <w:sz w:val="18"/>
                <w:szCs w:val="18"/>
              </w:rPr>
              <w:t xml:space="preserve">(&gt;200 vs. </w:t>
            </w:r>
            <w:r w:rsidR="000122C1" w:rsidRPr="000122C1">
              <w:rPr>
                <w:rFonts w:ascii="Arial" w:hAnsi="Arial" w:cs="Arial"/>
              </w:rPr>
              <w:t>≤</w:t>
            </w:r>
            <w:r w:rsidRPr="00B4041C">
              <w:rPr>
                <w:rFonts w:hint="eastAsia"/>
                <w:sz w:val="18"/>
                <w:szCs w:val="18"/>
              </w:rPr>
              <w:t>200)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48B117F8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1.12 (0.81-1.54)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F1609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0.487</w:t>
            </w:r>
          </w:p>
        </w:tc>
      </w:tr>
      <w:tr w:rsidR="00163486" w:rsidRPr="00B4041C" w14:paraId="48C9DBF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CCA31E" w14:textId="2BCDAADF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MPV, fL (&gt;10 vs. </w:t>
            </w:r>
            <w:r w:rsidR="000122C1" w:rsidRPr="000122C1">
              <w:rPr>
                <w:rFonts w:ascii="Arial" w:hAnsi="Arial" w:cs="Arial"/>
              </w:rPr>
              <w:t>≤</w:t>
            </w:r>
            <w:r w:rsidRPr="00B4041C">
              <w:rPr>
                <w:rFonts w:hint="eastAsia"/>
                <w:sz w:val="18"/>
                <w:szCs w:val="18"/>
              </w:rPr>
              <w:t>10)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49AB2B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0.75 (0.55-1.04)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C77B16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0.083</w:t>
            </w:r>
          </w:p>
        </w:tc>
      </w:tr>
      <w:tr w:rsidR="00163486" w:rsidRPr="00B4041C" w14:paraId="348CC6A7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07D4C5" w14:textId="061FCBBE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MONO% (&gt;7.3 vs. </w:t>
            </w:r>
            <w:r w:rsidR="000122C1" w:rsidRPr="000122C1">
              <w:rPr>
                <w:rFonts w:ascii="Arial" w:hAnsi="Arial" w:cs="Arial"/>
              </w:rPr>
              <w:t>≤</w:t>
            </w:r>
            <w:r w:rsidRPr="00B4041C">
              <w:rPr>
                <w:rFonts w:hint="eastAsia"/>
                <w:sz w:val="18"/>
                <w:szCs w:val="18"/>
              </w:rPr>
              <w:t>7.3)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5E7A34B9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0.75 (0.55-1.03)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458F0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0.071</w:t>
            </w:r>
          </w:p>
        </w:tc>
      </w:tr>
      <w:tr w:rsidR="00163486" w:rsidRPr="00B4041C" w14:paraId="46F5E39B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ADB69C" w14:textId="2BB407E8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MONO#, </w:t>
            </w:r>
            <w:r w:rsidR="00A41C0F">
              <w:t>×</w:t>
            </w:r>
            <w:r w:rsidR="00A41C0F" w:rsidRPr="00B4041C">
              <w:rPr>
                <w:rFonts w:hint="eastAsia"/>
                <w:sz w:val="18"/>
                <w:szCs w:val="18"/>
              </w:rPr>
              <w:t>10</w:t>
            </w:r>
            <w:r w:rsidR="00A41C0F"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="00A41C0F" w:rsidRPr="00B4041C">
              <w:rPr>
                <w:rFonts w:hint="eastAsia"/>
                <w:sz w:val="18"/>
                <w:szCs w:val="18"/>
              </w:rPr>
              <w:t>/L</w:t>
            </w:r>
            <w:r w:rsidRPr="00B4041C">
              <w:rPr>
                <w:rFonts w:hint="eastAsia"/>
                <w:sz w:val="18"/>
                <w:szCs w:val="18"/>
              </w:rPr>
              <w:t xml:space="preserve"> (&gt;0.4 vs. </w:t>
            </w:r>
            <w:r w:rsidR="000122C1" w:rsidRPr="000122C1">
              <w:rPr>
                <w:rFonts w:ascii="Arial" w:hAnsi="Arial" w:cs="Arial"/>
              </w:rPr>
              <w:t>≤</w:t>
            </w:r>
            <w:r w:rsidRPr="00B4041C">
              <w:rPr>
                <w:rFonts w:hint="eastAsia"/>
                <w:sz w:val="18"/>
                <w:szCs w:val="18"/>
              </w:rPr>
              <w:t>0.4)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E432C26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1.18 (0.86-1.62)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01B7D2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0.297</w:t>
            </w:r>
          </w:p>
        </w:tc>
      </w:tr>
      <w:tr w:rsidR="00163486" w:rsidRPr="00B4041C" w14:paraId="08F1C09F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2995EF" w14:textId="1468F700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MCHC, g/L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344 vs. &lt;344)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069EFDA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0.94 (0.69-1.29)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236BF8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0.721</w:t>
            </w:r>
          </w:p>
        </w:tc>
      </w:tr>
      <w:tr w:rsidR="00163486" w:rsidRPr="00B4041C" w14:paraId="21BB6DD2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7737BA" w14:textId="3D63035D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MCV, fL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89.4 vs. &lt;89.4)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1A1BB9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0.84 (0.61-1.15)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A6E566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0.273</w:t>
            </w:r>
          </w:p>
        </w:tc>
      </w:tr>
      <w:tr w:rsidR="00163486" w:rsidRPr="00B4041C" w14:paraId="6588055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70DD1E" w14:textId="40EF127F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MCH, pg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30.8 vs. &lt;30.8)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3ADF9AD8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0.79 (0.58-1.09)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442D3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0.154</w:t>
            </w:r>
          </w:p>
        </w:tc>
      </w:tr>
      <w:tr w:rsidR="00163486" w:rsidRPr="00B4041C" w14:paraId="06CF557F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4139A3" w14:textId="7F2E1DBE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LYMPH#, </w:t>
            </w:r>
            <w:r w:rsidR="00A41C0F">
              <w:t>×</w:t>
            </w:r>
            <w:r w:rsidR="00A41C0F" w:rsidRPr="00B4041C">
              <w:rPr>
                <w:rFonts w:hint="eastAsia"/>
                <w:sz w:val="18"/>
                <w:szCs w:val="18"/>
              </w:rPr>
              <w:t>10</w:t>
            </w:r>
            <w:r w:rsidR="00A41C0F"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="00A41C0F" w:rsidRPr="00B4041C">
              <w:rPr>
                <w:rFonts w:hint="eastAsia"/>
                <w:sz w:val="18"/>
                <w:szCs w:val="18"/>
              </w:rPr>
              <w:t>/L</w:t>
            </w:r>
            <w:r w:rsidRPr="00B4041C">
              <w:rPr>
                <w:rFonts w:hint="eastAsia"/>
                <w:sz w:val="18"/>
                <w:szCs w:val="18"/>
              </w:rPr>
              <w:t xml:space="preserve">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1.59 vs. &lt;1.59)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174CFF0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0.87 (0.64-1.19)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E1719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0.391</w:t>
            </w:r>
          </w:p>
        </w:tc>
      </w:tr>
      <w:tr w:rsidR="00163486" w:rsidRPr="00B4041C" w14:paraId="58F35BFE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0FA00F" w14:textId="7E958BE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EO#,</w:t>
            </w:r>
            <w:r w:rsidR="00A41C0F">
              <w:t>×</w:t>
            </w:r>
            <w:r w:rsidR="00A41C0F" w:rsidRPr="00B4041C">
              <w:rPr>
                <w:rFonts w:hint="eastAsia"/>
                <w:sz w:val="18"/>
                <w:szCs w:val="18"/>
              </w:rPr>
              <w:t>10</w:t>
            </w:r>
            <w:r w:rsidR="00A41C0F"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="00A41C0F" w:rsidRPr="00B4041C">
              <w:rPr>
                <w:rFonts w:hint="eastAsia"/>
                <w:sz w:val="18"/>
                <w:szCs w:val="18"/>
              </w:rPr>
              <w:t>/L</w:t>
            </w:r>
            <w:r w:rsidRPr="00B4041C">
              <w:rPr>
                <w:rFonts w:hint="eastAsia"/>
                <w:sz w:val="18"/>
                <w:szCs w:val="18"/>
              </w:rPr>
              <w:t xml:space="preserve">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0.09 vs. &lt;0.09)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17C3EC3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1.13 (0.83-1.56)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80741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0.439</w:t>
            </w:r>
          </w:p>
        </w:tc>
      </w:tr>
      <w:tr w:rsidR="00163486" w:rsidRPr="00B4041C" w14:paraId="0542D7E5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1D145A" w14:textId="2EE51F60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EO%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1.5 vs. &lt;1.5)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5A2803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0.84 (0.61-1.15)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1E58D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0.277</w:t>
            </w:r>
          </w:p>
        </w:tc>
      </w:tr>
      <w:tr w:rsidR="00163486" w:rsidRPr="00B4041C" w14:paraId="03EFE0BA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61310C" w14:textId="43789C0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BASO%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0.4 vs. &lt;0.4)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5BA396CA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0.97 (0.71-1.33)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DC9FEC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0.849</w:t>
            </w:r>
          </w:p>
        </w:tc>
      </w:tr>
      <w:tr w:rsidR="00163486" w:rsidRPr="00B4041C" w14:paraId="5A2EC768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48CF7B2" w14:textId="0A098066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BASO#, </w:t>
            </w:r>
            <w:r w:rsidR="00A41C0F">
              <w:t>×</w:t>
            </w:r>
            <w:r w:rsidR="00A41C0F" w:rsidRPr="00B4041C">
              <w:rPr>
                <w:rFonts w:hint="eastAsia"/>
                <w:sz w:val="18"/>
                <w:szCs w:val="18"/>
              </w:rPr>
              <w:t>10</w:t>
            </w:r>
            <w:r w:rsidR="00A41C0F" w:rsidRPr="00A41C0F">
              <w:rPr>
                <w:rFonts w:hint="eastAsia"/>
                <w:sz w:val="18"/>
                <w:szCs w:val="18"/>
                <w:vertAlign w:val="superscript"/>
              </w:rPr>
              <w:t>9</w:t>
            </w:r>
            <w:r w:rsidR="00A41C0F" w:rsidRPr="00B4041C">
              <w:rPr>
                <w:rFonts w:hint="eastAsia"/>
                <w:sz w:val="18"/>
                <w:szCs w:val="18"/>
              </w:rPr>
              <w:t>/L</w:t>
            </w:r>
            <w:r w:rsidRPr="00B4041C">
              <w:rPr>
                <w:rFonts w:hint="eastAsia"/>
                <w:sz w:val="18"/>
                <w:szCs w:val="18"/>
              </w:rPr>
              <w:t xml:space="preserve"> (</w:t>
            </w:r>
            <w:r w:rsidR="0021448E" w:rsidRPr="00B32A76">
              <w:rPr>
                <w:rFonts w:ascii="Arial" w:hAnsi="Arial" w:cs="Arial"/>
              </w:rPr>
              <w:sym w:font="Symbol" w:char="F0B3"/>
            </w:r>
            <w:r w:rsidR="0021448E">
              <w:rPr>
                <w:rFonts w:hint="eastAsia"/>
                <w:sz w:val="18"/>
                <w:szCs w:val="18"/>
              </w:rPr>
              <w:t>0</w:t>
            </w:r>
            <w:r w:rsidR="0021448E">
              <w:rPr>
                <w:sz w:val="18"/>
                <w:szCs w:val="18"/>
              </w:rPr>
              <w:t xml:space="preserve">.03 vs. </w:t>
            </w:r>
            <w:r w:rsidR="0021448E" w:rsidRPr="00B4041C">
              <w:rPr>
                <w:rFonts w:hint="eastAsia"/>
                <w:sz w:val="18"/>
                <w:szCs w:val="18"/>
              </w:rPr>
              <w:t>&lt;</w:t>
            </w:r>
            <w:r w:rsidR="0021448E">
              <w:rPr>
                <w:sz w:val="18"/>
                <w:szCs w:val="18"/>
              </w:rPr>
              <w:t>0.03</w:t>
            </w:r>
            <w:r w:rsidRPr="00B4041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4F071D03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1.12 (0.79-1.59)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F0E284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0.510</w:t>
            </w:r>
          </w:p>
        </w:tc>
      </w:tr>
      <w:tr w:rsidR="00163486" w:rsidRPr="00B4041C" w14:paraId="784CB2B2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A4B85F" w14:textId="066129FE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ALP, U/L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79 vs. &lt;79)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D41FB4F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1.02 (0.74-1.39)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530DF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0.908</w:t>
            </w:r>
          </w:p>
        </w:tc>
      </w:tr>
      <w:tr w:rsidR="00163486" w:rsidRPr="00B4041C" w14:paraId="15E1F4E9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70464F" w14:textId="5ADCA7CB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ALT, U/L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22 vs. &lt;22)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3B46110D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0.87(0.64-1.19)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08FD16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0.383</w:t>
            </w:r>
          </w:p>
        </w:tc>
      </w:tr>
      <w:tr w:rsidR="00163486" w:rsidRPr="00B4041C" w14:paraId="399707EC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7D3FCD" w14:textId="7377A9ED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AST, U/L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21 vs. &lt;21)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180554F2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1.01 (0.74-1.38)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98879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0.959</w:t>
            </w:r>
          </w:p>
        </w:tc>
      </w:tr>
      <w:tr w:rsidR="00163486" w:rsidRPr="00B4041C" w14:paraId="733B1A3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217AE91" w14:textId="76DA5EA6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UREA, mmol/L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4.8 vs. &lt;4.8)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1190D59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1.15 (0.84-1.57)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5F688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0.395</w:t>
            </w:r>
          </w:p>
        </w:tc>
      </w:tr>
      <w:tr w:rsidR="00163486" w:rsidRPr="00B4041C" w14:paraId="535A733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69183B" w14:textId="1614CD51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CREA, </w:t>
            </w:r>
            <w:r w:rsidRPr="00B4041C">
              <w:rPr>
                <w:sz w:val="18"/>
                <w:szCs w:val="18"/>
              </w:rPr>
              <w:t>μ</w:t>
            </w:r>
            <w:r w:rsidRPr="00B4041C">
              <w:rPr>
                <w:rFonts w:hint="eastAsia"/>
                <w:sz w:val="18"/>
                <w:szCs w:val="18"/>
              </w:rPr>
              <w:t>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78 vs. &lt;78)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3D35319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0.88 (0.65-1.21)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279A6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0.441</w:t>
            </w:r>
          </w:p>
        </w:tc>
      </w:tr>
      <w:tr w:rsidR="00163486" w:rsidRPr="00B4041C" w14:paraId="7A61025C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0023DF3" w14:textId="20917766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DBIL, </w:t>
            </w:r>
            <w:r w:rsidRPr="00B4041C">
              <w:rPr>
                <w:sz w:val="18"/>
                <w:szCs w:val="18"/>
              </w:rPr>
              <w:t>μ</w:t>
            </w:r>
            <w:r w:rsidRPr="00B4041C">
              <w:rPr>
                <w:rFonts w:hint="eastAsia"/>
                <w:sz w:val="18"/>
                <w:szCs w:val="18"/>
              </w:rPr>
              <w:t>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2.3 vs. &lt;2.3)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10F65A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0.91 (0.67-1.25)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BA768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0.569</w:t>
            </w:r>
          </w:p>
        </w:tc>
      </w:tr>
      <w:tr w:rsidR="00163486" w:rsidRPr="00B4041C" w14:paraId="3A5D3984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6A4845F" w14:textId="666EBFE6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GGT, U/L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24 vs. &lt;24)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077219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1.03 (0.75-1.41)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50085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0.850</w:t>
            </w:r>
          </w:p>
        </w:tc>
      </w:tr>
      <w:tr w:rsidR="00163486" w:rsidRPr="00B4041C" w14:paraId="7C251DE5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74481C" w14:textId="5102DC83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TBIL, </w:t>
            </w:r>
            <w:r w:rsidRPr="00B4041C">
              <w:rPr>
                <w:sz w:val="18"/>
                <w:szCs w:val="18"/>
              </w:rPr>
              <w:t>μ</w:t>
            </w:r>
            <w:r w:rsidRPr="00B4041C">
              <w:rPr>
                <w:rFonts w:hint="eastAsia"/>
                <w:sz w:val="18"/>
                <w:szCs w:val="18"/>
              </w:rPr>
              <w:t>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12.8 vs. &lt;12.8)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8FF14C3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0.94 (0.68-1.28)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CC7EB0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0.681</w:t>
            </w:r>
          </w:p>
        </w:tc>
      </w:tr>
      <w:tr w:rsidR="00163486" w:rsidRPr="00B4041C" w14:paraId="3BF71D98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F8D30D" w14:textId="24BC25B4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TP, g/L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68 vs. &lt;68)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2C5731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0.81 (0.59-1.11)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DDEDC2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0.184</w:t>
            </w:r>
          </w:p>
        </w:tc>
      </w:tr>
      <w:tr w:rsidR="00163486" w:rsidRPr="00B4041C" w14:paraId="3AD7FEA2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373334" w14:textId="077363E5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TBA, </w:t>
            </w:r>
            <w:r w:rsidRPr="00B4041C">
              <w:rPr>
                <w:sz w:val="18"/>
                <w:szCs w:val="18"/>
              </w:rPr>
              <w:t>μ</w:t>
            </w:r>
            <w:r w:rsidRPr="00B4041C">
              <w:rPr>
                <w:rFonts w:hint="eastAsia"/>
                <w:sz w:val="18"/>
                <w:szCs w:val="18"/>
              </w:rPr>
              <w:t>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4.3 vs. &lt;4.3)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6AB4035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1.01 (0.74-1.39)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F11C5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0.938</w:t>
            </w:r>
          </w:p>
        </w:tc>
      </w:tr>
      <w:tr w:rsidR="00163486" w:rsidRPr="00B4041C" w14:paraId="1269AA42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5050F7" w14:textId="19C24BE1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UA, </w:t>
            </w:r>
            <w:r w:rsidRPr="00B4041C">
              <w:rPr>
                <w:sz w:val="18"/>
                <w:szCs w:val="18"/>
              </w:rPr>
              <w:t>μ</w:t>
            </w:r>
            <w:r w:rsidRPr="00B4041C">
              <w:rPr>
                <w:rFonts w:hint="eastAsia"/>
                <w:sz w:val="18"/>
                <w:szCs w:val="18"/>
              </w:rPr>
              <w:t>mol/L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331.9 vs. &lt;331.9)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33ECB7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1.29 (0.94-1.78)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10E68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0.114</w:t>
            </w:r>
          </w:p>
        </w:tc>
      </w:tr>
      <w:tr w:rsidR="00163486" w:rsidRPr="00B4041C" w14:paraId="40F7553A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B56331" w14:textId="79546660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PA, g/L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207 vs. &lt;207)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1BAB380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0.85 (0.62-1.17)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9032BE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0.319</w:t>
            </w:r>
          </w:p>
        </w:tc>
      </w:tr>
      <w:tr w:rsidR="00163486" w:rsidRPr="00B4041C" w14:paraId="4D611FED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8D605E" w14:textId="1144CE69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ADA, U/L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12 vs. &lt;12)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9B6EF3C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0.84 (0.61-1.16)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0498A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0.288</w:t>
            </w:r>
          </w:p>
        </w:tc>
      </w:tr>
      <w:tr w:rsidR="00163486" w:rsidRPr="00B4041C" w14:paraId="6EE8E85C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2129819" w14:textId="54561D2F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eGFR, mL/min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87.9 vs. &lt;87.9)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3E61B81F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1.35 (0.98-1.86)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E14A3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0.064</w:t>
            </w:r>
          </w:p>
        </w:tc>
      </w:tr>
      <w:tr w:rsidR="00163486" w:rsidRPr="00B4041C" w14:paraId="223105EE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26FD17" w14:textId="56986976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CG, mg/L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1.8 vs. &lt;1.8)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0AC85C50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1.04(0.75-1.42)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8A0D6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0.831</w:t>
            </w:r>
          </w:p>
        </w:tc>
      </w:tr>
      <w:tr w:rsidR="00163486" w:rsidRPr="00B4041C" w14:paraId="2048EDBD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BD4950" w14:textId="088C2B9A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Cystatin C, mg/L (</w:t>
            </w:r>
            <w:r w:rsidR="000122C1" w:rsidRPr="00B32A76">
              <w:rPr>
                <w:rFonts w:ascii="Arial" w:hAnsi="Arial" w:cs="Arial"/>
              </w:rPr>
              <w:sym w:font="Symbol" w:char="F0B3"/>
            </w:r>
            <w:r w:rsidRPr="00B4041C">
              <w:rPr>
                <w:rFonts w:hint="eastAsia"/>
                <w:sz w:val="18"/>
                <w:szCs w:val="18"/>
              </w:rPr>
              <w:t>0.9 vs. &lt;0.9)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1B2515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1.15 (0.84-1.58)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E730D3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0.385</w:t>
            </w:r>
          </w:p>
        </w:tc>
      </w:tr>
      <w:tr w:rsidR="00163486" w:rsidRPr="00B4041C" w14:paraId="401FB365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D5326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Sex (Female vs. Male)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15FB1227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0.77 (0.56-1.06)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F42441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0.113</w:t>
            </w:r>
          </w:p>
        </w:tc>
      </w:tr>
      <w:tr w:rsidR="00163486" w:rsidRPr="00B4041C" w14:paraId="7F442183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32051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Vaccination status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68FAA75C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F36A5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0.872</w:t>
            </w:r>
          </w:p>
        </w:tc>
      </w:tr>
      <w:tr w:rsidR="00163486" w:rsidRPr="00B4041C" w14:paraId="2A0038EA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C6938D" w14:textId="77777777" w:rsidR="00163486" w:rsidRPr="00B4041C" w:rsidRDefault="00163486" w:rsidP="00CA72BE">
            <w:pPr>
              <w:ind w:leftChars="200" w:left="400"/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241776E5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Reference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38ED9C" w14:textId="77777777" w:rsidR="00163486" w:rsidRPr="00B4041C" w:rsidRDefault="00163486" w:rsidP="00CA72BE">
            <w:pPr>
              <w:rPr>
                <w:sz w:val="18"/>
                <w:szCs w:val="18"/>
              </w:rPr>
            </w:pPr>
          </w:p>
        </w:tc>
      </w:tr>
      <w:tr w:rsidR="00163486" w:rsidRPr="00B4041C" w14:paraId="550789BA" w14:textId="77777777" w:rsidTr="00CA72BE">
        <w:trPr>
          <w:trHeight w:val="2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94282C" w14:textId="77777777" w:rsidR="00163486" w:rsidRPr="00B4041C" w:rsidRDefault="00163486" w:rsidP="00CA72BE">
            <w:pPr>
              <w:ind w:leftChars="200" w:left="400"/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62" w:type="dxa"/>
            <w:shd w:val="clear" w:color="auto" w:fill="auto"/>
            <w:noWrap/>
            <w:vAlign w:val="center"/>
            <w:hideMark/>
          </w:tcPr>
          <w:p w14:paraId="7FD5FE8A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0.87 (0.60-1.27)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92FD2D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0.473</w:t>
            </w:r>
          </w:p>
        </w:tc>
      </w:tr>
      <w:tr w:rsidR="00163486" w:rsidRPr="00B4041C" w14:paraId="420EFEF3" w14:textId="77777777" w:rsidTr="00CA72BE">
        <w:trPr>
          <w:trHeight w:val="27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915E" w14:textId="77777777" w:rsidR="00163486" w:rsidRPr="00B4041C" w:rsidRDefault="00163486" w:rsidP="00CA72BE">
            <w:pPr>
              <w:ind w:leftChars="200" w:left="400"/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931A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1.20 (0.37-3.85)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8A8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0.765</w:t>
            </w:r>
          </w:p>
        </w:tc>
      </w:tr>
      <w:tr w:rsidR="00163486" w:rsidRPr="00B4041C" w14:paraId="4FD1D890" w14:textId="77777777" w:rsidTr="00CA72BE">
        <w:trPr>
          <w:trHeight w:val="27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99C7" w14:textId="77777777" w:rsidR="00163486" w:rsidRPr="00B4041C" w:rsidRDefault="00163486" w:rsidP="00CA72BE">
            <w:pPr>
              <w:ind w:leftChars="200" w:left="400"/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378B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0.93 (0.61-1.40)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793" w14:textId="77777777" w:rsidR="00163486" w:rsidRPr="00B4041C" w:rsidRDefault="00163486" w:rsidP="00CA72BE">
            <w:pPr>
              <w:rPr>
                <w:sz w:val="18"/>
                <w:szCs w:val="18"/>
              </w:rPr>
            </w:pPr>
            <w:r w:rsidRPr="00B4041C">
              <w:rPr>
                <w:rFonts w:hint="eastAsia"/>
                <w:sz w:val="18"/>
                <w:szCs w:val="18"/>
              </w:rPr>
              <w:t>0.716</w:t>
            </w:r>
          </w:p>
        </w:tc>
      </w:tr>
    </w:tbl>
    <w:p w14:paraId="4DC37FDF" w14:textId="77777777" w:rsidR="00811D77" w:rsidRPr="00811D77" w:rsidRDefault="00811D77"/>
    <w:sectPr w:rsidR="00811D77" w:rsidRPr="0081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3B4E" w14:textId="77777777" w:rsidR="00282B8E" w:rsidRDefault="00282B8E" w:rsidP="00811D77">
      <w:pPr>
        <w:spacing w:line="240" w:lineRule="auto"/>
      </w:pPr>
      <w:r>
        <w:separator/>
      </w:r>
    </w:p>
  </w:endnote>
  <w:endnote w:type="continuationSeparator" w:id="0">
    <w:p w14:paraId="679E00D0" w14:textId="77777777" w:rsidR="00282B8E" w:rsidRDefault="00282B8E" w:rsidP="00811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F7FF" w14:textId="77777777" w:rsidR="00282B8E" w:rsidRDefault="00282B8E" w:rsidP="00811D77">
      <w:pPr>
        <w:spacing w:line="240" w:lineRule="auto"/>
      </w:pPr>
      <w:r>
        <w:separator/>
      </w:r>
    </w:p>
  </w:footnote>
  <w:footnote w:type="continuationSeparator" w:id="0">
    <w:p w14:paraId="26B87987" w14:textId="77777777" w:rsidR="00282B8E" w:rsidRDefault="00282B8E" w:rsidP="00811D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9E"/>
    <w:rsid w:val="000122C1"/>
    <w:rsid w:val="000225EA"/>
    <w:rsid w:val="00163486"/>
    <w:rsid w:val="001637D6"/>
    <w:rsid w:val="00183C84"/>
    <w:rsid w:val="00196A2D"/>
    <w:rsid w:val="001A0479"/>
    <w:rsid w:val="0021448E"/>
    <w:rsid w:val="00273B9E"/>
    <w:rsid w:val="00282B8E"/>
    <w:rsid w:val="005B4771"/>
    <w:rsid w:val="00654E3C"/>
    <w:rsid w:val="006A6D84"/>
    <w:rsid w:val="006A7472"/>
    <w:rsid w:val="006D729C"/>
    <w:rsid w:val="00745C5C"/>
    <w:rsid w:val="00811D77"/>
    <w:rsid w:val="0089031D"/>
    <w:rsid w:val="009D253A"/>
    <w:rsid w:val="00A41C0F"/>
    <w:rsid w:val="00D622E6"/>
    <w:rsid w:val="00DA4D7F"/>
    <w:rsid w:val="00DE5340"/>
    <w:rsid w:val="00E27A70"/>
    <w:rsid w:val="00E5742A"/>
    <w:rsid w:val="00EE7677"/>
    <w:rsid w:val="00F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27D94"/>
  <w15:chartTrackingRefBased/>
  <w15:docId w15:val="{313CA5D6-F4E7-42C4-895D-13B29E3E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9E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62BackMatter">
    <w:name w:val="MDPI_6.2_BackMatter"/>
    <w:qFormat/>
    <w:rsid w:val="00273B9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811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D77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D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D77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pu</dc:creator>
  <cp:keywords/>
  <dc:description/>
  <cp:lastModifiedBy>li pu</cp:lastModifiedBy>
  <cp:revision>8</cp:revision>
  <dcterms:created xsi:type="dcterms:W3CDTF">2023-01-30T00:19:00Z</dcterms:created>
  <dcterms:modified xsi:type="dcterms:W3CDTF">2023-01-30T11:07:00Z</dcterms:modified>
</cp:coreProperties>
</file>