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2DD8" w14:textId="6E964A7C" w:rsidR="002766C5" w:rsidRPr="00C97269" w:rsidRDefault="00E34620">
      <w:pPr>
        <w:spacing w:before="0" w:after="0" w:line="360" w:lineRule="auto"/>
        <w:rPr>
          <w:rFonts w:ascii="Arial" w:hAnsi="Arial" w:cs="Arial"/>
          <w:b/>
          <w:bCs/>
          <w:color w:val="000000"/>
          <w:sz w:val="28"/>
          <w:szCs w:val="28"/>
          <w:lang w:eastAsia="zh-CN"/>
        </w:rPr>
      </w:pPr>
      <w:r w:rsidRPr="00C97269">
        <w:rPr>
          <w:rFonts w:ascii="Arial" w:hAnsi="Arial" w:cs="Arial"/>
          <w:b/>
          <w:bCs/>
          <w:color w:val="000000"/>
          <w:szCs w:val="24"/>
          <w:lang w:eastAsia="zh-CN"/>
        </w:rPr>
        <w:t>Supplementary material</w:t>
      </w:r>
      <w:r w:rsidRPr="00C97269" w:rsidDel="00E34620">
        <w:rPr>
          <w:rFonts w:ascii="Arial" w:hAnsi="Arial" w:cs="Arial"/>
          <w:b/>
          <w:bCs/>
          <w:color w:val="000000"/>
          <w:szCs w:val="24"/>
          <w:lang w:eastAsia="zh-CN"/>
        </w:rPr>
        <w:t xml:space="preserve"> </w:t>
      </w:r>
      <w:r w:rsidR="002766C5" w:rsidRPr="00C97269">
        <w:rPr>
          <w:rFonts w:ascii="Arial" w:hAnsi="Arial" w:cs="Arial"/>
          <w:b/>
          <w:bCs/>
          <w:color w:val="000000"/>
          <w:sz w:val="28"/>
          <w:szCs w:val="28"/>
          <w:lang w:eastAsia="zh-CN"/>
        </w:rPr>
        <w:t>Method</w:t>
      </w:r>
    </w:p>
    <w:p w14:paraId="58417867" w14:textId="1A7F2919" w:rsidR="00015EC1" w:rsidRPr="00C97269" w:rsidRDefault="00015EC1" w:rsidP="00706BE9">
      <w:pPr>
        <w:spacing w:before="0" w:after="0" w:line="360" w:lineRule="auto"/>
        <w:rPr>
          <w:rFonts w:ascii="Arial" w:hAnsi="Arial" w:cs="Arial"/>
          <w:b/>
          <w:bCs/>
          <w:color w:val="000000"/>
          <w:szCs w:val="24"/>
          <w:lang w:eastAsia="zh-CN"/>
        </w:rPr>
      </w:pPr>
      <w:r w:rsidRPr="00C97269">
        <w:rPr>
          <w:rFonts w:ascii="Arial" w:hAnsi="Arial" w:cs="Arial"/>
          <w:b/>
          <w:bCs/>
          <w:color w:val="000000"/>
          <w:szCs w:val="24"/>
          <w:lang w:eastAsia="zh-CN"/>
        </w:rPr>
        <w:t>Procedure and quality control of mNGS</w:t>
      </w:r>
    </w:p>
    <w:p w14:paraId="7E964EDA" w14:textId="77777777" w:rsidR="003C790D" w:rsidRPr="00C97269" w:rsidRDefault="003C790D" w:rsidP="007F0D6D">
      <w:pPr>
        <w:spacing w:before="0" w:after="0" w:line="360" w:lineRule="auto"/>
        <w:jc w:val="both"/>
        <w:rPr>
          <w:rFonts w:ascii="Arial" w:hAnsi="Arial" w:cs="Arial"/>
          <w:color w:val="000000"/>
          <w:kern w:val="2"/>
          <w:szCs w:val="24"/>
          <w:lang w:eastAsia="zh-CN"/>
        </w:rPr>
      </w:pPr>
      <w:r w:rsidRPr="00C97269">
        <w:rPr>
          <w:rFonts w:ascii="Arial" w:hAnsi="Arial" w:cs="Arial"/>
          <w:color w:val="000000"/>
          <w:kern w:val="2"/>
          <w:szCs w:val="24"/>
          <w:lang w:eastAsia="zh-CN"/>
        </w:rPr>
        <w:t>1. Procedure of mNGS</w:t>
      </w:r>
    </w:p>
    <w:p w14:paraId="33B10885" w14:textId="5321336A" w:rsidR="00D06CE3" w:rsidRPr="00C97269" w:rsidRDefault="00CB7DAB" w:rsidP="007F0D6D">
      <w:pPr>
        <w:spacing w:line="360" w:lineRule="auto"/>
        <w:jc w:val="both"/>
        <w:rPr>
          <w:rFonts w:ascii="Arial" w:hAnsi="Arial" w:cs="Arial"/>
          <w:color w:val="000000"/>
          <w:szCs w:val="24"/>
        </w:rPr>
      </w:pPr>
      <w:r w:rsidRPr="00C97269">
        <w:rPr>
          <w:rFonts w:ascii="Arial" w:hAnsi="Arial" w:cs="Arial"/>
          <w:color w:val="000000"/>
          <w:kern w:val="2"/>
          <w:szCs w:val="24"/>
          <w:lang w:eastAsia="zh-CN"/>
        </w:rPr>
        <w:t>Lumbar lesion specimens (LLS)</w:t>
      </w:r>
      <w:r w:rsidR="003C790D" w:rsidRPr="00C97269">
        <w:rPr>
          <w:rFonts w:ascii="Arial" w:hAnsi="Arial" w:cs="Arial"/>
          <w:color w:val="000000"/>
          <w:szCs w:val="24"/>
        </w:rPr>
        <w:t xml:space="preserve"> </w:t>
      </w:r>
      <w:r w:rsidR="003C790D" w:rsidRPr="00C97269">
        <w:rPr>
          <w:rFonts w:ascii="Arial" w:hAnsi="Arial" w:cs="Arial"/>
          <w:color w:val="000000"/>
          <w:szCs w:val="24"/>
          <w:lang w:eastAsia="zh-CN"/>
        </w:rPr>
        <w:t>were collected by i</w:t>
      </w:r>
      <w:r w:rsidR="003C790D" w:rsidRPr="00C97269">
        <w:rPr>
          <w:rFonts w:ascii="Arial" w:hAnsi="Arial" w:cs="Arial"/>
          <w:color w:val="000000"/>
          <w:szCs w:val="24"/>
        </w:rPr>
        <w:t xml:space="preserve">ntraoperative lesion sampling. The samples were stored in a sterile container, then preserved and transported </w:t>
      </w:r>
      <w:r w:rsidR="00BA0A31" w:rsidRPr="00C97269">
        <w:rPr>
          <w:rFonts w:ascii="Arial" w:hAnsi="Arial" w:cs="Arial"/>
          <w:color w:val="000000"/>
          <w:szCs w:val="24"/>
        </w:rPr>
        <w:t xml:space="preserve">to Cellular &amp; Molecular Diagnostics Center of Sun Yat-sen memorial hospital </w:t>
      </w:r>
      <w:r w:rsidR="00BA0A31" w:rsidRPr="00C97269">
        <w:rPr>
          <w:rFonts w:ascii="Arial" w:hAnsi="Arial" w:cs="Arial"/>
          <w:color w:val="000000"/>
          <w:szCs w:val="24"/>
          <w:lang w:eastAsia="zh-CN"/>
        </w:rPr>
        <w:t>with</w:t>
      </w:r>
      <w:r w:rsidR="00BA0A31" w:rsidRPr="00C97269">
        <w:rPr>
          <w:rFonts w:ascii="Arial" w:hAnsi="Arial" w:cs="Arial"/>
          <w:color w:val="000000"/>
          <w:szCs w:val="24"/>
        </w:rPr>
        <w:t xml:space="preserve">in 30 minutes </w:t>
      </w:r>
      <w:r w:rsidR="003C790D" w:rsidRPr="00C97269">
        <w:rPr>
          <w:rFonts w:ascii="Arial" w:hAnsi="Arial" w:cs="Arial"/>
          <w:color w:val="000000"/>
          <w:szCs w:val="24"/>
        </w:rPr>
        <w:t>in dry ice</w:t>
      </w:r>
      <w:r w:rsidR="00BA0A31" w:rsidRPr="00C97269">
        <w:rPr>
          <w:rFonts w:ascii="Arial" w:hAnsi="Arial" w:cs="Arial"/>
          <w:color w:val="000000"/>
          <w:szCs w:val="24"/>
        </w:rPr>
        <w:t xml:space="preserve"> (4</w:t>
      </w:r>
      <w:r w:rsidR="00BA0A31" w:rsidRPr="00C97269">
        <w:rPr>
          <w:rFonts w:ascii="SimSun" w:hAnsi="SimSun" w:cs="SimSun" w:hint="eastAsia"/>
          <w:color w:val="000000"/>
          <w:szCs w:val="24"/>
          <w:lang w:eastAsia="zh-CN"/>
        </w:rPr>
        <w:t>℃</w:t>
      </w:r>
      <w:r w:rsidR="00BA0A31" w:rsidRPr="00C97269">
        <w:rPr>
          <w:rFonts w:ascii="Arial" w:hAnsi="Arial" w:cs="Arial"/>
          <w:color w:val="000000"/>
          <w:szCs w:val="24"/>
        </w:rPr>
        <w:t>)</w:t>
      </w:r>
      <w:r w:rsidR="003C790D" w:rsidRPr="00C97269">
        <w:rPr>
          <w:rFonts w:ascii="Arial" w:hAnsi="Arial" w:cs="Arial"/>
          <w:color w:val="000000"/>
          <w:szCs w:val="24"/>
        </w:rPr>
        <w:t>. The whole process of sequencing and pathogen detection pipeline were carried out in the laboratory of</w:t>
      </w:r>
      <w:r w:rsidR="006A7499" w:rsidRPr="00C97269">
        <w:rPr>
          <w:rFonts w:ascii="Arial" w:hAnsi="Arial" w:cs="Arial"/>
          <w:color w:val="000000"/>
          <w:szCs w:val="24"/>
        </w:rPr>
        <w:t xml:space="preserve"> Cellular &amp; Molecular Diagnostics Center of Sun Yat-sen memorial hospital, Sun Yat-sen university, Guangzhou, China</w:t>
      </w:r>
      <w:r w:rsidR="003C790D" w:rsidRPr="00C97269">
        <w:rPr>
          <w:rFonts w:ascii="Arial" w:hAnsi="Arial" w:cs="Arial"/>
          <w:color w:val="000000"/>
          <w:szCs w:val="24"/>
        </w:rPr>
        <w:t>.</w:t>
      </w:r>
    </w:p>
    <w:p w14:paraId="58B104F6" w14:textId="78128AA6" w:rsidR="006A7499" w:rsidRPr="00C97269" w:rsidRDefault="006A7499" w:rsidP="008A4B55">
      <w:pPr>
        <w:spacing w:line="360" w:lineRule="auto"/>
        <w:jc w:val="both"/>
        <w:rPr>
          <w:rFonts w:ascii="Arial" w:hAnsi="Arial" w:cs="Arial"/>
          <w:color w:val="000000"/>
          <w:kern w:val="2"/>
          <w:szCs w:val="24"/>
          <w:lang w:eastAsia="zh-CN"/>
        </w:rPr>
      </w:pPr>
      <w:bookmarkStart w:id="0" w:name="OLE_LINK2"/>
      <w:bookmarkStart w:id="1" w:name="OLE_LINK3"/>
      <w:r w:rsidRPr="00C97269">
        <w:rPr>
          <w:rFonts w:ascii="Arial" w:hAnsi="Arial" w:cs="Arial"/>
          <w:color w:val="000000"/>
          <w:kern w:val="2"/>
          <w:szCs w:val="24"/>
          <w:lang w:eastAsia="zh-CN"/>
        </w:rPr>
        <w:t xml:space="preserve">The DNA of samples was extracted by </w:t>
      </w:r>
      <w:r w:rsidR="004960DE" w:rsidRPr="00C97269">
        <w:rPr>
          <w:rFonts w:ascii="Arial" w:hAnsi="Arial" w:cs="Arial"/>
          <w:color w:val="000000"/>
          <w:szCs w:val="24"/>
          <w:lang w:eastAsia="zh-CN"/>
        </w:rPr>
        <w:t>n</w:t>
      </w:r>
      <w:r w:rsidR="00BA0A31" w:rsidRPr="00C97269">
        <w:rPr>
          <w:rFonts w:ascii="Arial" w:hAnsi="Arial" w:cs="Arial"/>
          <w:color w:val="000000"/>
          <w:szCs w:val="24"/>
        </w:rPr>
        <w:t xml:space="preserve">ucleic acid extraction kit </w:t>
      </w:r>
      <w:r w:rsidRPr="00C97269">
        <w:rPr>
          <w:rFonts w:ascii="Arial" w:hAnsi="Arial" w:cs="Arial"/>
          <w:color w:val="000000"/>
          <w:szCs w:val="24"/>
        </w:rPr>
        <w:t>(</w:t>
      </w:r>
      <w:r w:rsidR="004960DE" w:rsidRPr="00C97269">
        <w:rPr>
          <w:rFonts w:ascii="Arial" w:hAnsi="Arial" w:cs="Arial"/>
          <w:color w:val="000000"/>
          <w:szCs w:val="24"/>
        </w:rPr>
        <w:t>MAGEN Guangzhou, CHINA</w:t>
      </w:r>
      <w:r w:rsidRPr="00C97269">
        <w:rPr>
          <w:rFonts w:ascii="Arial" w:hAnsi="Arial" w:cs="Arial"/>
          <w:color w:val="000000"/>
          <w:szCs w:val="24"/>
        </w:rPr>
        <w:t>)</w:t>
      </w:r>
      <w:r w:rsidRPr="00C97269">
        <w:rPr>
          <w:rFonts w:ascii="Arial" w:hAnsi="Arial" w:cs="Arial"/>
          <w:color w:val="000000"/>
          <w:kern w:val="2"/>
          <w:szCs w:val="24"/>
          <w:lang w:eastAsia="zh-CN"/>
        </w:rPr>
        <w:t xml:space="preserve">. Next, the DNA libraries were prepared </w:t>
      </w:r>
      <w:r w:rsidR="004960DE" w:rsidRPr="00C97269">
        <w:rPr>
          <w:rFonts w:ascii="Arial" w:hAnsi="Arial" w:cs="Arial"/>
          <w:color w:val="000000"/>
          <w:kern w:val="2"/>
          <w:szCs w:val="24"/>
          <w:lang w:eastAsia="zh-CN"/>
        </w:rPr>
        <w:t xml:space="preserve">using the DNA library building kit (NextEra XT (Illumina, USA)). </w:t>
      </w:r>
      <w:r w:rsidRPr="00C97269">
        <w:rPr>
          <w:rFonts w:ascii="Arial" w:hAnsi="Arial" w:cs="Arial"/>
          <w:color w:val="000000"/>
          <w:kern w:val="2"/>
          <w:szCs w:val="24"/>
          <w:lang w:eastAsia="zh-CN"/>
        </w:rPr>
        <w:t xml:space="preserve">The DNA libraries concentration was measured by </w:t>
      </w:r>
      <w:r w:rsidR="004960DE" w:rsidRPr="00C97269">
        <w:rPr>
          <w:rFonts w:ascii="Arial" w:hAnsi="Arial" w:cs="Arial"/>
          <w:color w:val="000000"/>
          <w:kern w:val="2"/>
          <w:szCs w:val="24"/>
          <w:lang w:eastAsia="zh-CN"/>
        </w:rPr>
        <w:t>Qubit 3.0</w:t>
      </w:r>
      <w:r w:rsidRPr="00C97269">
        <w:rPr>
          <w:rFonts w:ascii="Arial" w:hAnsi="Arial" w:cs="Arial"/>
          <w:color w:val="000000"/>
          <w:kern w:val="2"/>
          <w:szCs w:val="24"/>
          <w:lang w:eastAsia="zh-CN"/>
        </w:rPr>
        <w:t xml:space="preserve">. Then the sequencing was carried out by </w:t>
      </w:r>
      <w:r w:rsidR="004960DE" w:rsidRPr="00C97269">
        <w:rPr>
          <w:rFonts w:ascii="Arial" w:hAnsi="Arial" w:cs="Arial"/>
          <w:color w:val="000000"/>
          <w:kern w:val="2"/>
          <w:szCs w:val="24"/>
          <w:lang w:eastAsia="zh-CN"/>
        </w:rPr>
        <w:t>NextSeq 500/550 High Output v2 kit (75 cycles)</w:t>
      </w:r>
      <w:r w:rsidRPr="00C97269">
        <w:rPr>
          <w:rFonts w:ascii="Arial" w:hAnsi="Arial" w:cs="Arial"/>
          <w:color w:val="000000"/>
          <w:kern w:val="2"/>
          <w:szCs w:val="24"/>
          <w:lang w:eastAsia="zh-CN"/>
        </w:rPr>
        <w:t>.</w:t>
      </w:r>
      <w:bookmarkEnd w:id="0"/>
      <w:bookmarkEnd w:id="1"/>
      <w:r w:rsidRPr="00C97269">
        <w:rPr>
          <w:rFonts w:ascii="Arial" w:hAnsi="Arial" w:cs="Arial"/>
          <w:color w:val="000000"/>
          <w:kern w:val="2"/>
          <w:szCs w:val="24"/>
          <w:lang w:eastAsia="zh-CN"/>
        </w:rPr>
        <w:t xml:space="preserve"> </w:t>
      </w:r>
      <w:r w:rsidR="002F5B2A" w:rsidRPr="00C97269">
        <w:rPr>
          <w:rFonts w:ascii="Arial" w:hAnsi="Arial" w:cs="Arial"/>
          <w:color w:val="000000"/>
          <w:kern w:val="2"/>
          <w:szCs w:val="24"/>
          <w:lang w:eastAsia="zh-CN"/>
        </w:rPr>
        <w:t xml:space="preserve">The data </w:t>
      </w:r>
      <w:r w:rsidR="008A4B55" w:rsidRPr="00C97269">
        <w:rPr>
          <w:rFonts w:ascii="Arial" w:hAnsi="Arial" w:cs="Arial"/>
          <w:color w:val="000000"/>
          <w:kern w:val="2"/>
          <w:szCs w:val="24"/>
          <w:lang w:eastAsia="zh-CN"/>
        </w:rPr>
        <w:t>was</w:t>
      </w:r>
      <w:r w:rsidR="002F5B2A" w:rsidRPr="00C97269">
        <w:rPr>
          <w:rFonts w:ascii="Arial" w:hAnsi="Arial" w:cs="Arial"/>
          <w:color w:val="000000"/>
          <w:kern w:val="2"/>
          <w:szCs w:val="24"/>
          <w:lang w:eastAsia="zh-CN"/>
        </w:rPr>
        <w:t xml:space="preserve"> basically filtered by </w:t>
      </w:r>
      <w:r w:rsidR="008A4B55" w:rsidRPr="00C97269">
        <w:rPr>
          <w:rFonts w:ascii="Arial" w:hAnsi="Arial" w:cs="Arial"/>
          <w:color w:val="000000"/>
          <w:kern w:val="2"/>
          <w:szCs w:val="24"/>
          <w:lang w:eastAsia="zh-CN"/>
        </w:rPr>
        <w:t>FastQC</w:t>
      </w:r>
      <w:r w:rsidR="002F5B2A" w:rsidRPr="00C97269">
        <w:rPr>
          <w:rFonts w:ascii="Arial" w:hAnsi="Arial" w:cs="Arial"/>
          <w:color w:val="000000"/>
          <w:kern w:val="2"/>
          <w:szCs w:val="24"/>
          <w:lang w:eastAsia="zh-CN"/>
        </w:rPr>
        <w:t xml:space="preserve"> software, and the effective sequence </w:t>
      </w:r>
      <w:r w:rsidR="0035556F" w:rsidRPr="00C97269">
        <w:rPr>
          <w:rFonts w:ascii="Arial" w:hAnsi="Arial" w:cs="Arial"/>
          <w:color w:val="000000"/>
          <w:kern w:val="2"/>
          <w:szCs w:val="24"/>
          <w:lang w:eastAsia="zh-CN"/>
        </w:rPr>
        <w:t xml:space="preserve">(clean reads) </w:t>
      </w:r>
      <w:r w:rsidR="008A4B55" w:rsidRPr="00C97269">
        <w:rPr>
          <w:rFonts w:ascii="Arial" w:hAnsi="Arial" w:cs="Arial"/>
          <w:color w:val="000000"/>
          <w:kern w:val="2"/>
          <w:szCs w:val="24"/>
          <w:lang w:eastAsia="zh-CN"/>
        </w:rPr>
        <w:t>was</w:t>
      </w:r>
      <w:r w:rsidR="002F5B2A" w:rsidRPr="00C97269">
        <w:rPr>
          <w:rFonts w:ascii="Arial" w:hAnsi="Arial" w:cs="Arial"/>
          <w:color w:val="000000"/>
          <w:kern w:val="2"/>
          <w:szCs w:val="24"/>
          <w:lang w:eastAsia="zh-CN"/>
        </w:rPr>
        <w:t xml:space="preserve"> the one after removing the linker, low-quality base and too short sequence</w:t>
      </w:r>
      <w:r w:rsidR="008A4B55" w:rsidRPr="00C97269">
        <w:rPr>
          <w:rFonts w:ascii="Arial" w:hAnsi="Arial" w:cs="Arial"/>
          <w:color w:val="000000"/>
          <w:kern w:val="2"/>
          <w:szCs w:val="24"/>
          <w:lang w:eastAsia="zh-CN"/>
        </w:rPr>
        <w:t>.</w:t>
      </w:r>
      <w:r w:rsidR="002F5B2A" w:rsidRPr="00C97269">
        <w:rPr>
          <w:rFonts w:ascii="Arial" w:hAnsi="Arial" w:cs="Arial"/>
          <w:color w:val="000000"/>
          <w:kern w:val="2"/>
          <w:szCs w:val="24"/>
          <w:lang w:eastAsia="zh-CN"/>
        </w:rPr>
        <w:t xml:space="preserve"> </w:t>
      </w:r>
      <w:r w:rsidRPr="00C97269">
        <w:rPr>
          <w:rFonts w:ascii="Arial" w:hAnsi="Arial" w:cs="Arial"/>
          <w:color w:val="000000"/>
          <w:kern w:val="2"/>
          <w:szCs w:val="24"/>
          <w:lang w:eastAsia="zh-CN"/>
        </w:rPr>
        <w:t xml:space="preserve">Then, reads of human were removed by mapping </w:t>
      </w:r>
      <w:r w:rsidR="008A4B55" w:rsidRPr="00C97269">
        <w:rPr>
          <w:rFonts w:ascii="Arial" w:hAnsi="Arial" w:cs="Arial"/>
          <w:color w:val="000000"/>
          <w:kern w:val="2"/>
          <w:szCs w:val="24"/>
          <w:lang w:eastAsia="zh-CN"/>
        </w:rPr>
        <w:t xml:space="preserve">clean </w:t>
      </w:r>
      <w:r w:rsidRPr="00C97269">
        <w:rPr>
          <w:rFonts w:ascii="Arial" w:hAnsi="Arial" w:cs="Arial"/>
          <w:color w:val="000000"/>
          <w:kern w:val="2"/>
          <w:szCs w:val="24"/>
          <w:lang w:eastAsia="zh-CN"/>
        </w:rPr>
        <w:t>reads to human reference genome</w:t>
      </w:r>
      <w:r w:rsidR="008A4B55" w:rsidRPr="00C97269">
        <w:rPr>
          <w:rFonts w:ascii="Arial" w:hAnsi="Arial" w:cs="Arial"/>
          <w:color w:val="000000"/>
          <w:kern w:val="2"/>
          <w:szCs w:val="24"/>
          <w:lang w:eastAsia="zh-CN"/>
        </w:rPr>
        <w:t xml:space="preserve"> (GRCh38)</w:t>
      </w:r>
      <w:r w:rsidRPr="00C97269">
        <w:rPr>
          <w:rFonts w:ascii="Arial" w:hAnsi="Arial" w:cs="Arial"/>
          <w:color w:val="000000"/>
          <w:kern w:val="2"/>
          <w:szCs w:val="24"/>
          <w:lang w:eastAsia="zh-CN"/>
        </w:rPr>
        <w:t>. The remaining data were aligned to the microbial genome database.</w:t>
      </w:r>
      <w:r w:rsidR="008A4B55" w:rsidRPr="00C97269">
        <w:rPr>
          <w:rFonts w:ascii="Arial" w:hAnsi="Arial" w:cs="Arial"/>
          <w:color w:val="000000"/>
        </w:rPr>
        <w:t xml:space="preserve"> </w:t>
      </w:r>
      <w:r w:rsidR="008A4B55" w:rsidRPr="00C97269">
        <w:rPr>
          <w:rFonts w:ascii="Arial" w:hAnsi="Arial" w:cs="Arial"/>
          <w:color w:val="000000"/>
          <w:kern w:val="2"/>
          <w:szCs w:val="24"/>
          <w:lang w:eastAsia="zh-CN"/>
        </w:rPr>
        <w:t xml:space="preserve">The comparison software used was </w:t>
      </w:r>
      <w:r w:rsidR="00A52738" w:rsidRPr="00C97269">
        <w:rPr>
          <w:rFonts w:ascii="Arial" w:hAnsi="Arial" w:cs="Arial"/>
          <w:color w:val="000000"/>
          <w:kern w:val="2"/>
          <w:szCs w:val="24"/>
          <w:lang w:eastAsia="zh-CN"/>
        </w:rPr>
        <w:t>Burrows Wheeler Alignment</w:t>
      </w:r>
      <w:r w:rsidR="008A4B55" w:rsidRPr="00C97269">
        <w:rPr>
          <w:rFonts w:ascii="Arial" w:hAnsi="Arial" w:cs="Arial"/>
          <w:color w:val="000000"/>
          <w:kern w:val="2"/>
          <w:szCs w:val="24"/>
          <w:lang w:eastAsia="zh-CN"/>
        </w:rPr>
        <w:t xml:space="preserve"> (</w:t>
      </w:r>
      <w:r w:rsidR="00A52738" w:rsidRPr="00C97269">
        <w:rPr>
          <w:rFonts w:ascii="Arial" w:hAnsi="Arial" w:cs="Arial"/>
          <w:color w:val="000000"/>
          <w:kern w:val="2"/>
          <w:szCs w:val="24"/>
          <w:lang w:eastAsia="zh-CN"/>
        </w:rPr>
        <w:t xml:space="preserve">BWA, </w:t>
      </w:r>
      <w:r w:rsidR="008A4B55" w:rsidRPr="00C97269">
        <w:rPr>
          <w:rFonts w:ascii="Arial" w:hAnsi="Arial" w:cs="Arial"/>
          <w:color w:val="000000"/>
          <w:kern w:val="2"/>
          <w:szCs w:val="24"/>
          <w:lang w:eastAsia="zh-CN"/>
        </w:rPr>
        <w:t>bowtie2) (</w:t>
      </w:r>
      <w:hyperlink r:id="rId7" w:history="1">
        <w:r w:rsidR="00A52738" w:rsidRPr="00C97269">
          <w:rPr>
            <w:rStyle w:val="Hyperlink"/>
            <w:rFonts w:ascii="Arial" w:hAnsi="Arial" w:cs="Arial"/>
            <w:color w:val="000000"/>
            <w:kern w:val="2"/>
            <w:szCs w:val="24"/>
            <w:lang w:eastAsia="zh-CN"/>
          </w:rPr>
          <w:t>http://bio-bwa.sourceforge.net/</w:t>
        </w:r>
      </w:hyperlink>
      <w:r w:rsidR="00F3399E" w:rsidRPr="00C97269">
        <w:rPr>
          <w:rFonts w:ascii="Arial" w:hAnsi="Arial" w:cs="Arial"/>
          <w:color w:val="000000"/>
          <w:kern w:val="2"/>
          <w:szCs w:val="24"/>
          <w:lang w:eastAsia="zh-CN"/>
        </w:rPr>
        <w:t>)</w:t>
      </w:r>
      <w:r w:rsidR="008A4B55" w:rsidRPr="00C97269">
        <w:rPr>
          <w:rFonts w:ascii="Arial" w:hAnsi="Arial" w:cs="Arial"/>
          <w:color w:val="000000"/>
          <w:kern w:val="2"/>
          <w:szCs w:val="24"/>
          <w:lang w:eastAsia="zh-CN"/>
        </w:rPr>
        <w:t>.</w:t>
      </w:r>
      <w:r w:rsidR="00A52738" w:rsidRPr="00C97269">
        <w:rPr>
          <w:rFonts w:ascii="Arial" w:hAnsi="Arial" w:cs="Arial"/>
          <w:color w:val="000000"/>
          <w:kern w:val="2"/>
          <w:szCs w:val="24"/>
          <w:lang w:eastAsia="zh-CN"/>
        </w:rPr>
        <w:t xml:space="preserve"> The microbial database contains more than 18000 kinds of microorganisms, including clinically common bacteria, fungi, viruses and parasites.</w:t>
      </w:r>
    </w:p>
    <w:p w14:paraId="777E0E58" w14:textId="77777777" w:rsidR="00CB7DAB" w:rsidRPr="00C97269" w:rsidRDefault="00CB7DAB" w:rsidP="007F0D6D">
      <w:pPr>
        <w:pStyle w:val="Heading1"/>
        <w:numPr>
          <w:ilvl w:val="0"/>
          <w:numId w:val="0"/>
        </w:numPr>
        <w:spacing w:before="0" w:after="0" w:line="360" w:lineRule="auto"/>
        <w:jc w:val="both"/>
        <w:rPr>
          <w:rFonts w:ascii="Arial" w:eastAsia="SimSun" w:hAnsi="Arial" w:cs="Arial"/>
          <w:b w:val="0"/>
          <w:color w:val="000000"/>
          <w:kern w:val="2"/>
          <w:lang w:eastAsia="zh-CN"/>
        </w:rPr>
      </w:pPr>
      <w:r w:rsidRPr="00C97269">
        <w:rPr>
          <w:rFonts w:ascii="Arial" w:eastAsia="SimSun" w:hAnsi="Arial" w:cs="Arial"/>
          <w:b w:val="0"/>
          <w:color w:val="000000"/>
          <w:kern w:val="2"/>
          <w:lang w:eastAsia="zh-CN"/>
        </w:rPr>
        <w:t>2. Quality control of procedure</w:t>
      </w:r>
    </w:p>
    <w:p w14:paraId="39F94905" w14:textId="12DB246C" w:rsidR="00CB7DAB" w:rsidRPr="00C97269" w:rsidRDefault="00CB7DAB" w:rsidP="0061221B">
      <w:pPr>
        <w:spacing w:line="360" w:lineRule="auto"/>
        <w:jc w:val="both"/>
        <w:rPr>
          <w:rFonts w:ascii="Arial" w:hAnsi="Arial" w:cs="Arial"/>
          <w:color w:val="000000"/>
          <w:kern w:val="2"/>
          <w:szCs w:val="24"/>
          <w:lang w:eastAsia="zh-CN"/>
        </w:rPr>
      </w:pPr>
      <w:r w:rsidRPr="00C97269">
        <w:rPr>
          <w:rFonts w:ascii="Arial" w:hAnsi="Arial" w:cs="Arial"/>
          <w:color w:val="000000"/>
          <w:kern w:val="2"/>
          <w:szCs w:val="24"/>
          <w:lang w:eastAsia="zh-CN"/>
        </w:rPr>
        <w:t xml:space="preserve">During the process of sampling, storage, transportation and sequencing, aseptic procedures are strictly followed to ensure that qualified LLS are collected. </w:t>
      </w:r>
      <w:r w:rsidR="00FE616C" w:rsidRPr="00C97269">
        <w:rPr>
          <w:rFonts w:ascii="Arial" w:hAnsi="Arial" w:cs="Arial"/>
          <w:color w:val="000000"/>
          <w:kern w:val="2"/>
          <w:szCs w:val="24"/>
          <w:lang w:eastAsia="zh-CN"/>
        </w:rPr>
        <w:t>LLS were s</w:t>
      </w:r>
      <w:r w:rsidR="00A52738" w:rsidRPr="00C97269">
        <w:rPr>
          <w:rFonts w:ascii="Arial" w:hAnsi="Arial" w:cs="Arial"/>
          <w:color w:val="000000"/>
          <w:kern w:val="2"/>
          <w:szCs w:val="24"/>
          <w:lang w:eastAsia="zh-CN"/>
        </w:rPr>
        <w:t>en</w:t>
      </w:r>
      <w:r w:rsidR="00FE616C" w:rsidRPr="00C97269">
        <w:rPr>
          <w:rFonts w:ascii="Arial" w:hAnsi="Arial" w:cs="Arial"/>
          <w:color w:val="000000"/>
          <w:kern w:val="2"/>
          <w:szCs w:val="24"/>
          <w:lang w:eastAsia="zh-CN"/>
        </w:rPr>
        <w:t xml:space="preserve">t to lab within </w:t>
      </w:r>
      <w:r w:rsidR="00A52738" w:rsidRPr="00C97269">
        <w:rPr>
          <w:rFonts w:ascii="Arial" w:hAnsi="Arial" w:cs="Arial"/>
          <w:color w:val="000000"/>
          <w:kern w:val="2"/>
          <w:szCs w:val="24"/>
          <w:lang w:eastAsia="zh-CN"/>
        </w:rPr>
        <w:t>30 minutes</w:t>
      </w:r>
      <w:r w:rsidR="00FE616C" w:rsidRPr="00C97269">
        <w:rPr>
          <w:rFonts w:ascii="Arial" w:hAnsi="Arial" w:cs="Arial"/>
          <w:color w:val="000000"/>
          <w:kern w:val="2"/>
          <w:szCs w:val="24"/>
          <w:lang w:eastAsia="zh-CN"/>
        </w:rPr>
        <w:t xml:space="preserve"> after removal.</w:t>
      </w:r>
      <w:r w:rsidRPr="00C97269">
        <w:rPr>
          <w:rFonts w:ascii="Arial" w:hAnsi="Arial" w:cs="Arial"/>
          <w:color w:val="000000"/>
          <w:kern w:val="2"/>
          <w:szCs w:val="24"/>
          <w:lang w:eastAsia="zh-CN"/>
        </w:rPr>
        <w:t xml:space="preserve"> In the lab, the specimens were kept in the -80 degree refrigerator to prevent nucleic acid degradation. All detection procedures are finished within 48 hours after receiving specimen ensuring timely guidance for clinical treatment.</w:t>
      </w:r>
    </w:p>
    <w:p w14:paraId="03E5A4E1" w14:textId="110DC247" w:rsidR="007967B2" w:rsidRPr="00C97269" w:rsidRDefault="00FE616C" w:rsidP="0061221B">
      <w:pPr>
        <w:spacing w:line="360" w:lineRule="auto"/>
        <w:jc w:val="both"/>
        <w:rPr>
          <w:rFonts w:ascii="Arial" w:hAnsi="Arial" w:cs="Arial"/>
          <w:color w:val="000000"/>
          <w:kern w:val="2"/>
          <w:szCs w:val="24"/>
          <w:lang w:eastAsia="zh-CN"/>
        </w:rPr>
      </w:pPr>
      <w:r w:rsidRPr="00C97269">
        <w:rPr>
          <w:rFonts w:ascii="Arial" w:hAnsi="Arial" w:cs="Arial"/>
          <w:color w:val="000000"/>
          <w:kern w:val="2"/>
          <w:szCs w:val="24"/>
          <w:lang w:eastAsia="zh-CN"/>
        </w:rPr>
        <w:lastRenderedPageBreak/>
        <w:t>Both Nucleic acid extraction and library preparation were conducted in parallel with quality control samples.</w:t>
      </w:r>
      <w:r w:rsidR="007967B2" w:rsidRPr="00C97269">
        <w:rPr>
          <w:rFonts w:ascii="Arial" w:hAnsi="Arial" w:cs="Arial"/>
          <w:color w:val="000000"/>
          <w:kern w:val="2"/>
          <w:szCs w:val="24"/>
          <w:lang w:eastAsia="zh-CN"/>
        </w:rPr>
        <w:t xml:space="preserve"> </w:t>
      </w:r>
    </w:p>
    <w:p w14:paraId="474E4ABB" w14:textId="673DF9BB" w:rsidR="00F90AC3" w:rsidRPr="00C97269" w:rsidRDefault="00FE616C" w:rsidP="0061221B">
      <w:pPr>
        <w:spacing w:line="360" w:lineRule="auto"/>
        <w:jc w:val="both"/>
        <w:rPr>
          <w:rFonts w:ascii="Arial" w:hAnsi="Arial" w:cs="Arial"/>
          <w:color w:val="000000"/>
          <w:kern w:val="2"/>
          <w:szCs w:val="24"/>
          <w:lang w:eastAsia="zh-CN"/>
        </w:rPr>
      </w:pPr>
      <w:r w:rsidRPr="00C97269">
        <w:rPr>
          <w:rFonts w:ascii="Arial" w:hAnsi="Arial" w:cs="Arial"/>
          <w:color w:val="000000"/>
          <w:kern w:val="2"/>
          <w:szCs w:val="24"/>
          <w:lang w:eastAsia="zh-CN"/>
        </w:rPr>
        <w:t xml:space="preserve">The results of the two pipelines are highly consistent. </w:t>
      </w:r>
      <w:r w:rsidR="007967B2" w:rsidRPr="00C97269">
        <w:rPr>
          <w:rFonts w:ascii="Arial" w:hAnsi="Arial" w:cs="Arial"/>
          <w:color w:val="000000"/>
          <w:kern w:val="2"/>
          <w:szCs w:val="24"/>
          <w:lang w:eastAsia="zh-CN"/>
        </w:rPr>
        <w:t xml:space="preserve">To eliminate laboratory contamination, a minimum threshold of 5 RPM (reads per million) was specified. </w:t>
      </w:r>
      <w:r w:rsidR="00D8208B" w:rsidRPr="00C97269">
        <w:rPr>
          <w:rFonts w:ascii="Arial" w:hAnsi="Arial" w:cs="Arial"/>
          <w:color w:val="000000"/>
          <w:kern w:val="2"/>
          <w:szCs w:val="24"/>
          <w:lang w:eastAsia="zh-CN"/>
        </w:rPr>
        <w:t>For the LLS, the concentration of DNA extracted was 62.8ng/ul, and the concentration of library was 6.44ng/ul. The total number of raw reads was 19915957, and the total number of clean reads was 19788732.</w:t>
      </w:r>
      <w:r w:rsidR="00DF1887" w:rsidRPr="00C97269">
        <w:rPr>
          <w:rFonts w:ascii="Arial" w:hAnsi="Arial" w:cs="Arial"/>
          <w:color w:val="000000"/>
          <w:kern w:val="2"/>
          <w:szCs w:val="24"/>
          <w:lang w:eastAsia="zh-CN"/>
        </w:rPr>
        <w:t xml:space="preserve"> </w:t>
      </w:r>
      <w:r w:rsidR="0004628A" w:rsidRPr="00C97269">
        <w:rPr>
          <w:rFonts w:ascii="Arial" w:hAnsi="Arial" w:cs="Arial"/>
          <w:color w:val="000000"/>
          <w:kern w:val="2"/>
          <w:szCs w:val="24"/>
          <w:lang w:eastAsia="zh-CN"/>
        </w:rPr>
        <w:t xml:space="preserve">98.35% of the human sequences were filtered, and 299085 reads were compared with the microbial database. The Q30 was 92.69%, and the </w:t>
      </w:r>
      <w:r w:rsidR="0004628A" w:rsidRPr="00C97269">
        <w:rPr>
          <w:rFonts w:ascii="Arial" w:hAnsi="Arial" w:cs="Arial"/>
          <w:color w:val="000000"/>
          <w:lang w:eastAsia="zh-CN"/>
        </w:rPr>
        <w:t>quality scores</w:t>
      </w:r>
      <w:r w:rsidR="0004628A" w:rsidRPr="00C97269">
        <w:rPr>
          <w:rFonts w:ascii="Arial" w:hAnsi="Arial" w:cs="Arial"/>
          <w:color w:val="000000"/>
          <w:kern w:val="2"/>
          <w:szCs w:val="24"/>
          <w:lang w:eastAsia="zh-CN"/>
        </w:rPr>
        <w:t xml:space="preserve"> across all bases was shown below (</w:t>
      </w:r>
      <w:r w:rsidR="00E571BC" w:rsidRPr="00C97269">
        <w:rPr>
          <w:rFonts w:ascii="Arial" w:hAnsi="Arial" w:cs="Arial"/>
          <w:color w:val="000000"/>
          <w:szCs w:val="24"/>
        </w:rPr>
        <w:t xml:space="preserve">Supplementary Figure </w:t>
      </w:r>
      <w:r w:rsidR="005E24BE" w:rsidRPr="00C97269">
        <w:rPr>
          <w:rFonts w:ascii="Arial" w:hAnsi="Arial" w:cs="Arial"/>
          <w:color w:val="000000"/>
          <w:szCs w:val="24"/>
        </w:rPr>
        <w:t>2</w:t>
      </w:r>
      <w:r w:rsidR="0004628A" w:rsidRPr="00C97269">
        <w:rPr>
          <w:rFonts w:ascii="Arial" w:hAnsi="Arial" w:cs="Arial"/>
          <w:color w:val="000000"/>
          <w:kern w:val="2"/>
          <w:szCs w:val="24"/>
          <w:lang w:eastAsia="zh-CN"/>
        </w:rPr>
        <w:t>).</w:t>
      </w:r>
    </w:p>
    <w:p w14:paraId="42963E02" w14:textId="017C5975" w:rsidR="002766C5" w:rsidRPr="00C97269" w:rsidRDefault="002766C5" w:rsidP="002766C5">
      <w:pPr>
        <w:spacing w:before="0" w:after="0" w:line="360" w:lineRule="auto"/>
        <w:rPr>
          <w:rFonts w:ascii="Arial" w:hAnsi="Arial" w:cs="Arial"/>
          <w:b/>
          <w:bCs/>
          <w:color w:val="000000"/>
          <w:szCs w:val="24"/>
          <w:lang w:eastAsia="zh-CN"/>
        </w:rPr>
      </w:pPr>
      <w:bookmarkStart w:id="2" w:name="_Hlk125468654"/>
      <w:r w:rsidRPr="00C97269">
        <w:rPr>
          <w:rFonts w:ascii="Arial" w:hAnsi="Arial" w:cs="Arial"/>
          <w:b/>
          <w:bCs/>
          <w:color w:val="000000"/>
          <w:szCs w:val="24"/>
          <w:lang w:eastAsia="zh-CN"/>
        </w:rPr>
        <w:t>Surgical technique</w:t>
      </w:r>
    </w:p>
    <w:bookmarkEnd w:id="2"/>
    <w:p w14:paraId="74077CC6" w14:textId="2CBF9D38" w:rsidR="00805740" w:rsidRPr="00C97269" w:rsidRDefault="00805740" w:rsidP="00805740">
      <w:pPr>
        <w:rPr>
          <w:rFonts w:ascii="Arial" w:hAnsi="Arial" w:cs="Arial"/>
          <w:color w:val="000000"/>
          <w:szCs w:val="24"/>
        </w:rPr>
      </w:pPr>
      <w:r w:rsidRPr="00C97269">
        <w:rPr>
          <w:rFonts w:ascii="Arial" w:hAnsi="Arial" w:cs="Arial"/>
          <w:color w:val="000000"/>
          <w:szCs w:val="24"/>
        </w:rPr>
        <w:t xml:space="preserve">Firstly, the ilium was exposed through an incision of the left lower abdomen, and the autologous bone was removed for later use. With the assistance of the C-arm, the intervertebral space of the lesion was exposed and the </w:t>
      </w:r>
      <w:r w:rsidR="00EB3F41" w:rsidRPr="00C97269">
        <w:rPr>
          <w:rFonts w:ascii="Arial" w:hAnsi="Arial" w:cs="Arial"/>
          <w:color w:val="000000"/>
          <w:szCs w:val="24"/>
        </w:rPr>
        <w:t>pus</w:t>
      </w:r>
      <w:r w:rsidRPr="00C97269">
        <w:rPr>
          <w:rFonts w:ascii="Arial" w:hAnsi="Arial" w:cs="Arial"/>
          <w:color w:val="000000"/>
          <w:szCs w:val="24"/>
        </w:rPr>
        <w:t xml:space="preserve"> was mainly concentrated in the intervertebral space. Secondly, we removed </w:t>
      </w:r>
      <w:r w:rsidR="00EB3F41" w:rsidRPr="00C97269">
        <w:rPr>
          <w:rFonts w:ascii="Arial" w:hAnsi="Arial" w:cs="Arial"/>
          <w:color w:val="000000"/>
          <w:szCs w:val="24"/>
        </w:rPr>
        <w:t>l</w:t>
      </w:r>
      <w:r w:rsidRPr="00C97269">
        <w:rPr>
          <w:rFonts w:ascii="Arial" w:hAnsi="Arial" w:cs="Arial"/>
          <w:color w:val="000000"/>
          <w:szCs w:val="24"/>
        </w:rPr>
        <w:t xml:space="preserve">ocal </w:t>
      </w:r>
      <w:r w:rsidR="00EB3F41" w:rsidRPr="00C97269">
        <w:rPr>
          <w:rFonts w:ascii="Arial" w:hAnsi="Arial" w:cs="Arial"/>
          <w:color w:val="000000"/>
          <w:szCs w:val="24"/>
        </w:rPr>
        <w:t>pus</w:t>
      </w:r>
      <w:r w:rsidRPr="00C97269">
        <w:rPr>
          <w:rFonts w:ascii="Arial" w:hAnsi="Arial" w:cs="Arial"/>
          <w:color w:val="000000"/>
          <w:szCs w:val="24"/>
        </w:rPr>
        <w:t>, damaged intervertebral discs and damaged bone tissue thoroughly. Then, using hydrogen peroxide and iodine tincture to wash the lesion for three times. After cleaning the lesion site with normal saline, the autograft bone was implanted into</w:t>
      </w:r>
      <w:r w:rsidRPr="00C97269">
        <w:rPr>
          <w:rFonts w:ascii="Arial" w:hAnsi="Arial" w:cs="Arial"/>
          <w:color w:val="000000"/>
        </w:rPr>
        <w:t xml:space="preserve"> </w:t>
      </w:r>
      <w:r w:rsidRPr="00C97269">
        <w:rPr>
          <w:rFonts w:ascii="Arial" w:hAnsi="Arial" w:cs="Arial"/>
          <w:color w:val="000000"/>
          <w:szCs w:val="24"/>
        </w:rPr>
        <w:t xml:space="preserve">the L3/4 intervertebral space. Thirdly, a drainage tube was placed in the left lower abdomen, and the wound was closed. Finally, the patient's lateral position was changed to a prone position, and screws and fixation rods were inserted from the patient's paravertebral muscle space. </w:t>
      </w:r>
    </w:p>
    <w:p w14:paraId="7E245670" w14:textId="736DCD72" w:rsidR="005E24BE" w:rsidRPr="00C97269" w:rsidRDefault="00F90AC3" w:rsidP="00706BE9">
      <w:pPr>
        <w:pageBreakBefore/>
        <w:spacing w:before="0" w:after="0" w:line="360" w:lineRule="auto"/>
        <w:rPr>
          <w:rFonts w:ascii="Arial" w:hAnsi="Arial" w:cs="Arial"/>
          <w:b/>
          <w:bCs/>
          <w:color w:val="000000"/>
          <w:szCs w:val="24"/>
          <w:lang w:eastAsia="zh-CN"/>
        </w:rPr>
      </w:pPr>
      <w:r w:rsidRPr="00C97269">
        <w:rPr>
          <w:rFonts w:ascii="Arial" w:hAnsi="Arial" w:cs="Arial"/>
          <w:b/>
          <w:bCs/>
          <w:color w:val="000000"/>
          <w:szCs w:val="24"/>
          <w:lang w:eastAsia="zh-CN"/>
        </w:rPr>
        <w:lastRenderedPageBreak/>
        <w:t>Supplementary Figures</w:t>
      </w:r>
    </w:p>
    <w:p w14:paraId="3B156C64" w14:textId="2BB0C576" w:rsidR="005E24BE" w:rsidRPr="00C97269" w:rsidRDefault="002766C5" w:rsidP="005E24BE">
      <w:pPr>
        <w:spacing w:line="360" w:lineRule="auto"/>
        <w:jc w:val="both"/>
        <w:rPr>
          <w:rFonts w:ascii="Arial" w:hAnsi="Arial" w:cs="Arial"/>
          <w:color w:val="000000"/>
          <w:szCs w:val="24"/>
        </w:rPr>
      </w:pPr>
      <w:r w:rsidRPr="00C97269">
        <w:rPr>
          <w:rFonts w:ascii="Arial" w:hAnsi="Arial" w:cs="Arial"/>
          <w:noProof/>
          <w:color w:val="000000"/>
          <w:szCs w:val="24"/>
        </w:rPr>
        <w:drawing>
          <wp:inline distT="0" distB="0" distL="0" distR="0" wp14:anchorId="3A70A25A" wp14:editId="686AA993">
            <wp:extent cx="4562469" cy="4006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0015" cy="4013477"/>
                    </a:xfrm>
                    <a:prstGeom prst="rect">
                      <a:avLst/>
                    </a:prstGeom>
                    <a:noFill/>
                  </pic:spPr>
                </pic:pic>
              </a:graphicData>
            </a:graphic>
          </wp:inline>
        </w:drawing>
      </w:r>
    </w:p>
    <w:p w14:paraId="236BD0E7" w14:textId="77777777" w:rsidR="002766C5" w:rsidRPr="00C97269" w:rsidRDefault="002766C5" w:rsidP="002766C5">
      <w:pPr>
        <w:rPr>
          <w:rFonts w:ascii="Arial" w:hAnsi="Arial" w:cs="Arial"/>
          <w:color w:val="000000"/>
          <w:szCs w:val="24"/>
        </w:rPr>
      </w:pPr>
      <w:r w:rsidRPr="00C97269">
        <w:rPr>
          <w:rFonts w:ascii="Arial" w:hAnsi="Arial" w:cs="Arial"/>
          <w:color w:val="000000"/>
          <w:szCs w:val="24"/>
        </w:rPr>
        <w:t>Supplementary Figure 1  The lumbar spine MR images taken at the local hospital in October, 2021</w:t>
      </w:r>
    </w:p>
    <w:p w14:paraId="7A39FFF6" w14:textId="77777777" w:rsidR="002766C5" w:rsidRPr="00C97269" w:rsidRDefault="002766C5" w:rsidP="002766C5">
      <w:pPr>
        <w:rPr>
          <w:rFonts w:ascii="Arial" w:hAnsi="Arial" w:cs="Arial"/>
          <w:color w:val="000000"/>
          <w:szCs w:val="24"/>
        </w:rPr>
      </w:pPr>
      <w:r w:rsidRPr="00C97269">
        <w:rPr>
          <w:rFonts w:ascii="Arial" w:hAnsi="Arial" w:cs="Arial"/>
          <w:color w:val="000000"/>
          <w:szCs w:val="24"/>
        </w:rPr>
        <w:t>The red arrow points to the lesion site. (A) A T2-weighted MR image shows: abnormal signals can be seen in the vertebral body of L3 and L4, but there is no obvious abnormal signal in the intervertebral space and paravertebral tissue. (B) A T2-weighted MR image shows: abnormal signals can be seen in the vertebral body of L3 and L4, but there is no obvious abnormal signal in the intervertebral space and paravertebral tissue.</w:t>
      </w:r>
    </w:p>
    <w:p w14:paraId="1BF7B542" w14:textId="77777777" w:rsidR="005E24BE" w:rsidRPr="00C97269" w:rsidRDefault="005E24BE" w:rsidP="0061221B">
      <w:pPr>
        <w:spacing w:line="360" w:lineRule="auto"/>
        <w:jc w:val="both"/>
        <w:rPr>
          <w:rFonts w:ascii="Arial" w:hAnsi="Arial" w:cs="Arial"/>
          <w:b/>
          <w:bCs/>
          <w:color w:val="000000"/>
          <w:kern w:val="2"/>
          <w:szCs w:val="24"/>
          <w:lang w:eastAsia="zh-CN"/>
        </w:rPr>
      </w:pPr>
    </w:p>
    <w:p w14:paraId="773786FF" w14:textId="761B804F" w:rsidR="003A69AF" w:rsidRPr="00C97269" w:rsidRDefault="0044646E" w:rsidP="0004628A">
      <w:pPr>
        <w:rPr>
          <w:rFonts w:ascii="Arial" w:hAnsi="Arial" w:cs="Arial"/>
          <w:color w:val="000000"/>
          <w:lang w:eastAsia="zh-CN"/>
        </w:rPr>
      </w:pPr>
      <w:r>
        <w:rPr>
          <w:noProof/>
        </w:rPr>
        <w:lastRenderedPageBreak/>
        <w:drawing>
          <wp:inline distT="0" distB="0" distL="0" distR="0" wp14:anchorId="5DE963EC" wp14:editId="7DEB6411">
            <wp:extent cx="6645910" cy="49974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4997450"/>
                    </a:xfrm>
                    <a:prstGeom prst="rect">
                      <a:avLst/>
                    </a:prstGeom>
                    <a:noFill/>
                    <a:ln>
                      <a:noFill/>
                    </a:ln>
                  </pic:spPr>
                </pic:pic>
              </a:graphicData>
            </a:graphic>
          </wp:inline>
        </w:drawing>
      </w:r>
    </w:p>
    <w:p w14:paraId="00099429" w14:textId="611639CE" w:rsidR="00805740" w:rsidRPr="00C97269" w:rsidRDefault="00805740" w:rsidP="0004628A">
      <w:pPr>
        <w:rPr>
          <w:rFonts w:ascii="Arial" w:hAnsi="Arial" w:cs="Arial"/>
          <w:color w:val="000000"/>
          <w:lang w:eastAsia="zh-CN"/>
        </w:rPr>
      </w:pPr>
      <w:bookmarkStart w:id="3" w:name="_Hlk125465673"/>
      <w:r w:rsidRPr="00C97269">
        <w:rPr>
          <w:rFonts w:ascii="Arial" w:hAnsi="Arial" w:cs="Arial"/>
          <w:color w:val="000000"/>
          <w:lang w:eastAsia="zh-CN"/>
        </w:rPr>
        <w:t xml:space="preserve">Supplementary Figure </w:t>
      </w:r>
      <w:r w:rsidR="005A25F1" w:rsidRPr="00C97269">
        <w:rPr>
          <w:rFonts w:ascii="Arial" w:hAnsi="Arial" w:cs="Arial"/>
          <w:color w:val="000000"/>
          <w:lang w:eastAsia="zh-CN"/>
        </w:rPr>
        <w:t>2</w:t>
      </w:r>
      <w:r w:rsidRPr="00C97269">
        <w:rPr>
          <w:rFonts w:ascii="Arial" w:hAnsi="Arial" w:cs="Arial"/>
          <w:color w:val="000000"/>
          <w:lang w:eastAsia="zh-CN"/>
        </w:rPr>
        <w:t xml:space="preserve">  Schematic diagram of surgical treatment</w:t>
      </w:r>
    </w:p>
    <w:p w14:paraId="2D0E3835" w14:textId="70105DD6" w:rsidR="00805740" w:rsidRPr="00C97269" w:rsidRDefault="00805740" w:rsidP="0004628A">
      <w:pPr>
        <w:rPr>
          <w:rFonts w:ascii="Arial" w:hAnsi="Arial" w:cs="Arial"/>
          <w:color w:val="000000"/>
          <w:lang w:eastAsia="zh-CN"/>
        </w:rPr>
      </w:pPr>
      <w:r w:rsidRPr="00C97269">
        <w:rPr>
          <w:rFonts w:ascii="Arial" w:hAnsi="Arial" w:cs="Arial"/>
          <w:color w:val="000000"/>
          <w:lang w:eastAsia="zh-CN"/>
        </w:rPr>
        <w:t xml:space="preserve">(A) Surgical approach in right decubitus position. (B) Exposing the lesion and surrounding important tissues. (C) </w:t>
      </w:r>
      <w:r w:rsidR="001909B8" w:rsidRPr="00C97269">
        <w:rPr>
          <w:rFonts w:ascii="Arial" w:hAnsi="Arial" w:cs="Arial"/>
          <w:color w:val="000000"/>
          <w:lang w:eastAsia="zh-CN"/>
        </w:rPr>
        <w:t>Finding the screw entrance point through the paravertebral muscle space.</w:t>
      </w:r>
      <w:r w:rsidRPr="00C97269">
        <w:rPr>
          <w:rFonts w:ascii="Arial" w:hAnsi="Arial" w:cs="Arial"/>
          <w:color w:val="000000"/>
          <w:lang w:eastAsia="zh-CN"/>
        </w:rPr>
        <w:t xml:space="preserve"> (D) </w:t>
      </w:r>
      <w:r w:rsidR="001909B8" w:rsidRPr="00C97269">
        <w:rPr>
          <w:rFonts w:ascii="Arial" w:hAnsi="Arial" w:cs="Arial"/>
          <w:color w:val="000000"/>
          <w:lang w:eastAsia="zh-CN"/>
        </w:rPr>
        <w:t>The bone grafting and internal fixation were finished.</w:t>
      </w:r>
    </w:p>
    <w:p w14:paraId="0A367D1C" w14:textId="34F09428" w:rsidR="005A25F1" w:rsidRPr="00C97269" w:rsidRDefault="005A25F1" w:rsidP="005A25F1">
      <w:pPr>
        <w:rPr>
          <w:rFonts w:ascii="Arial" w:hAnsi="Arial" w:cs="Arial"/>
          <w:color w:val="000000"/>
          <w:lang w:eastAsia="zh-CN"/>
        </w:rPr>
      </w:pPr>
      <w:r w:rsidRPr="00C97269">
        <w:rPr>
          <w:rFonts w:ascii="Arial" w:hAnsi="Arial" w:cs="Arial"/>
          <w:noProof/>
          <w:color w:val="000000"/>
        </w:rPr>
        <w:lastRenderedPageBreak/>
        <w:drawing>
          <wp:inline distT="0" distB="0" distL="0" distR="0" wp14:anchorId="0C7094BB" wp14:editId="2BBBBAAE">
            <wp:extent cx="6645910" cy="3504196"/>
            <wp:effectExtent l="0" t="0" r="2540" b="127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645910" cy="3504196"/>
                    </a:xfrm>
                    <a:prstGeom prst="rect">
                      <a:avLst/>
                    </a:prstGeom>
                    <a:noFill/>
                    <a:ln w="9525">
                      <a:noFill/>
                      <a:miter lim="800000"/>
                      <a:headEnd/>
                      <a:tailEnd/>
                    </a:ln>
                  </pic:spPr>
                </pic:pic>
              </a:graphicData>
            </a:graphic>
          </wp:inline>
        </w:drawing>
      </w:r>
    </w:p>
    <w:p w14:paraId="3EECBEB2" w14:textId="6B34B363" w:rsidR="005A25F1" w:rsidRPr="00C97269" w:rsidRDefault="005A25F1" w:rsidP="005A25F1">
      <w:pPr>
        <w:rPr>
          <w:rFonts w:ascii="Arial" w:hAnsi="Arial" w:cs="Arial"/>
          <w:color w:val="000000"/>
          <w:lang w:eastAsia="zh-CN"/>
        </w:rPr>
      </w:pPr>
      <w:r w:rsidRPr="00C97269">
        <w:rPr>
          <w:rFonts w:ascii="Arial" w:hAnsi="Arial" w:cs="Arial"/>
          <w:color w:val="000000"/>
          <w:lang w:eastAsia="zh-CN"/>
        </w:rPr>
        <w:t>Supplementary Figure 3 The quality scores across all bases in the mNGS of LLS</w:t>
      </w:r>
    </w:p>
    <w:p w14:paraId="5FD2BE98" w14:textId="77777777" w:rsidR="005A25F1" w:rsidRPr="00C97269" w:rsidRDefault="005A25F1" w:rsidP="005A25F1">
      <w:pPr>
        <w:rPr>
          <w:rFonts w:ascii="Arial" w:hAnsi="Arial" w:cs="Arial"/>
          <w:color w:val="000000"/>
          <w:lang w:eastAsia="zh-CN"/>
        </w:rPr>
      </w:pPr>
    </w:p>
    <w:bookmarkEnd w:id="3"/>
    <w:p w14:paraId="38A2D6A0" w14:textId="77777777" w:rsidR="003A69AF" w:rsidRPr="00C97269" w:rsidRDefault="004F5E43" w:rsidP="005E24BE">
      <w:pPr>
        <w:spacing w:line="360" w:lineRule="auto"/>
        <w:jc w:val="both"/>
        <w:rPr>
          <w:rFonts w:ascii="Arial" w:hAnsi="Arial" w:cs="Arial"/>
          <w:color w:val="000000"/>
          <w:szCs w:val="24"/>
        </w:rPr>
      </w:pPr>
      <w:r w:rsidRPr="00C97269">
        <w:rPr>
          <w:rFonts w:ascii="Arial" w:hAnsi="Arial" w:cs="Arial"/>
          <w:noProof/>
          <w:color w:val="000000"/>
        </w:rPr>
        <w:lastRenderedPageBreak/>
        <w:drawing>
          <wp:inline distT="0" distB="0" distL="0" distR="0" wp14:anchorId="08159A93" wp14:editId="64C99F85">
            <wp:extent cx="3348111" cy="4522157"/>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5898" cy="4546181"/>
                    </a:xfrm>
                    <a:prstGeom prst="rect">
                      <a:avLst/>
                    </a:prstGeom>
                    <a:noFill/>
                    <a:ln>
                      <a:noFill/>
                    </a:ln>
                  </pic:spPr>
                </pic:pic>
              </a:graphicData>
            </a:graphic>
          </wp:inline>
        </w:drawing>
      </w:r>
    </w:p>
    <w:p w14:paraId="7D9E4463" w14:textId="38D7BC21" w:rsidR="004F5E43" w:rsidRPr="00C97269" w:rsidRDefault="004F5E43" w:rsidP="005E24BE">
      <w:pPr>
        <w:spacing w:line="360" w:lineRule="auto"/>
        <w:jc w:val="both"/>
        <w:rPr>
          <w:rFonts w:ascii="Arial" w:hAnsi="Arial" w:cs="Arial"/>
          <w:color w:val="000000"/>
          <w:szCs w:val="24"/>
        </w:rPr>
      </w:pPr>
      <w:r w:rsidRPr="00C97269">
        <w:rPr>
          <w:rFonts w:ascii="Arial" w:hAnsi="Arial" w:cs="Arial"/>
          <w:color w:val="000000"/>
          <w:szCs w:val="24"/>
        </w:rPr>
        <w:t xml:space="preserve">Supplementary Figure </w:t>
      </w:r>
      <w:r w:rsidR="00805740" w:rsidRPr="00C97269">
        <w:rPr>
          <w:rFonts w:ascii="Arial" w:hAnsi="Arial" w:cs="Arial"/>
          <w:color w:val="000000"/>
          <w:szCs w:val="24"/>
        </w:rPr>
        <w:t>4</w:t>
      </w:r>
      <w:r w:rsidRPr="00C97269">
        <w:rPr>
          <w:rFonts w:ascii="Arial" w:hAnsi="Arial" w:cs="Arial"/>
          <w:color w:val="000000"/>
          <w:szCs w:val="24"/>
        </w:rPr>
        <w:t xml:space="preserve">  Three-month follow-up image of the patient</w:t>
      </w:r>
    </w:p>
    <w:p w14:paraId="42D42C0C" w14:textId="35FFCD36" w:rsidR="004F5E43" w:rsidRPr="00C97269" w:rsidRDefault="004F5E43" w:rsidP="005E24BE">
      <w:pPr>
        <w:spacing w:line="360" w:lineRule="auto"/>
        <w:jc w:val="both"/>
        <w:rPr>
          <w:rFonts w:ascii="Arial" w:hAnsi="Arial" w:cs="Arial"/>
          <w:color w:val="000000"/>
          <w:szCs w:val="24"/>
          <w:lang w:eastAsia="zh-CN"/>
        </w:rPr>
      </w:pPr>
      <w:r w:rsidRPr="00C97269">
        <w:rPr>
          <w:rFonts w:ascii="Arial" w:hAnsi="Arial" w:cs="Arial"/>
          <w:color w:val="000000"/>
          <w:szCs w:val="24"/>
          <w:lang w:eastAsia="zh-CN"/>
        </w:rPr>
        <w:t>(A) The red arrow points to the lesion site, and the left lower abdominal wound healed well. (B) The spinal protection brace worn by the patient within three months after surgery.</w:t>
      </w:r>
    </w:p>
    <w:p w14:paraId="3170698F" w14:textId="77777777" w:rsidR="00805740" w:rsidRPr="00C97269" w:rsidRDefault="00805740" w:rsidP="005E24BE">
      <w:pPr>
        <w:spacing w:line="360" w:lineRule="auto"/>
        <w:jc w:val="both"/>
        <w:rPr>
          <w:rFonts w:ascii="Arial" w:hAnsi="Arial" w:cs="Arial"/>
          <w:color w:val="000000"/>
          <w:szCs w:val="24"/>
          <w:lang w:eastAsia="zh-CN"/>
        </w:rPr>
      </w:pPr>
    </w:p>
    <w:sectPr w:rsidR="00805740" w:rsidRPr="00C97269" w:rsidSect="00015EC1">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F7E48" w14:textId="77777777" w:rsidR="00706562" w:rsidRDefault="00706562" w:rsidP="00015EC1">
      <w:pPr>
        <w:spacing w:before="0" w:after="0"/>
      </w:pPr>
      <w:r>
        <w:separator/>
      </w:r>
    </w:p>
  </w:endnote>
  <w:endnote w:type="continuationSeparator" w:id="0">
    <w:p w14:paraId="3286E2B4" w14:textId="77777777" w:rsidR="00706562" w:rsidRDefault="00706562" w:rsidP="00015E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D9C2" w14:textId="77777777" w:rsidR="0044646E" w:rsidRDefault="00446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B5CB" w14:textId="6D879945" w:rsidR="0044646E" w:rsidRDefault="0044646E">
    <w:pPr>
      <w:pStyle w:val="Footer"/>
    </w:pPr>
    <w:r>
      <w:rPr>
        <w:noProof/>
      </w:rPr>
      <mc:AlternateContent>
        <mc:Choice Requires="wps">
          <w:drawing>
            <wp:anchor distT="0" distB="0" distL="114300" distR="114300" simplePos="0" relativeHeight="251659264" behindDoc="0" locked="0" layoutInCell="0" allowOverlap="1" wp14:anchorId="060FF02B" wp14:editId="4D111C7F">
              <wp:simplePos x="0" y="0"/>
              <wp:positionH relativeFrom="page">
                <wp:posOffset>0</wp:posOffset>
              </wp:positionH>
              <wp:positionV relativeFrom="page">
                <wp:posOffset>10237470</wp:posOffset>
              </wp:positionV>
              <wp:extent cx="7560310" cy="263525"/>
              <wp:effectExtent l="0" t="0" r="0" b="3175"/>
              <wp:wrapNone/>
              <wp:docPr id="4" name="MSIPCMcad2411a8a918cf1c598b632"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7C056B" w14:textId="71C466BB" w:rsidR="0044646E" w:rsidRPr="0044646E" w:rsidRDefault="0044646E" w:rsidP="0044646E">
                          <w:pPr>
                            <w:spacing w:before="0" w:after="0"/>
                            <w:rPr>
                              <w:rFonts w:ascii="Rockwell" w:hAnsi="Rockwell"/>
                              <w:color w:val="0078D7"/>
                              <w:sz w:val="18"/>
                            </w:rPr>
                          </w:pPr>
                          <w:r w:rsidRPr="0044646E">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60FF02B" id="_x0000_t202" coordsize="21600,21600" o:spt="202" path="m,l,21600r21600,l21600,xe">
              <v:stroke joinstyle="miter"/>
              <v:path gradientshapeok="t" o:connecttype="rect"/>
            </v:shapetype>
            <v:shape id="MSIPCMcad2411a8a918cf1c598b632"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7A7C056B" w14:textId="71C466BB" w:rsidR="0044646E" w:rsidRPr="0044646E" w:rsidRDefault="0044646E" w:rsidP="0044646E">
                    <w:pPr>
                      <w:spacing w:before="0" w:after="0"/>
                      <w:rPr>
                        <w:rFonts w:ascii="Rockwell" w:hAnsi="Rockwell"/>
                        <w:color w:val="0078D7"/>
                        <w:sz w:val="18"/>
                      </w:rPr>
                    </w:pPr>
                    <w:r w:rsidRPr="0044646E">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46D2" w14:textId="77777777" w:rsidR="0044646E" w:rsidRDefault="00446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87B5D" w14:textId="77777777" w:rsidR="00706562" w:rsidRDefault="00706562" w:rsidP="00015EC1">
      <w:pPr>
        <w:spacing w:before="0" w:after="0"/>
      </w:pPr>
      <w:r>
        <w:separator/>
      </w:r>
    </w:p>
  </w:footnote>
  <w:footnote w:type="continuationSeparator" w:id="0">
    <w:p w14:paraId="2091F09E" w14:textId="77777777" w:rsidR="00706562" w:rsidRDefault="00706562" w:rsidP="00015EC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45F0" w14:textId="77777777" w:rsidR="0044646E" w:rsidRDefault="00446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D1EF" w14:textId="77777777" w:rsidR="0044646E" w:rsidRDefault="00446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D237" w14:textId="77777777" w:rsidR="0044646E" w:rsidRDefault="00446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567"/>
        </w:tabs>
        <w:ind w:left="567" w:hanging="567"/>
      </w:pPr>
      <w:rPr>
        <w:rFonts w:cs="Times New Roman" w:hint="default"/>
      </w:rPr>
    </w:lvl>
    <w:lvl w:ilvl="2">
      <w:start w:val="1"/>
      <w:numFmt w:val="decimal"/>
      <w:pStyle w:val="Heading3"/>
      <w:lvlText w:val="%1.%2.%3"/>
      <w:lvlJc w:val="left"/>
      <w:pPr>
        <w:tabs>
          <w:tab w:val="num" w:pos="567"/>
        </w:tabs>
        <w:ind w:left="567" w:hanging="567"/>
      </w:pPr>
      <w:rPr>
        <w:rFonts w:cs="Times New Roman" w:hint="default"/>
      </w:rPr>
    </w:lvl>
    <w:lvl w:ilvl="3">
      <w:start w:val="1"/>
      <w:numFmt w:val="decimal"/>
      <w:pStyle w:val="Heading4"/>
      <w:lvlText w:val="%1.%2.%3.%4"/>
      <w:lvlJc w:val="left"/>
      <w:pPr>
        <w:tabs>
          <w:tab w:val="num" w:pos="567"/>
        </w:tabs>
        <w:ind w:left="567" w:hanging="567"/>
      </w:pPr>
      <w:rPr>
        <w:rFonts w:cs="Times New Roman" w:hint="default"/>
      </w:rPr>
    </w:lvl>
    <w:lvl w:ilvl="4">
      <w:start w:val="1"/>
      <w:numFmt w:val="decimal"/>
      <w:pStyle w:val="Heading5"/>
      <w:lvlText w:val="%1.%2.%3.%4.%5"/>
      <w:lvlJc w:val="left"/>
      <w:pPr>
        <w:tabs>
          <w:tab w:val="num" w:pos="567"/>
        </w:tabs>
        <w:ind w:left="567" w:hanging="567"/>
      </w:pPr>
      <w:rPr>
        <w:rFonts w:cs="Times New Roman" w:hint="default"/>
      </w:rPr>
    </w:lvl>
    <w:lvl w:ilvl="5">
      <w:start w:val="1"/>
      <w:numFmt w:val="lowerRoman"/>
      <w:lvlText w:val="%6."/>
      <w:lvlJc w:val="right"/>
      <w:pPr>
        <w:tabs>
          <w:tab w:val="num" w:pos="567"/>
        </w:tabs>
        <w:ind w:left="567" w:hanging="567"/>
      </w:pPr>
      <w:rPr>
        <w:rFonts w:cs="Times New Roman" w:hint="default"/>
      </w:rPr>
    </w:lvl>
    <w:lvl w:ilvl="6">
      <w:start w:val="1"/>
      <w:numFmt w:val="decimal"/>
      <w:lvlText w:val="%7."/>
      <w:lvlJc w:val="left"/>
      <w:pPr>
        <w:tabs>
          <w:tab w:val="num" w:pos="567"/>
        </w:tabs>
        <w:ind w:left="567" w:hanging="567"/>
      </w:pPr>
      <w:rPr>
        <w:rFonts w:cs="Times New Roman" w:hint="default"/>
      </w:rPr>
    </w:lvl>
    <w:lvl w:ilvl="7">
      <w:start w:val="1"/>
      <w:numFmt w:val="lowerLetter"/>
      <w:lvlText w:val="%8."/>
      <w:lvlJc w:val="left"/>
      <w:pPr>
        <w:tabs>
          <w:tab w:val="num" w:pos="567"/>
        </w:tabs>
        <w:ind w:left="567" w:hanging="567"/>
      </w:pPr>
      <w:rPr>
        <w:rFonts w:cs="Times New Roman" w:hint="default"/>
      </w:rPr>
    </w:lvl>
    <w:lvl w:ilvl="8">
      <w:start w:val="1"/>
      <w:numFmt w:val="lowerRoman"/>
      <w:lvlText w:val="%9."/>
      <w:lvlJc w:val="right"/>
      <w:pPr>
        <w:tabs>
          <w:tab w:val="num" w:pos="567"/>
        </w:tabs>
        <w:ind w:left="567" w:hanging="567"/>
      </w:pPr>
      <w:rPr>
        <w:rFonts w:cs="Times New Roman" w:hint="default"/>
      </w:rPr>
    </w:lvl>
  </w:abstractNum>
  <w:num w:numId="1" w16cid:durableId="116204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7E"/>
    <w:rsid w:val="00015EC1"/>
    <w:rsid w:val="0004628A"/>
    <w:rsid w:val="001528EA"/>
    <w:rsid w:val="001909B8"/>
    <w:rsid w:val="00205AB4"/>
    <w:rsid w:val="002766C5"/>
    <w:rsid w:val="002A0841"/>
    <w:rsid w:val="002D4298"/>
    <w:rsid w:val="002F5B2A"/>
    <w:rsid w:val="0035556F"/>
    <w:rsid w:val="00382BF3"/>
    <w:rsid w:val="003A69AF"/>
    <w:rsid w:val="003C790D"/>
    <w:rsid w:val="0040339E"/>
    <w:rsid w:val="0044646E"/>
    <w:rsid w:val="00467BA8"/>
    <w:rsid w:val="004960DE"/>
    <w:rsid w:val="004F5E43"/>
    <w:rsid w:val="005A25F1"/>
    <w:rsid w:val="005E24BE"/>
    <w:rsid w:val="005F0175"/>
    <w:rsid w:val="0061221B"/>
    <w:rsid w:val="006A7499"/>
    <w:rsid w:val="006D715D"/>
    <w:rsid w:val="006F5595"/>
    <w:rsid w:val="00706562"/>
    <w:rsid w:val="00706BE9"/>
    <w:rsid w:val="007150A4"/>
    <w:rsid w:val="0075032A"/>
    <w:rsid w:val="007967B2"/>
    <w:rsid w:val="007F0D6D"/>
    <w:rsid w:val="00805740"/>
    <w:rsid w:val="00807C3C"/>
    <w:rsid w:val="0084550C"/>
    <w:rsid w:val="008A4B55"/>
    <w:rsid w:val="008D530F"/>
    <w:rsid w:val="008E2837"/>
    <w:rsid w:val="009042C6"/>
    <w:rsid w:val="009A4E80"/>
    <w:rsid w:val="009C5723"/>
    <w:rsid w:val="00A0127E"/>
    <w:rsid w:val="00A21E14"/>
    <w:rsid w:val="00A310BA"/>
    <w:rsid w:val="00A52738"/>
    <w:rsid w:val="00BA0A31"/>
    <w:rsid w:val="00C15050"/>
    <w:rsid w:val="00C97269"/>
    <w:rsid w:val="00CB7DAB"/>
    <w:rsid w:val="00D06CE3"/>
    <w:rsid w:val="00D74CD4"/>
    <w:rsid w:val="00D8208B"/>
    <w:rsid w:val="00D84E71"/>
    <w:rsid w:val="00DD5FCF"/>
    <w:rsid w:val="00DE2A3C"/>
    <w:rsid w:val="00DF1887"/>
    <w:rsid w:val="00E34620"/>
    <w:rsid w:val="00E571BC"/>
    <w:rsid w:val="00EB2B28"/>
    <w:rsid w:val="00EB3F41"/>
    <w:rsid w:val="00F3399E"/>
    <w:rsid w:val="00F90AC3"/>
    <w:rsid w:val="00FE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253AB"/>
  <w15:chartTrackingRefBased/>
  <w15:docId w15:val="{9DEA964C-289A-4297-975D-2BCBFC42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EC1"/>
    <w:pPr>
      <w:spacing w:before="120" w:after="240"/>
    </w:pPr>
    <w:rPr>
      <w:rFonts w:ascii="Times New Roman" w:eastAsia="SimSun" w:hAnsi="Times New Roman" w:cs="Times New Roman"/>
      <w:kern w:val="0"/>
      <w:sz w:val="24"/>
      <w:lang w:eastAsia="en-US"/>
    </w:rPr>
  </w:style>
  <w:style w:type="paragraph" w:styleId="Heading1">
    <w:name w:val="heading 1"/>
    <w:basedOn w:val="ListParagraph"/>
    <w:next w:val="Normal"/>
    <w:link w:val="Heading1Char"/>
    <w:uiPriority w:val="2"/>
    <w:qFormat/>
    <w:rsid w:val="00CB7DAB"/>
    <w:pPr>
      <w:numPr>
        <w:numId w:val="1"/>
      </w:numPr>
      <w:spacing w:before="240"/>
      <w:ind w:firstLineChars="0" w:firstLine="0"/>
      <w:outlineLvl w:val="0"/>
    </w:pPr>
    <w:rPr>
      <w:rFonts w:eastAsia="Times New Roman"/>
      <w:b/>
      <w:szCs w:val="24"/>
    </w:rPr>
  </w:style>
  <w:style w:type="paragraph" w:styleId="Heading2">
    <w:name w:val="heading 2"/>
    <w:basedOn w:val="Heading1"/>
    <w:next w:val="Normal"/>
    <w:link w:val="Heading2Char"/>
    <w:uiPriority w:val="2"/>
    <w:qFormat/>
    <w:rsid w:val="00CB7DAB"/>
    <w:pPr>
      <w:numPr>
        <w:ilvl w:val="1"/>
      </w:numPr>
      <w:spacing w:after="200"/>
      <w:outlineLvl w:val="1"/>
    </w:pPr>
  </w:style>
  <w:style w:type="paragraph" w:styleId="Heading3">
    <w:name w:val="heading 3"/>
    <w:basedOn w:val="Normal"/>
    <w:next w:val="Normal"/>
    <w:link w:val="Heading3Char"/>
    <w:uiPriority w:val="2"/>
    <w:qFormat/>
    <w:rsid w:val="00CB7DAB"/>
    <w:pPr>
      <w:keepNext/>
      <w:keepLines/>
      <w:numPr>
        <w:ilvl w:val="2"/>
        <w:numId w:val="1"/>
      </w:numPr>
      <w:spacing w:before="40" w:after="120"/>
      <w:outlineLvl w:val="2"/>
    </w:pPr>
    <w:rPr>
      <w:b/>
      <w:szCs w:val="24"/>
    </w:rPr>
  </w:style>
  <w:style w:type="paragraph" w:styleId="Heading4">
    <w:name w:val="heading 4"/>
    <w:basedOn w:val="Heading3"/>
    <w:next w:val="Normal"/>
    <w:link w:val="Heading4Char"/>
    <w:uiPriority w:val="2"/>
    <w:qFormat/>
    <w:rsid w:val="00CB7DAB"/>
    <w:pPr>
      <w:numPr>
        <w:ilvl w:val="3"/>
      </w:numPr>
      <w:outlineLvl w:val="3"/>
    </w:pPr>
    <w:rPr>
      <w:iCs/>
    </w:rPr>
  </w:style>
  <w:style w:type="paragraph" w:styleId="Heading5">
    <w:name w:val="heading 5"/>
    <w:basedOn w:val="Heading4"/>
    <w:next w:val="Normal"/>
    <w:link w:val="Heading5Char"/>
    <w:uiPriority w:val="2"/>
    <w:qFormat/>
    <w:rsid w:val="00CB7DAB"/>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EC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15EC1"/>
    <w:rPr>
      <w:sz w:val="18"/>
      <w:szCs w:val="18"/>
    </w:rPr>
  </w:style>
  <w:style w:type="paragraph" w:styleId="Footer">
    <w:name w:val="footer"/>
    <w:basedOn w:val="Normal"/>
    <w:link w:val="FooterChar"/>
    <w:uiPriority w:val="99"/>
    <w:unhideWhenUsed/>
    <w:rsid w:val="00015EC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15EC1"/>
    <w:rPr>
      <w:sz w:val="18"/>
      <w:szCs w:val="18"/>
    </w:rPr>
  </w:style>
  <w:style w:type="character" w:customStyle="1" w:styleId="Heading1Char">
    <w:name w:val="Heading 1 Char"/>
    <w:basedOn w:val="DefaultParagraphFont"/>
    <w:link w:val="Heading1"/>
    <w:uiPriority w:val="2"/>
    <w:rsid w:val="00CB7DAB"/>
    <w:rPr>
      <w:rFonts w:ascii="Times New Roman" w:eastAsia="Times New Roman" w:hAnsi="Times New Roman" w:cs="Times New Roman"/>
      <w:b/>
      <w:kern w:val="0"/>
      <w:sz w:val="24"/>
      <w:szCs w:val="24"/>
      <w:lang w:eastAsia="en-US"/>
    </w:rPr>
  </w:style>
  <w:style w:type="character" w:customStyle="1" w:styleId="Heading2Char">
    <w:name w:val="Heading 2 Char"/>
    <w:basedOn w:val="DefaultParagraphFont"/>
    <w:link w:val="Heading2"/>
    <w:uiPriority w:val="2"/>
    <w:rsid w:val="00CB7DAB"/>
    <w:rPr>
      <w:rFonts w:ascii="Times New Roman" w:eastAsia="Times New Roman" w:hAnsi="Times New Roman" w:cs="Times New Roman"/>
      <w:b/>
      <w:kern w:val="0"/>
      <w:sz w:val="24"/>
      <w:szCs w:val="24"/>
      <w:lang w:eastAsia="en-US"/>
    </w:rPr>
  </w:style>
  <w:style w:type="character" w:customStyle="1" w:styleId="Heading3Char">
    <w:name w:val="Heading 3 Char"/>
    <w:basedOn w:val="DefaultParagraphFont"/>
    <w:link w:val="Heading3"/>
    <w:uiPriority w:val="2"/>
    <w:rsid w:val="00CB7DAB"/>
    <w:rPr>
      <w:rFonts w:ascii="Times New Roman" w:eastAsia="SimSun" w:hAnsi="Times New Roman" w:cs="Times New Roman"/>
      <w:b/>
      <w:kern w:val="0"/>
      <w:sz w:val="24"/>
      <w:szCs w:val="24"/>
      <w:lang w:eastAsia="en-US"/>
    </w:rPr>
  </w:style>
  <w:style w:type="character" w:customStyle="1" w:styleId="Heading4Char">
    <w:name w:val="Heading 4 Char"/>
    <w:basedOn w:val="DefaultParagraphFont"/>
    <w:link w:val="Heading4"/>
    <w:uiPriority w:val="2"/>
    <w:rsid w:val="00CB7DAB"/>
    <w:rPr>
      <w:rFonts w:ascii="Times New Roman" w:eastAsia="SimSun" w:hAnsi="Times New Roman" w:cs="Times New Roman"/>
      <w:b/>
      <w:iCs/>
      <w:kern w:val="0"/>
      <w:sz w:val="24"/>
      <w:szCs w:val="24"/>
      <w:lang w:eastAsia="en-US"/>
    </w:rPr>
  </w:style>
  <w:style w:type="character" w:customStyle="1" w:styleId="Heading5Char">
    <w:name w:val="Heading 5 Char"/>
    <w:basedOn w:val="DefaultParagraphFont"/>
    <w:link w:val="Heading5"/>
    <w:uiPriority w:val="2"/>
    <w:rsid w:val="00CB7DAB"/>
    <w:rPr>
      <w:rFonts w:ascii="Times New Roman" w:eastAsia="SimSun" w:hAnsi="Times New Roman" w:cs="Times New Roman"/>
      <w:b/>
      <w:iCs/>
      <w:kern w:val="0"/>
      <w:sz w:val="24"/>
      <w:szCs w:val="24"/>
      <w:lang w:eastAsia="en-US"/>
    </w:rPr>
  </w:style>
  <w:style w:type="numbering" w:customStyle="1" w:styleId="Headings">
    <w:name w:val="Headings"/>
    <w:rsid w:val="00CB7DAB"/>
    <w:pPr>
      <w:numPr>
        <w:numId w:val="1"/>
      </w:numPr>
    </w:pPr>
  </w:style>
  <w:style w:type="paragraph" w:styleId="ListParagraph">
    <w:name w:val="List Paragraph"/>
    <w:basedOn w:val="Normal"/>
    <w:uiPriority w:val="34"/>
    <w:qFormat/>
    <w:rsid w:val="00CB7DAB"/>
    <w:pPr>
      <w:ind w:firstLineChars="200" w:firstLine="420"/>
    </w:pPr>
  </w:style>
  <w:style w:type="character" w:styleId="Hyperlink">
    <w:name w:val="Hyperlink"/>
    <w:basedOn w:val="DefaultParagraphFont"/>
    <w:uiPriority w:val="99"/>
    <w:unhideWhenUsed/>
    <w:rsid w:val="00A52738"/>
    <w:rPr>
      <w:color w:val="0563C1" w:themeColor="hyperlink"/>
      <w:u w:val="single"/>
    </w:rPr>
  </w:style>
  <w:style w:type="character" w:styleId="UnresolvedMention">
    <w:name w:val="Unresolved Mention"/>
    <w:basedOn w:val="DefaultParagraphFont"/>
    <w:uiPriority w:val="99"/>
    <w:semiHidden/>
    <w:unhideWhenUsed/>
    <w:rsid w:val="00A52738"/>
    <w:rPr>
      <w:color w:val="605E5C"/>
      <w:shd w:val="clear" w:color="auto" w:fill="E1DFDD"/>
    </w:rPr>
  </w:style>
  <w:style w:type="paragraph" w:styleId="Revision">
    <w:name w:val="Revision"/>
    <w:hidden/>
    <w:uiPriority w:val="99"/>
    <w:semiHidden/>
    <w:rsid w:val="00E571BC"/>
    <w:rPr>
      <w:rFonts w:ascii="Times New Roman" w:eastAsia="SimSun" w:hAnsi="Times New Roman" w:cs="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o-bwa.sourceforge.ne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 翰文</dc:creator>
  <cp:keywords/>
  <dc:description/>
  <cp:lastModifiedBy>Lee, Boon</cp:lastModifiedBy>
  <cp:revision>2</cp:revision>
  <dcterms:created xsi:type="dcterms:W3CDTF">2023-03-03T04:55:00Z</dcterms:created>
  <dcterms:modified xsi:type="dcterms:W3CDTF">2023-03-03T04:55:00Z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2023-03-03T04:55:05Z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7c545c65-e834-4380-9653-9809c2947e64</vt:lpwstr>
  </property>
  <property fmtid="{D5CDD505-2E9C-101B-9397-08002B2CF9AE}" pid="8" name="MSIP_Label_2bbab825-a111-45e4-86a1-18cee0005896_ContentBits">
    <vt:lpwstr>2</vt:lpwstr>
  </property>
</Properties>
</file>