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567"/>
        </w:tabs>
        <w:ind w:left="567" w:hanging="567"/>
      </w:pPr>
      <w:r>
        <w:t>Supplementary Figures</w:t>
      </w:r>
    </w:p>
    <w:p>
      <w:pPr>
        <w:widowControl/>
        <w:spacing w:before="240" w:after="200"/>
        <w:ind w:left="567" w:hanging="567"/>
        <w:jc w:val="left"/>
        <w:outlineLvl w:val="1"/>
        <w:rPr>
          <w:rFonts w:ascii="Times New Roman" w:hAnsi="Times New Roman" w:eastAsia="Cambria" w:cs="Times New Roman"/>
          <w:b/>
          <w:kern w:val="0"/>
          <w:sz w:val="24"/>
          <w:lang w:eastAsia="en-US"/>
        </w:rPr>
      </w:pPr>
      <w:r>
        <w:rPr>
          <w:rFonts w:ascii="Times New Roman" w:hAnsi="Times New Roman" w:eastAsia="Cambria" w:cs="Times New Roman"/>
          <w:b/>
          <w:kern w:val="0"/>
          <w:sz w:val="24"/>
          <w:lang w:eastAsia="en-US"/>
        </w:rPr>
        <w:t>Figure S1</w:t>
      </w:r>
      <w:r>
        <w:rPr>
          <w:rFonts w:hint="eastAsia" w:ascii="Times New Roman" w:hAnsi="Times New Roman" w:eastAsia="Cambria" w:cs="Times New Roman"/>
          <w:b/>
          <w:kern w:val="0"/>
          <w:sz w:val="24"/>
          <w:lang w:eastAsia="en-US"/>
        </w:rPr>
        <w:t>.</w:t>
      </w:r>
    </w:p>
    <w:p>
      <w:r>
        <w:drawing>
          <wp:inline distT="0" distB="0" distL="0" distR="0">
            <wp:extent cx="5274310" cy="2273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  <w:szCs w:val="22"/>
        </w:rPr>
      </w:pPr>
      <w:r>
        <w:rPr>
          <w:rFonts w:hint="eastAsia" w:ascii="Times New Roman" w:hAnsi="Times New Roman"/>
          <w:sz w:val="24"/>
          <w:szCs w:val="22"/>
        </w:rPr>
        <w:t>(</w:t>
      </w:r>
      <w:r>
        <w:rPr>
          <w:rFonts w:ascii="Times New Roman" w:hAnsi="Times New Roman"/>
          <w:sz w:val="24"/>
          <w:szCs w:val="22"/>
        </w:rPr>
        <w:t>A)</w:t>
      </w:r>
      <w:bookmarkStart w:id="0" w:name="_Hlk110633362"/>
      <w:r>
        <w:rPr>
          <w:rFonts w:ascii="Times New Roman" w:hAnsi="Times New Roman"/>
          <w:sz w:val="24"/>
          <w:szCs w:val="22"/>
        </w:rPr>
        <w:t xml:space="preserve"> </w:t>
      </w:r>
      <w:bookmarkEnd w:id="0"/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>PCA shows the gene expression distribution in 5 GC cohort samples (mGEO datasets) before batch effect correction.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2"/>
        </w:rPr>
        <w:t xml:space="preserve"> 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  <w:szCs w:val="22"/>
        </w:rPr>
      </w:pPr>
      <w:r>
        <w:rPr>
          <w:rFonts w:hint="eastAsia" w:ascii="Times New Roman" w:hAnsi="Times New Roman" w:eastAsia="等线" w:cs="Times New Roman"/>
          <w:bCs/>
          <w:kern w:val="0"/>
          <w:sz w:val="24"/>
          <w:szCs w:val="22"/>
        </w:rPr>
        <w:t>(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 xml:space="preserve">B) 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2"/>
        </w:rPr>
        <w:t>PCA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 xml:space="preserve"> show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2"/>
        </w:rPr>
        <w:t>s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 xml:space="preserve"> the gene expression distribution in 5 GC cohort samples (mGEO datasets) </w:t>
      </w:r>
      <w:r>
        <w:rPr>
          <w:rFonts w:hint="eastAsia" w:ascii="Times New Roman" w:hAnsi="Times New Roman" w:eastAsia="等线" w:cs="Times New Roman"/>
          <w:bCs/>
          <w:kern w:val="0"/>
          <w:sz w:val="24"/>
          <w:szCs w:val="22"/>
        </w:rPr>
        <w:t xml:space="preserve">after 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>batch effect correction.</w:t>
      </w:r>
    </w:p>
    <w:p/>
    <w:p>
      <w:pPr>
        <w:widowControl/>
        <w:spacing w:before="240" w:after="200"/>
        <w:ind w:left="567" w:hanging="567"/>
        <w:jc w:val="left"/>
        <w:outlineLvl w:val="1"/>
        <w:rPr>
          <w:rFonts w:ascii="Times New Roman" w:hAnsi="Times New Roman" w:eastAsia="Cambria" w:cs="Times New Roman"/>
          <w:b/>
          <w:kern w:val="0"/>
          <w:sz w:val="24"/>
          <w:lang w:eastAsia="en-US"/>
        </w:rPr>
      </w:pPr>
      <w:r>
        <w:rPr>
          <w:rFonts w:ascii="Times New Roman" w:hAnsi="Times New Roman" w:eastAsia="Cambria" w:cs="Times New Roman"/>
          <w:b/>
          <w:kern w:val="0"/>
          <w:sz w:val="24"/>
          <w:lang w:eastAsia="en-US"/>
        </w:rPr>
        <w:t>Figure S2</w:t>
      </w:r>
      <w:r>
        <w:rPr>
          <w:rFonts w:hint="eastAsia" w:ascii="Times New Roman" w:hAnsi="Times New Roman" w:eastAsia="Cambria" w:cs="Times New Roman"/>
          <w:b/>
          <w:kern w:val="0"/>
          <w:sz w:val="24"/>
          <w:lang w:eastAsia="en-US"/>
        </w:rPr>
        <w:t>.</w:t>
      </w:r>
    </w:p>
    <w:p>
      <w:r>
        <w:drawing>
          <wp:inline distT="0" distB="0" distL="0" distR="0">
            <wp:extent cx="4777740" cy="477774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416" cy="477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  <w:szCs w:val="22"/>
        </w:rPr>
      </w:pP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>Correlation between expression levels of 44 collagen molecules, red represents positive correlation, blue represents negative correlation, and shades of yellow indicates the P values. [</w:t>
      </w:r>
      <w:r>
        <w:rPr>
          <w:rFonts w:hint="eastAsia"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GEO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 xml:space="preserve">Spearman method, </w:t>
      </w:r>
      <w:r>
        <w:rPr>
          <w:rFonts w:ascii="Times New Roman" w:hAnsi="Times New Roman" w:cs="Times New Roman"/>
          <w:sz w:val="24"/>
        </w:rPr>
        <w:t>n = 545</w:t>
      </w:r>
      <w:r>
        <w:rPr>
          <w:rFonts w:ascii="Times New Roman" w:hAnsi="Times New Roman" w:eastAsia="等线" w:cs="Times New Roman"/>
          <w:bCs/>
          <w:kern w:val="0"/>
          <w:sz w:val="24"/>
          <w:szCs w:val="22"/>
        </w:rPr>
        <w:t>].</w:t>
      </w:r>
    </w:p>
    <w:p/>
    <w:p>
      <w:pPr>
        <w:widowControl/>
        <w:spacing w:before="240" w:after="200"/>
        <w:ind w:left="567" w:hanging="567"/>
        <w:jc w:val="left"/>
        <w:outlineLvl w:val="1"/>
        <w:rPr>
          <w:rFonts w:ascii="Times New Roman" w:hAnsi="Times New Roman" w:eastAsia="Cambria" w:cs="Times New Roman"/>
          <w:b/>
          <w:kern w:val="0"/>
          <w:sz w:val="24"/>
          <w:lang w:eastAsia="en-US"/>
        </w:rPr>
      </w:pPr>
      <w:r>
        <w:rPr>
          <w:rFonts w:ascii="Times New Roman" w:hAnsi="Times New Roman" w:eastAsia="Cambria" w:cs="Times New Roman"/>
          <w:b/>
          <w:kern w:val="0"/>
          <w:sz w:val="24"/>
          <w:lang w:eastAsia="en-US"/>
        </w:rPr>
        <w:t>Figure S3</w:t>
      </w:r>
      <w:r>
        <w:rPr>
          <w:rFonts w:hint="eastAsia" w:ascii="Times New Roman" w:hAnsi="Times New Roman" w:eastAsia="Cambria" w:cs="Times New Roman"/>
          <w:b/>
          <w:kern w:val="0"/>
          <w:sz w:val="24"/>
          <w:lang w:eastAsia="en-US"/>
        </w:rPr>
        <w:t>.</w:t>
      </w:r>
    </w:p>
    <w:p>
      <w:r>
        <w:drawing>
          <wp:inline distT="0" distB="0" distL="0" distR="0">
            <wp:extent cx="5274310" cy="48361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Cell</w:t>
      </w:r>
      <w:r>
        <w:rPr>
          <w:rFonts w:hint="eastAsia" w:ascii="Times New Roman" w:hAnsi="Times New Roman" w:cs="Times New Roman"/>
          <w:sz w:val="24"/>
        </w:rPr>
        <w:t>-cluster</w:t>
      </w:r>
      <w:r>
        <w:rPr>
          <w:rFonts w:ascii="Times New Roman" w:hAnsi="Times New Roman" w:cs="Times New Roman"/>
          <w:sz w:val="24"/>
        </w:rPr>
        <w:t xml:space="preserve"> markers. The relative expression level of genes across cells is shown, sorted by cell </w:t>
      </w:r>
      <w:r>
        <w:rPr>
          <w:rFonts w:hint="eastAsia" w:ascii="Times New Roman" w:hAnsi="Times New Roman" w:cs="Times New Roman"/>
          <w:sz w:val="24"/>
        </w:rPr>
        <w:t>cluster</w:t>
      </w:r>
      <w:r>
        <w:rPr>
          <w:rFonts w:ascii="Times New Roman" w:hAnsi="Times New Roman" w:cs="Times New Roman"/>
          <w:sz w:val="24"/>
        </w:rPr>
        <w:t>. Cell-</w:t>
      </w:r>
      <w:r>
        <w:rPr>
          <w:rFonts w:hint="eastAsia" w:ascii="Times New Roman" w:hAnsi="Times New Roman" w:cs="Times New Roman"/>
          <w:sz w:val="24"/>
        </w:rPr>
        <w:t>cluster</w:t>
      </w:r>
      <w:r>
        <w:rPr>
          <w:rFonts w:ascii="Times New Roman" w:hAnsi="Times New Roman" w:cs="Times New Roman"/>
          <w:sz w:val="24"/>
        </w:rPr>
        <w:t xml:space="preserve"> marker genes were identified in an unbiased fashion (Wilcoxon rank-sum test, FDR &lt;0.01, and fold change &gt;1.5) and only the top 15 gene are shown in the figure.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</w:rPr>
        <w:t>(B-C) Dot plot of marker genes from scRNA-seq used for cluster annotation.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</w:rPr>
      </w:pPr>
    </w:p>
    <w:p>
      <w:pPr>
        <w:widowControl/>
        <w:spacing w:before="240" w:after="200"/>
        <w:ind w:left="567" w:hanging="567"/>
        <w:jc w:val="left"/>
        <w:outlineLvl w:val="1"/>
        <w:rPr>
          <w:rFonts w:ascii="Times New Roman" w:hAnsi="Times New Roman" w:eastAsia="Cambria" w:cs="Times New Roman"/>
          <w:b/>
          <w:kern w:val="0"/>
          <w:sz w:val="24"/>
          <w:lang w:eastAsia="en-US"/>
        </w:rPr>
      </w:pPr>
      <w:r>
        <w:rPr>
          <w:rFonts w:ascii="Times New Roman" w:hAnsi="Times New Roman" w:eastAsia="Cambria" w:cs="Times New Roman"/>
          <w:b/>
          <w:kern w:val="0"/>
          <w:sz w:val="24"/>
          <w:lang w:eastAsia="en-US"/>
        </w:rPr>
        <w:t>Figure S4</w:t>
      </w:r>
      <w:r>
        <w:rPr>
          <w:rFonts w:hint="eastAsia" w:ascii="Times New Roman" w:hAnsi="Times New Roman" w:eastAsia="Cambria" w:cs="Times New Roman"/>
          <w:b/>
          <w:kern w:val="0"/>
          <w:sz w:val="24"/>
          <w:lang w:eastAsia="en-US"/>
        </w:rPr>
        <w:t>.</w:t>
      </w:r>
    </w:p>
    <w:p>
      <w:r>
        <w:rPr>
          <w:rFonts w:hint="eastAsia"/>
        </w:rPr>
        <w:drawing>
          <wp:inline distT="0" distB="0" distL="0" distR="0">
            <wp:extent cx="5274310" cy="68046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(A-B) The consensus score matrix of all samples when k = 2-6</w:t>
      </w:r>
      <w:r>
        <w:rPr>
          <w:rFonts w:hint="eastAsia" w:ascii="Times New Roman" w:hAnsi="Times New Roman" w:eastAsia="等线" w:cs="Times New Roman"/>
          <w:bCs/>
          <w:kern w:val="0"/>
          <w:sz w:val="24"/>
        </w:rPr>
        <w:t xml:space="preserve"> based on TCGA-</w:t>
      </w:r>
      <w:r>
        <w:rPr>
          <w:rFonts w:ascii="Times New Roman" w:hAnsi="Times New Roman" w:eastAsia="等线" w:cs="Times New Roman"/>
          <w:bCs/>
          <w:kern w:val="0"/>
          <w:sz w:val="24"/>
        </w:rPr>
        <w:t xml:space="preserve">SKCM </w:t>
      </w:r>
      <w:r>
        <w:rPr>
          <w:rFonts w:hint="eastAsia" w:ascii="Times New Roman" w:hAnsi="Times New Roman" w:eastAsia="等线" w:cs="Times New Roman"/>
          <w:bCs/>
          <w:kern w:val="0"/>
          <w:sz w:val="24"/>
        </w:rPr>
        <w:t>and</w:t>
      </w:r>
      <w:r>
        <w:rPr>
          <w:rFonts w:ascii="Times New Roman" w:hAnsi="Times New Roman" w:eastAsia="等线" w:cs="Times New Roman"/>
          <w:bCs/>
          <w:kern w:val="0"/>
          <w:sz w:val="24"/>
        </w:rPr>
        <w:t xml:space="preserve"> </w:t>
      </w:r>
      <w:r>
        <w:rPr>
          <w:rFonts w:hint="eastAsia" w:ascii="Times New Roman" w:hAnsi="Times New Roman" w:eastAsia="等线" w:cs="Times New Roman"/>
          <w:bCs/>
          <w:kern w:val="0"/>
          <w:sz w:val="24"/>
        </w:rPr>
        <w:t>m</w:t>
      </w:r>
      <w:r>
        <w:rPr>
          <w:rFonts w:ascii="Times New Roman" w:hAnsi="Times New Roman" w:eastAsia="等线" w:cs="Times New Roman"/>
          <w:bCs/>
          <w:kern w:val="0"/>
          <w:sz w:val="24"/>
        </w:rPr>
        <w:t>GEO.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</w:p>
    <w:p>
      <w:pPr>
        <w:widowControl/>
        <w:spacing w:before="240" w:after="200"/>
        <w:ind w:left="567" w:hanging="567"/>
        <w:jc w:val="left"/>
        <w:outlineLvl w:val="1"/>
        <w:rPr>
          <w:rFonts w:ascii="Times New Roman" w:hAnsi="Times New Roman" w:eastAsia="Cambria" w:cs="Times New Roman"/>
          <w:b/>
          <w:kern w:val="0"/>
          <w:sz w:val="24"/>
          <w:lang w:eastAsia="en-US"/>
        </w:rPr>
      </w:pPr>
      <w:r>
        <w:rPr>
          <w:rFonts w:ascii="Times New Roman" w:hAnsi="Times New Roman" w:eastAsia="Cambria" w:cs="Times New Roman"/>
          <w:b/>
          <w:kern w:val="0"/>
          <w:sz w:val="24"/>
          <w:lang w:eastAsia="en-US"/>
        </w:rPr>
        <w:t>Figure S5</w:t>
      </w:r>
      <w:r>
        <w:rPr>
          <w:rFonts w:hint="eastAsia" w:ascii="Times New Roman" w:hAnsi="Times New Roman" w:eastAsia="Cambria" w:cs="Times New Roman"/>
          <w:b/>
          <w:kern w:val="0"/>
          <w:sz w:val="24"/>
          <w:lang w:eastAsia="en-US"/>
        </w:rPr>
        <w:t>.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hint="eastAsia" w:ascii="Times New Roman" w:hAnsi="Times New Roman" w:eastAsia="等线" w:cs="Times New Roman"/>
          <w:bCs/>
          <w:kern w:val="0"/>
          <w:sz w:val="24"/>
        </w:rPr>
        <w:drawing>
          <wp:inline distT="0" distB="0" distL="0" distR="0">
            <wp:extent cx="5274310" cy="6868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(A) Left: The cumulative distribution function (CDF) curves in consensus cluster analysis. CDF curves of consensus scores by different subtype numbers (k = 2, 3, 4, 5, and 6) were displayed. Right: Relative change in area under the CDF curve for k = 2–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(B) The consensus score matrix of all samples when k = 2. The higher the consensus score was, the more likely they were assigned to the same group based on mGEO (GSE65904; GSE15605; GSE19234; GSE59455; GSE91061)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(C) The Principal Component Analysis (PCA) distribution of mGEO samples by the expression profile of collagen molecules. Each point represents a single sample; different colors represent the C1 and C2 subtypes respectively.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(D) Expression distribution of 44 collagen molecules between two subtypes based on mGEO.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(E) The Sankey diagram fully demonstrated the association between Clinicopathological and subtype attributes based on mGEO.</w:t>
      </w:r>
    </w:p>
    <w:p>
      <w:pPr>
        <w:spacing w:line="360" w:lineRule="auto"/>
        <w:rPr>
          <w:rFonts w:ascii="Times New Roman" w:hAnsi="Times New Roman" w:eastAsia="等线" w:cs="Times New Roman"/>
          <w:bCs/>
          <w:kern w:val="0"/>
          <w:sz w:val="24"/>
        </w:rPr>
      </w:pPr>
      <w:r>
        <w:rPr>
          <w:rFonts w:ascii="Times New Roman" w:hAnsi="Times New Roman" w:eastAsia="等线" w:cs="Times New Roman"/>
          <w:bCs/>
          <w:kern w:val="0"/>
          <w:sz w:val="24"/>
        </w:rPr>
        <w:t>(F-H) Survival analysis including Overall Survival (OS), Progression-Free Survival (PFS), and Disease-Specific Survival (DSS) based on 2 subtypes (mGEO, Logrank test, n = 545).</w:t>
      </w:r>
    </w:p>
    <w:p/>
    <w:p>
      <w:pPr>
        <w:pStyle w:val="2"/>
        <w:tabs>
          <w:tab w:val="left" w:pos="567"/>
        </w:tabs>
        <w:ind w:left="567" w:hanging="567"/>
      </w:pPr>
      <w:r>
        <w:t>Supplementary</w:t>
      </w:r>
      <w:r>
        <w:rPr>
          <w:rFonts w:hint="eastAsia"/>
        </w:rPr>
        <w:t xml:space="preserve"> </w:t>
      </w:r>
      <w:r>
        <w:t>Table 1</w:t>
      </w:r>
    </w:p>
    <w:tbl>
      <w:tblPr>
        <w:tblStyle w:val="7"/>
        <w:tblW w:w="90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1"/>
        <w:gridCol w:w="4243"/>
        <w:gridCol w:w="1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</w:rPr>
              <w:t>Antibodies and Reagents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4"/>
              </w:rPr>
              <w:t>Manufacturer, Country, Cat number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4"/>
              </w:rPr>
              <w:t>Concentration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Nidogen 2 Polyclonal Antibody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  <w:szCs w:val="22"/>
              </w:rPr>
              <w:t>Thermo Fisher Scientific, US, #</w:t>
            </w:r>
            <w:r>
              <w:rPr>
                <w:rFonts w:ascii="Times New Roman" w:hAnsi="Times New Roman" w:eastAsia="宋体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等线" w:cs="Times New Roman"/>
                <w:kern w:val="0"/>
                <w:sz w:val="22"/>
                <w:szCs w:val="22"/>
              </w:rPr>
              <w:t>PA5-62615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  <w:t>IHC 1:200</w:t>
            </w:r>
          </w:p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  <w:t>IF 1:100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Alpha-Smooth Muscle Actin Polyclonal Antibody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Invitrogen, USA, # PA5-117765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IF 1:200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CD8 Polyclonal Antibody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Thermo Fisher Scientific, US, # PA5-83066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2"/>
                <w:szCs w:val="22"/>
              </w:rPr>
              <w:t>IHC 1:200</w:t>
            </w:r>
          </w:p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IF 1:200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Cytokeratin 20 Recombinant Rabbit Monoclonal Antibody (CK)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等线" w:cs="Times New Roman"/>
                <w:sz w:val="24"/>
              </w:rPr>
              <w:t>Thermo Fisher Scientific, US, #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sz w:val="24"/>
              </w:rPr>
              <w:t>MA5-31979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IF 1:200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HE staining kit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 xml:space="preserve">Beyotime Biotechnology, China, #C0105, 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Goat Anti-Rabbit IgG H&amp;L (HRP)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Abcam, Cambridge, UK, #ab205718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宋体" w:cs="Times New Roman"/>
                <w:bCs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4"/>
              </w:rPr>
              <w:t>IHC 1:2000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 xml:space="preserve">Alexa Fluor 488 AffiniPure goat anti-mouse IgG (H+L) 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FcMACS, China, #136908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IF1:500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 xml:space="preserve">Goat anti-mouse IgG (H+L) CoraLite594 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Proteintech, China, #SA00013-4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IF 1:500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Fluorescein (FITC) conjugated Affinipure Goat Anti-Rabbit IgG(H+L)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Proteintech, China, # SA00003-2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IF 1:500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0.2% TritonX-100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Proteintech, China, #61202011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1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Nuclei were stained using 4',6-diamidino-2-phenylindole (DAPI)</w:t>
            </w:r>
          </w:p>
        </w:tc>
        <w:tc>
          <w:tcPr>
            <w:tcW w:w="4243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</w:rPr>
              <w:t>Beyotime Biotechnology, China, # 091620210520</w:t>
            </w:r>
          </w:p>
        </w:tc>
        <w:tc>
          <w:tcPr>
            <w:tcW w:w="1576" w:type="dxa"/>
          </w:tcPr>
          <w:p>
            <w:pPr>
              <w:spacing w:line="276" w:lineRule="auto"/>
              <w:rPr>
                <w:rFonts w:ascii="Times New Roman" w:hAnsi="Times New Roman" w:eastAsia="等线" w:cs="Times New Roman"/>
                <w:kern w:val="0"/>
                <w:sz w:val="24"/>
              </w:rPr>
            </w:pPr>
          </w:p>
        </w:tc>
      </w:tr>
    </w:tbl>
    <w:p>
      <w:r>
        <w:fldChar w:fldCharType="begin"/>
      </w:r>
      <w:r>
        <w:instrText xml:space="preserve"> ADDIN EN.REFLIST </w:instrText>
      </w:r>
      <w:r>
        <w:fldChar w:fldCharType="separate"/>
      </w:r>
      <w:r>
        <w:fldChar w:fldCharType="end"/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92535310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5MzVlZTFkMzhiMzFkNDUyZDk5MzZiM2FjZDdkMTk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vsdadz9rezx5qeer07x5wed0weefftxr2x9&quot;&gt;My EndNote Library&lt;record-ids&gt;&lt;item&gt;85&lt;/item&gt;&lt;item&gt;128&lt;/item&gt;&lt;item&gt;130&lt;/item&gt;&lt;item&gt;161&lt;/item&gt;&lt;item&gt;164&lt;/item&gt;&lt;item&gt;165&lt;/item&gt;&lt;item&gt;166&lt;/item&gt;&lt;item&gt;167&lt;/item&gt;&lt;item&gt;240&lt;/item&gt;&lt;item&gt;386&lt;/item&gt;&lt;item&gt;400&lt;/item&gt;&lt;item&gt;413&lt;/item&gt;&lt;item&gt;468&lt;/item&gt;&lt;item&gt;553&lt;/item&gt;&lt;item&gt;554&lt;/item&gt;&lt;item&gt;555&lt;/item&gt;&lt;item&gt;556&lt;/item&gt;&lt;item&gt;557&lt;/item&gt;&lt;item&gt;558&lt;/item&gt;&lt;item&gt;559&lt;/item&gt;&lt;item&gt;560&lt;/item&gt;&lt;item&gt;561&lt;/item&gt;&lt;item&gt;562&lt;/item&gt;&lt;item&gt;563&lt;/item&gt;&lt;item&gt;564&lt;/item&gt;&lt;item&gt;565&lt;/item&gt;&lt;item&gt;566&lt;/item&gt;&lt;item&gt;567&lt;/item&gt;&lt;item&gt;568&lt;/item&gt;&lt;/record-ids&gt;&lt;/item&gt;&lt;/Libraries&gt;"/>
  </w:docVars>
  <w:rsids>
    <w:rsidRoot w:val="00A7708F"/>
    <w:rsid w:val="0003460B"/>
    <w:rsid w:val="00066069"/>
    <w:rsid w:val="000A7CE6"/>
    <w:rsid w:val="000D7032"/>
    <w:rsid w:val="000E3BB3"/>
    <w:rsid w:val="00103937"/>
    <w:rsid w:val="0011709D"/>
    <w:rsid w:val="0012503E"/>
    <w:rsid w:val="00143102"/>
    <w:rsid w:val="00147299"/>
    <w:rsid w:val="001C281F"/>
    <w:rsid w:val="00267522"/>
    <w:rsid w:val="002C1588"/>
    <w:rsid w:val="002E3B4A"/>
    <w:rsid w:val="00361255"/>
    <w:rsid w:val="00381629"/>
    <w:rsid w:val="003E086A"/>
    <w:rsid w:val="003F0AA4"/>
    <w:rsid w:val="00571E62"/>
    <w:rsid w:val="0057793D"/>
    <w:rsid w:val="005E6230"/>
    <w:rsid w:val="00656ACF"/>
    <w:rsid w:val="00710409"/>
    <w:rsid w:val="00713074"/>
    <w:rsid w:val="007537F2"/>
    <w:rsid w:val="007967CF"/>
    <w:rsid w:val="00A122A0"/>
    <w:rsid w:val="00A12B68"/>
    <w:rsid w:val="00A53318"/>
    <w:rsid w:val="00A7708F"/>
    <w:rsid w:val="00AB2B45"/>
    <w:rsid w:val="00AF560E"/>
    <w:rsid w:val="00B030D4"/>
    <w:rsid w:val="00B20D65"/>
    <w:rsid w:val="00B703F9"/>
    <w:rsid w:val="00C0085F"/>
    <w:rsid w:val="00C21B31"/>
    <w:rsid w:val="00C43F9C"/>
    <w:rsid w:val="00CD6117"/>
    <w:rsid w:val="00D443BD"/>
    <w:rsid w:val="00D624B9"/>
    <w:rsid w:val="00D96BC2"/>
    <w:rsid w:val="00E10EF4"/>
    <w:rsid w:val="00E463AC"/>
    <w:rsid w:val="00F83224"/>
    <w:rsid w:val="00FE0738"/>
    <w:rsid w:val="55102039"/>
    <w:rsid w:val="66402763"/>
    <w:rsid w:val="72E0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link w:val="10"/>
    <w:qFormat/>
    <w:uiPriority w:val="2"/>
    <w:pPr>
      <w:widowControl/>
      <w:spacing w:before="240" w:after="240"/>
      <w:ind w:firstLine="0" w:firstLineChars="0"/>
      <w:jc w:val="left"/>
      <w:outlineLvl w:val="0"/>
    </w:pPr>
    <w:rPr>
      <w:rFonts w:ascii="Times New Roman" w:hAnsi="Times New Roman" w:eastAsia="Cambria" w:cs="Times New Roman"/>
      <w:b/>
      <w:kern w:val="0"/>
      <w:sz w:val="24"/>
      <w:lang w:eastAsia="en-US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4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line number"/>
    <w:basedOn w:val="8"/>
    <w:uiPriority w:val="0"/>
  </w:style>
  <w:style w:type="character" w:customStyle="1" w:styleId="10">
    <w:name w:val="标题 1 字符"/>
    <w:basedOn w:val="8"/>
    <w:link w:val="2"/>
    <w:qFormat/>
    <w:uiPriority w:val="2"/>
    <w:rPr>
      <w:rFonts w:ascii="Times New Roman" w:hAnsi="Times New Roman" w:eastAsia="Cambria" w:cs="Times New Roman"/>
      <w:b/>
      <w:sz w:val="24"/>
      <w:szCs w:val="24"/>
      <w:lang w:eastAsia="en-US"/>
    </w:rPr>
  </w:style>
  <w:style w:type="paragraph" w:customStyle="1" w:styleId="11">
    <w:name w:val="EndNote Bibliography Title"/>
    <w:basedOn w:val="1"/>
    <w:link w:val="12"/>
    <w:uiPriority w:val="0"/>
    <w:pPr>
      <w:jc w:val="center"/>
    </w:pPr>
    <w:rPr>
      <w:rFonts w:ascii="Calibri" w:hAnsi="Calibri" w:cs="Calibri"/>
      <w:sz w:val="20"/>
    </w:rPr>
  </w:style>
  <w:style w:type="character" w:customStyle="1" w:styleId="12">
    <w:name w:val="EndNote Bibliography Title 字符"/>
    <w:basedOn w:val="8"/>
    <w:link w:val="11"/>
    <w:uiPriority w:val="0"/>
    <w:rPr>
      <w:rFonts w:ascii="Calibri" w:hAnsi="Calibri" w:cs="Calibri"/>
      <w:kern w:val="2"/>
      <w:szCs w:val="24"/>
    </w:rPr>
  </w:style>
  <w:style w:type="paragraph" w:customStyle="1" w:styleId="13">
    <w:name w:val="EndNote Bibliography"/>
    <w:basedOn w:val="1"/>
    <w:link w:val="14"/>
    <w:uiPriority w:val="0"/>
    <w:rPr>
      <w:rFonts w:ascii="Calibri" w:hAnsi="Calibri" w:cs="Calibri"/>
      <w:sz w:val="20"/>
    </w:rPr>
  </w:style>
  <w:style w:type="character" w:customStyle="1" w:styleId="14">
    <w:name w:val="EndNote Bibliography 字符"/>
    <w:basedOn w:val="8"/>
    <w:link w:val="13"/>
    <w:uiPriority w:val="0"/>
    <w:rPr>
      <w:rFonts w:ascii="Calibri" w:hAnsi="Calibri" w:cs="Calibri"/>
      <w:kern w:val="2"/>
      <w:szCs w:val="24"/>
    </w:rPr>
  </w:style>
  <w:style w:type="character" w:customStyle="1" w:styleId="15">
    <w:name w:val="页眉 字符"/>
    <w:basedOn w:val="8"/>
    <w:link w:val="5"/>
    <w:uiPriority w:val="0"/>
    <w:rPr>
      <w:kern w:val="2"/>
      <w:sz w:val="18"/>
      <w:szCs w:val="18"/>
    </w:rPr>
  </w:style>
  <w:style w:type="character" w:customStyle="1" w:styleId="16">
    <w:name w:val="页脚 字符"/>
    <w:basedOn w:val="8"/>
    <w:link w:val="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451</Words>
  <Characters>2628</Characters>
  <Lines>22</Lines>
  <Paragraphs>6</Paragraphs>
  <TotalTime>288</TotalTime>
  <ScaleCrop>false</ScaleCrop>
  <LinksUpToDate>false</LinksUpToDate>
  <CharactersWithSpaces>3029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2022-10-10T14:01:00Z</dcterms:created>
  <dc:creator>LCH</dc:creator>
  <cp:lastModifiedBy>Z</cp:lastModifiedBy>
  <dcterms:modified xsi:type="dcterms:W3CDTF">2023-02-06T12:51:49Z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C2087155F2BA47F5B39AAD7881CC02CB</vt:lpwstr>
  </property>
  <property fmtid="{D5CDD505-2E9C-101B-9397-08002B2CF9AE}" pid="4" name="GrammarlyDocumentId">
    <vt:lpwstr>766dcb347da9053036d91063723517c4b1114cc7eb9f282a1d77a7320930b29c</vt:lpwstr>
  </property>
</Properties>
</file>