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5DBE8" w14:textId="326B1E5D" w:rsidR="005A15E5" w:rsidRDefault="002E4BCA" w:rsidP="002E4BCA">
      <w:pPr>
        <w:widowControl/>
        <w:spacing w:line="480" w:lineRule="auto"/>
        <w:rPr>
          <w:rFonts w:ascii="Arial" w:hAnsi="Arial" w:cs="Times New Roman"/>
          <w:b/>
          <w:bCs/>
          <w:kern w:val="0"/>
          <w:sz w:val="32"/>
          <w:szCs w:val="32"/>
          <w:lang w:eastAsia="en-US"/>
        </w:rPr>
      </w:pPr>
      <w:r>
        <w:rPr>
          <w:rFonts w:ascii="Arial" w:hAnsi="Arial" w:cs="Times New Roman"/>
          <w:b/>
          <w:bCs/>
          <w:kern w:val="0"/>
          <w:sz w:val="32"/>
          <w:szCs w:val="32"/>
          <w:lang w:eastAsia="en-US"/>
        </w:rPr>
        <w:t>S</w:t>
      </w:r>
      <w:r w:rsidRPr="002E4BCA">
        <w:rPr>
          <w:rFonts w:ascii="Arial" w:hAnsi="Arial" w:cs="Times New Roman"/>
          <w:b/>
          <w:bCs/>
          <w:kern w:val="0"/>
          <w:sz w:val="32"/>
          <w:szCs w:val="32"/>
          <w:lang w:eastAsia="en-US"/>
        </w:rPr>
        <w:t>upplementary files</w:t>
      </w:r>
    </w:p>
    <w:p w14:paraId="5278B205" w14:textId="77777777" w:rsidR="002E4BCA" w:rsidRDefault="002E4BCA" w:rsidP="002E4BCA">
      <w:pPr>
        <w:widowControl/>
        <w:spacing w:line="480" w:lineRule="auto"/>
        <w:rPr>
          <w:rFonts w:ascii="Arial" w:hAnsi="Arial" w:cs="Times New Roman"/>
          <w:b/>
          <w:bCs/>
          <w:kern w:val="0"/>
          <w:sz w:val="32"/>
          <w:szCs w:val="32"/>
          <w:lang w:eastAsia="en-US"/>
        </w:rPr>
      </w:pPr>
    </w:p>
    <w:p w14:paraId="753FD4B3" w14:textId="088E0AF1" w:rsidR="002E4BCA" w:rsidRDefault="002E4BCA" w:rsidP="002E4BCA">
      <w:pPr>
        <w:widowControl/>
        <w:spacing w:line="480" w:lineRule="auto"/>
        <w:rPr>
          <w:rFonts w:ascii="Arial" w:hAnsi="Arial" w:cs="Times New Roman"/>
          <w:b/>
          <w:bCs/>
          <w:kern w:val="0"/>
          <w:sz w:val="32"/>
          <w:szCs w:val="32"/>
          <w:lang w:eastAsia="en-US"/>
        </w:rPr>
      </w:pPr>
      <w:r>
        <w:rPr>
          <w:rFonts w:ascii="Arial" w:hAnsi="Arial" w:cs="Times New Roman"/>
          <w:b/>
          <w:bCs/>
          <w:noProof/>
          <w:kern w:val="0"/>
          <w:sz w:val="32"/>
          <w:szCs w:val="32"/>
          <w:lang w:eastAsia="en-US"/>
        </w:rPr>
        <w:drawing>
          <wp:inline distT="0" distB="0" distL="0" distR="0" wp14:anchorId="331A4EC9" wp14:editId="7F94BFC6">
            <wp:extent cx="5274310" cy="39465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6457" w14:textId="7B47751C" w:rsidR="002E4BCA" w:rsidRDefault="002E4BCA" w:rsidP="002E4BCA">
      <w:pPr>
        <w:widowControl/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 w:rsidRPr="00906B8E">
        <w:rPr>
          <w:rFonts w:ascii="Times New Roman" w:hAnsi="Times New Roman"/>
          <w:b/>
          <w:bCs/>
          <w:sz w:val="24"/>
        </w:rPr>
        <w:t>Figure S1</w:t>
      </w:r>
    </w:p>
    <w:p w14:paraId="7F64BBB0" w14:textId="136765E8" w:rsidR="002E4BCA" w:rsidRDefault="002E4BCA" w:rsidP="002E4BCA">
      <w:pPr>
        <w:pStyle w:val="EndNoteBibliography"/>
        <w:jc w:val="both"/>
        <w:rPr>
          <w:rFonts w:ascii="Times New Roman" w:hAnsi="Times New Roman" w:cs="Times New Roman"/>
          <w:b/>
          <w:bCs/>
          <w:sz w:val="24"/>
        </w:rPr>
      </w:pPr>
      <w:r w:rsidRPr="002E4BCA">
        <w:rPr>
          <w:rFonts w:ascii="Times New Roman" w:hAnsi="Times New Roman"/>
          <w:b/>
          <w:bCs/>
          <w:sz w:val="24"/>
        </w:rPr>
        <w:t>Supplementary</w:t>
      </w:r>
      <w:r>
        <w:rPr>
          <w:rFonts w:ascii="Times New Roman" w:hAnsi="Times New Roman"/>
          <w:b/>
          <w:bCs/>
          <w:sz w:val="24"/>
        </w:rPr>
        <w:t xml:space="preserve"> </w:t>
      </w:r>
      <w:r w:rsidRPr="009B7BE4">
        <w:rPr>
          <w:rFonts w:ascii="Times New Roman" w:hAnsi="Times New Roman" w:cs="Times New Roman"/>
          <w:b/>
          <w:bCs/>
          <w:sz w:val="24"/>
        </w:rPr>
        <w:t>Figure legend</w:t>
      </w:r>
    </w:p>
    <w:p w14:paraId="00BD2B89" w14:textId="77777777" w:rsidR="002E4BCA" w:rsidRPr="002E4BCA" w:rsidRDefault="002E4BCA" w:rsidP="002E4BCA">
      <w:pPr>
        <w:pStyle w:val="EndNoteBibliography"/>
        <w:jc w:val="both"/>
        <w:rPr>
          <w:rFonts w:ascii="Times New Roman" w:hAnsi="Times New Roman" w:cs="Times New Roman" w:hint="eastAsia"/>
          <w:b/>
          <w:bCs/>
          <w:sz w:val="24"/>
        </w:rPr>
      </w:pPr>
    </w:p>
    <w:p w14:paraId="0D6BC255" w14:textId="77777777" w:rsidR="002E4BCA" w:rsidRPr="009B7BE4" w:rsidRDefault="002E4BCA" w:rsidP="002E4BCA">
      <w:pPr>
        <w:rPr>
          <w:rFonts w:ascii="Times New Roman" w:hAnsi="Times New Roman"/>
          <w:sz w:val="24"/>
        </w:rPr>
      </w:pPr>
      <w:r w:rsidRPr="009B7BE4">
        <w:rPr>
          <w:rFonts w:ascii="Times New Roman" w:hAnsi="Times New Roman" w:hint="eastAsia"/>
          <w:b/>
          <w:bCs/>
          <w:sz w:val="24"/>
        </w:rPr>
        <w:t>F</w:t>
      </w:r>
      <w:r w:rsidRPr="009B7BE4">
        <w:rPr>
          <w:rFonts w:ascii="Times New Roman" w:hAnsi="Times New Roman"/>
          <w:b/>
          <w:bCs/>
          <w:sz w:val="24"/>
        </w:rPr>
        <w:t>igure S1</w:t>
      </w:r>
      <w:r w:rsidRPr="009B7BE4">
        <w:rPr>
          <w:rFonts w:ascii="Times New Roman" w:hAnsi="Times New Roman"/>
          <w:sz w:val="24"/>
        </w:rPr>
        <w:t xml:space="preserve">: </w:t>
      </w:r>
      <w:r w:rsidRPr="009B7BE4">
        <w:rPr>
          <w:rFonts w:ascii="Times New Roman" w:hAnsi="Times New Roman"/>
          <w:color w:val="000000" w:themeColor="text1"/>
          <w:sz w:val="24"/>
        </w:rPr>
        <w:t xml:space="preserve">The IDI and continuous NRI values of comparison between the final model and other models. Comparison between the final model and AJCC stage for </w:t>
      </w:r>
      <w:r w:rsidRPr="009B7BE4">
        <w:rPr>
          <w:rFonts w:ascii="Times New Roman" w:hAnsi="Times New Roman"/>
          <w:sz w:val="24"/>
        </w:rPr>
        <w:t xml:space="preserve">predicting (A)1-year, and (B) 2-year OS. </w:t>
      </w:r>
      <w:r w:rsidRPr="009B7BE4">
        <w:rPr>
          <w:rFonts w:ascii="Times New Roman" w:hAnsi="Times New Roman"/>
          <w:color w:val="000000" w:themeColor="text1"/>
          <w:sz w:val="24"/>
        </w:rPr>
        <w:t xml:space="preserve">Comparison between the final model and BCLC stage for </w:t>
      </w:r>
      <w:r w:rsidRPr="009B7BE4">
        <w:rPr>
          <w:rFonts w:ascii="Times New Roman" w:hAnsi="Times New Roman"/>
          <w:sz w:val="24"/>
        </w:rPr>
        <w:t xml:space="preserve">predicting (C)1-year, and (D) 2-year OS. </w:t>
      </w:r>
      <w:r w:rsidRPr="009B7BE4">
        <w:rPr>
          <w:rFonts w:ascii="Times New Roman" w:hAnsi="Times New Roman"/>
          <w:color w:val="000000" w:themeColor="text1"/>
          <w:sz w:val="24"/>
        </w:rPr>
        <w:t xml:space="preserve">Comparison between the final model and </w:t>
      </w:r>
      <w:r w:rsidRPr="009B7BE4">
        <w:rPr>
          <w:rFonts w:ascii="Times New Roman" w:hAnsi="Times New Roman"/>
          <w:sz w:val="24"/>
        </w:rPr>
        <w:t>the model without “VEGF”</w:t>
      </w:r>
      <w:r w:rsidRPr="009B7BE4">
        <w:rPr>
          <w:rFonts w:ascii="Times New Roman" w:hAnsi="Times New Roman"/>
          <w:color w:val="000000" w:themeColor="text1"/>
          <w:sz w:val="24"/>
        </w:rPr>
        <w:t xml:space="preserve"> for </w:t>
      </w:r>
      <w:r w:rsidRPr="009B7BE4">
        <w:rPr>
          <w:rFonts w:ascii="Times New Roman" w:hAnsi="Times New Roman"/>
          <w:sz w:val="24"/>
        </w:rPr>
        <w:t xml:space="preserve">predicting (E) 6-month, (F)1-year, and (G) 2-year OS. </w:t>
      </w:r>
      <w:r w:rsidRPr="009B7BE4">
        <w:rPr>
          <w:rFonts w:ascii="Times New Roman" w:hAnsi="Times New Roman"/>
          <w:color w:val="000000" w:themeColor="text1"/>
          <w:sz w:val="24"/>
        </w:rPr>
        <w:t xml:space="preserve">Comparison between the final model and CNLC stage for </w:t>
      </w:r>
      <w:r w:rsidRPr="009B7BE4">
        <w:rPr>
          <w:rFonts w:ascii="Times New Roman" w:hAnsi="Times New Roman"/>
          <w:sz w:val="24"/>
        </w:rPr>
        <w:t>predicting (H)1-year, and (I) 2-year OS.</w:t>
      </w:r>
    </w:p>
    <w:p w14:paraId="435AECDF" w14:textId="246C1D54" w:rsidR="002E4BCA" w:rsidRDefault="002E4BCA">
      <w:pPr>
        <w:widowControl/>
        <w:jc w:val="left"/>
        <w:rPr>
          <w:rFonts w:ascii="Arial" w:hAnsi="Arial" w:cs="Times New Roman"/>
          <w:b/>
          <w:bCs/>
          <w:kern w:val="0"/>
          <w:sz w:val="32"/>
          <w:szCs w:val="32"/>
          <w:lang w:eastAsia="en-US"/>
        </w:rPr>
      </w:pPr>
      <w:r>
        <w:rPr>
          <w:rFonts w:ascii="Arial" w:hAnsi="Arial" w:cs="Times New Roman"/>
          <w:b/>
          <w:bCs/>
          <w:kern w:val="0"/>
          <w:sz w:val="32"/>
          <w:szCs w:val="32"/>
          <w:lang w:eastAsia="en-US"/>
        </w:rPr>
        <w:br w:type="page"/>
      </w:r>
    </w:p>
    <w:p w14:paraId="2C97760F" w14:textId="77777777" w:rsidR="002E4BCA" w:rsidRDefault="002E4BCA" w:rsidP="002E4BCA">
      <w:pPr>
        <w:jc w:val="center"/>
      </w:pPr>
      <w:r w:rsidRPr="00516FD0">
        <w:rPr>
          <w:rFonts w:ascii="Times New Roman" w:hAnsi="Times New Roman" w:hint="eastAsia"/>
          <w:b/>
          <w:bCs/>
          <w:sz w:val="20"/>
          <w:szCs w:val="20"/>
        </w:rPr>
        <w:lastRenderedPageBreak/>
        <w:t>Table</w:t>
      </w:r>
      <w:r w:rsidRPr="00516FD0">
        <w:rPr>
          <w:rFonts w:ascii="Times New Roman" w:hAnsi="Times New Roman"/>
          <w:b/>
          <w:bCs/>
          <w:sz w:val="20"/>
          <w:szCs w:val="20"/>
        </w:rPr>
        <w:t xml:space="preserve"> S1. Sorafenib-related adverse events </w:t>
      </w:r>
      <w:r w:rsidRPr="00516FD0">
        <w:rPr>
          <w:rFonts w:ascii="Times New Roman" w:hAnsi="Times New Roman" w:hint="eastAsia"/>
          <w:b/>
          <w:bCs/>
          <w:sz w:val="20"/>
          <w:szCs w:val="20"/>
        </w:rPr>
        <w:t>during</w:t>
      </w:r>
      <w:r w:rsidRPr="00516FD0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TACE-sorafenib</w:t>
      </w:r>
      <w:r w:rsidRPr="00516FD0">
        <w:rPr>
          <w:rFonts w:ascii="Times New Roman" w:hAnsi="Times New Roman"/>
          <w:b/>
          <w:bCs/>
          <w:sz w:val="20"/>
          <w:szCs w:val="20"/>
        </w:rPr>
        <w:t> therapy</w:t>
      </w:r>
    </w:p>
    <w:tbl>
      <w:tblPr>
        <w:tblStyle w:val="a7"/>
        <w:tblW w:w="830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984"/>
        <w:gridCol w:w="1843"/>
        <w:gridCol w:w="1791"/>
      </w:tblGrid>
      <w:tr w:rsidR="002E4BCA" w14:paraId="4485CB7E" w14:textId="77777777" w:rsidTr="003B263A">
        <w:tc>
          <w:tcPr>
            <w:tcW w:w="2689" w:type="dxa"/>
            <w:tcBorders>
              <w:top w:val="single" w:sz="12" w:space="0" w:color="auto"/>
              <w:bottom w:val="single" w:sz="6" w:space="0" w:color="auto"/>
            </w:tcBorders>
          </w:tcPr>
          <w:p w14:paraId="4998F8C9" w14:textId="77777777" w:rsidR="002E4BCA" w:rsidRPr="00516FD0" w:rsidRDefault="002E4BCA" w:rsidP="003B263A">
            <w:pPr>
              <w:rPr>
                <w:sz w:val="20"/>
                <w:szCs w:val="20"/>
              </w:rPr>
            </w:pPr>
            <w:r w:rsidRPr="00516FD0">
              <w:rPr>
                <w:rFonts w:ascii="Times New Roman" w:hAnsi="Times New Roman"/>
                <w:sz w:val="20"/>
                <w:szCs w:val="20"/>
              </w:rPr>
              <w:t>Adverse Event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6" w:space="0" w:color="auto"/>
            </w:tcBorders>
          </w:tcPr>
          <w:p w14:paraId="0C8D20F9" w14:textId="77777777" w:rsidR="002E4BCA" w:rsidRPr="00516FD0" w:rsidRDefault="002E4BCA" w:rsidP="003B263A">
            <w:pPr>
              <w:jc w:val="center"/>
              <w:rPr>
                <w:sz w:val="20"/>
                <w:szCs w:val="20"/>
              </w:rPr>
            </w:pPr>
            <w:r w:rsidRPr="00516FD0">
              <w:rPr>
                <w:rFonts w:ascii="Times New Roman" w:hAnsi="Times New Roman"/>
                <w:sz w:val="20"/>
                <w:szCs w:val="20"/>
              </w:rPr>
              <w:t>A</w:t>
            </w:r>
            <w:r w:rsidRPr="00516FD0">
              <w:rPr>
                <w:rFonts w:ascii="Times New Roman" w:hAnsi="Times New Roman" w:hint="eastAsia"/>
                <w:sz w:val="20"/>
                <w:szCs w:val="20"/>
              </w:rPr>
              <w:t>ll</w:t>
            </w:r>
            <w:r w:rsidRPr="00516FD0">
              <w:rPr>
                <w:rFonts w:ascii="Times New Roman" w:hAnsi="Times New Roman"/>
                <w:sz w:val="20"/>
                <w:szCs w:val="20"/>
              </w:rPr>
              <w:t xml:space="preserve"> G</w:t>
            </w:r>
            <w:r w:rsidRPr="00516FD0">
              <w:rPr>
                <w:rFonts w:ascii="Times New Roman" w:hAnsi="Times New Roman" w:hint="eastAsia"/>
                <w:sz w:val="20"/>
                <w:szCs w:val="20"/>
              </w:rPr>
              <w:t>rade</w:t>
            </w:r>
            <w:r w:rsidRPr="00516FD0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</w:tcPr>
          <w:p w14:paraId="1D369DCB" w14:textId="77777777" w:rsidR="002E4BCA" w:rsidRPr="00516FD0" w:rsidRDefault="002E4BCA" w:rsidP="003B263A">
            <w:pPr>
              <w:jc w:val="center"/>
              <w:rPr>
                <w:sz w:val="20"/>
                <w:szCs w:val="20"/>
              </w:rPr>
            </w:pPr>
            <w:bookmarkStart w:id="0" w:name="OLE_LINK15"/>
            <w:r w:rsidRPr="00516FD0">
              <w:rPr>
                <w:rFonts w:ascii="Times New Roman" w:hAnsi="Times New Roman" w:hint="eastAsia"/>
                <w:sz w:val="20"/>
                <w:szCs w:val="20"/>
              </w:rPr>
              <w:t>G</w:t>
            </w:r>
            <w:r w:rsidRPr="00516FD0">
              <w:rPr>
                <w:rFonts w:ascii="Times New Roman" w:hAnsi="Times New Roman"/>
                <w:sz w:val="20"/>
                <w:szCs w:val="20"/>
              </w:rPr>
              <w:t>rade 1-2 events</w:t>
            </w:r>
            <w:bookmarkEnd w:id="0"/>
          </w:p>
        </w:tc>
        <w:tc>
          <w:tcPr>
            <w:tcW w:w="1791" w:type="dxa"/>
            <w:tcBorders>
              <w:top w:val="single" w:sz="12" w:space="0" w:color="auto"/>
              <w:bottom w:val="single" w:sz="6" w:space="0" w:color="auto"/>
            </w:tcBorders>
          </w:tcPr>
          <w:p w14:paraId="5350241A" w14:textId="77777777" w:rsidR="002E4BCA" w:rsidRPr="00516FD0" w:rsidRDefault="002E4BCA" w:rsidP="003B263A">
            <w:pPr>
              <w:jc w:val="center"/>
              <w:rPr>
                <w:sz w:val="20"/>
                <w:szCs w:val="20"/>
              </w:rPr>
            </w:pPr>
            <w:r w:rsidRPr="00516FD0">
              <w:rPr>
                <w:rFonts w:ascii="Times New Roman" w:hAnsi="Times New Roman" w:hint="eastAsia"/>
                <w:sz w:val="20"/>
                <w:szCs w:val="20"/>
              </w:rPr>
              <w:t>G</w:t>
            </w:r>
            <w:r w:rsidRPr="00516FD0">
              <w:rPr>
                <w:rFonts w:ascii="Times New Roman" w:hAnsi="Times New Roman"/>
                <w:sz w:val="20"/>
                <w:szCs w:val="20"/>
              </w:rPr>
              <w:t>rade 3-4 events</w:t>
            </w:r>
          </w:p>
        </w:tc>
      </w:tr>
      <w:tr w:rsidR="002E4BCA" w14:paraId="4F7CFD64" w14:textId="77777777" w:rsidTr="003B263A">
        <w:tc>
          <w:tcPr>
            <w:tcW w:w="2689" w:type="dxa"/>
            <w:tcBorders>
              <w:top w:val="single" w:sz="6" w:space="0" w:color="auto"/>
            </w:tcBorders>
          </w:tcPr>
          <w:p w14:paraId="5BDC76A4" w14:textId="77777777" w:rsidR="002E4BCA" w:rsidRPr="00516FD0" w:rsidRDefault="002E4BCA" w:rsidP="003B2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hand-foot-skin reactions</w:t>
            </w:r>
          </w:p>
        </w:tc>
        <w:tc>
          <w:tcPr>
            <w:tcW w:w="1984" w:type="dxa"/>
            <w:tcBorders>
              <w:top w:val="single" w:sz="6" w:space="0" w:color="auto"/>
            </w:tcBorders>
          </w:tcPr>
          <w:p w14:paraId="33C05190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54 (54.5)</w:t>
            </w:r>
          </w:p>
        </w:tc>
        <w:tc>
          <w:tcPr>
            <w:tcW w:w="1843" w:type="dxa"/>
            <w:tcBorders>
              <w:top w:val="single" w:sz="6" w:space="0" w:color="auto"/>
            </w:tcBorders>
          </w:tcPr>
          <w:p w14:paraId="7405CEEF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44 (44.4)</w:t>
            </w:r>
          </w:p>
        </w:tc>
        <w:tc>
          <w:tcPr>
            <w:tcW w:w="1791" w:type="dxa"/>
            <w:tcBorders>
              <w:top w:val="single" w:sz="6" w:space="0" w:color="auto"/>
            </w:tcBorders>
          </w:tcPr>
          <w:p w14:paraId="1DE0ADEC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10 (10.1)</w:t>
            </w:r>
          </w:p>
        </w:tc>
      </w:tr>
      <w:tr w:rsidR="002E4BCA" w14:paraId="7CF7590B" w14:textId="77777777" w:rsidTr="003B263A">
        <w:tc>
          <w:tcPr>
            <w:tcW w:w="2689" w:type="dxa"/>
          </w:tcPr>
          <w:p w14:paraId="0911CA2F" w14:textId="77777777" w:rsidR="002E4BCA" w:rsidRPr="00516FD0" w:rsidRDefault="002E4BCA" w:rsidP="003B263A">
            <w:pPr>
              <w:rPr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Diarrhea</w:t>
            </w:r>
          </w:p>
        </w:tc>
        <w:tc>
          <w:tcPr>
            <w:tcW w:w="1984" w:type="dxa"/>
          </w:tcPr>
          <w:p w14:paraId="0A863349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24 (24.2)</w:t>
            </w:r>
          </w:p>
        </w:tc>
        <w:tc>
          <w:tcPr>
            <w:tcW w:w="1843" w:type="dxa"/>
          </w:tcPr>
          <w:p w14:paraId="596A3290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16 (16.1)</w:t>
            </w:r>
          </w:p>
        </w:tc>
        <w:tc>
          <w:tcPr>
            <w:tcW w:w="1791" w:type="dxa"/>
          </w:tcPr>
          <w:p w14:paraId="5A229D3F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8 (8.1)</w:t>
            </w:r>
          </w:p>
        </w:tc>
      </w:tr>
      <w:tr w:rsidR="002E4BCA" w14:paraId="69E5EEC2" w14:textId="77777777" w:rsidTr="003B263A">
        <w:tc>
          <w:tcPr>
            <w:tcW w:w="2689" w:type="dxa"/>
          </w:tcPr>
          <w:p w14:paraId="381FEF10" w14:textId="77777777" w:rsidR="002E4BCA" w:rsidRPr="00516FD0" w:rsidRDefault="002E4BCA" w:rsidP="003B2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Rash</w:t>
            </w:r>
          </w:p>
        </w:tc>
        <w:tc>
          <w:tcPr>
            <w:tcW w:w="1984" w:type="dxa"/>
          </w:tcPr>
          <w:p w14:paraId="3C22FA3A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5 (5.1)</w:t>
            </w:r>
          </w:p>
        </w:tc>
        <w:tc>
          <w:tcPr>
            <w:tcW w:w="1843" w:type="dxa"/>
          </w:tcPr>
          <w:p w14:paraId="24E64C81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4 (4.0)</w:t>
            </w:r>
          </w:p>
        </w:tc>
        <w:tc>
          <w:tcPr>
            <w:tcW w:w="1791" w:type="dxa"/>
          </w:tcPr>
          <w:p w14:paraId="3211A4A4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</w:tr>
      <w:tr w:rsidR="002E4BCA" w14:paraId="0698C55D" w14:textId="77777777" w:rsidTr="003B263A">
        <w:tc>
          <w:tcPr>
            <w:tcW w:w="2689" w:type="dxa"/>
          </w:tcPr>
          <w:p w14:paraId="350577BF" w14:textId="77777777" w:rsidR="002E4BCA" w:rsidRPr="00516FD0" w:rsidRDefault="002E4BCA" w:rsidP="003B263A">
            <w:pPr>
              <w:rPr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Hypertension</w:t>
            </w:r>
          </w:p>
        </w:tc>
        <w:tc>
          <w:tcPr>
            <w:tcW w:w="1984" w:type="dxa"/>
          </w:tcPr>
          <w:p w14:paraId="2DCFAA1D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4 (4.0)</w:t>
            </w:r>
          </w:p>
        </w:tc>
        <w:tc>
          <w:tcPr>
            <w:tcW w:w="1843" w:type="dxa"/>
          </w:tcPr>
          <w:p w14:paraId="12BDD834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2 (2.0)</w:t>
            </w:r>
          </w:p>
        </w:tc>
        <w:tc>
          <w:tcPr>
            <w:tcW w:w="1791" w:type="dxa"/>
          </w:tcPr>
          <w:p w14:paraId="181C092D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2 (2.0)</w:t>
            </w:r>
          </w:p>
        </w:tc>
      </w:tr>
      <w:tr w:rsidR="002E4BCA" w14:paraId="52E8DE31" w14:textId="77777777" w:rsidTr="003B263A">
        <w:tc>
          <w:tcPr>
            <w:tcW w:w="2689" w:type="dxa"/>
          </w:tcPr>
          <w:p w14:paraId="2DD8353D" w14:textId="77777777" w:rsidR="002E4BCA" w:rsidRPr="00516FD0" w:rsidRDefault="002E4BCA" w:rsidP="003B2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Arthralgia</w:t>
            </w:r>
          </w:p>
        </w:tc>
        <w:tc>
          <w:tcPr>
            <w:tcW w:w="1984" w:type="dxa"/>
          </w:tcPr>
          <w:p w14:paraId="5A7F1E54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4 (4.0)</w:t>
            </w:r>
          </w:p>
        </w:tc>
        <w:tc>
          <w:tcPr>
            <w:tcW w:w="1843" w:type="dxa"/>
          </w:tcPr>
          <w:p w14:paraId="59BB6D0F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4 (4.0)</w:t>
            </w:r>
          </w:p>
        </w:tc>
        <w:tc>
          <w:tcPr>
            <w:tcW w:w="1791" w:type="dxa"/>
          </w:tcPr>
          <w:p w14:paraId="0653AB8C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</w:tr>
      <w:tr w:rsidR="002E4BCA" w14:paraId="1E020393" w14:textId="77777777" w:rsidTr="003B263A">
        <w:tc>
          <w:tcPr>
            <w:tcW w:w="2689" w:type="dxa"/>
          </w:tcPr>
          <w:p w14:paraId="4AA0F0D1" w14:textId="77777777" w:rsidR="002E4BCA" w:rsidRPr="00516FD0" w:rsidRDefault="002E4BCA" w:rsidP="003B2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Gingival bleeding</w:t>
            </w:r>
          </w:p>
        </w:tc>
        <w:tc>
          <w:tcPr>
            <w:tcW w:w="1984" w:type="dxa"/>
          </w:tcPr>
          <w:p w14:paraId="1B4354CD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4 (4.0)</w:t>
            </w:r>
          </w:p>
        </w:tc>
        <w:tc>
          <w:tcPr>
            <w:tcW w:w="1843" w:type="dxa"/>
          </w:tcPr>
          <w:p w14:paraId="0118EBE8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4 (4.0)</w:t>
            </w:r>
          </w:p>
        </w:tc>
        <w:tc>
          <w:tcPr>
            <w:tcW w:w="1791" w:type="dxa"/>
          </w:tcPr>
          <w:p w14:paraId="341ED5EF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</w:tr>
      <w:tr w:rsidR="002E4BCA" w14:paraId="62CDB794" w14:textId="77777777" w:rsidTr="003B263A">
        <w:tc>
          <w:tcPr>
            <w:tcW w:w="2689" w:type="dxa"/>
          </w:tcPr>
          <w:p w14:paraId="4E4FE3E6" w14:textId="77777777" w:rsidR="002E4BCA" w:rsidRPr="00516FD0" w:rsidRDefault="002E4BCA" w:rsidP="003B2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Fatigue</w:t>
            </w:r>
          </w:p>
        </w:tc>
        <w:tc>
          <w:tcPr>
            <w:tcW w:w="1984" w:type="dxa"/>
          </w:tcPr>
          <w:p w14:paraId="69E6C74E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3 (3.0)</w:t>
            </w:r>
          </w:p>
        </w:tc>
        <w:tc>
          <w:tcPr>
            <w:tcW w:w="1843" w:type="dxa"/>
          </w:tcPr>
          <w:p w14:paraId="5578EE46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2 (2.0)</w:t>
            </w:r>
          </w:p>
        </w:tc>
        <w:tc>
          <w:tcPr>
            <w:tcW w:w="1791" w:type="dxa"/>
          </w:tcPr>
          <w:p w14:paraId="1B59E5B3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</w:tr>
      <w:tr w:rsidR="002E4BCA" w14:paraId="2BA5D657" w14:textId="77777777" w:rsidTr="003B263A">
        <w:tc>
          <w:tcPr>
            <w:tcW w:w="2689" w:type="dxa"/>
          </w:tcPr>
          <w:p w14:paraId="09088169" w14:textId="77777777" w:rsidR="002E4BCA" w:rsidRPr="00516FD0" w:rsidRDefault="002E4BCA" w:rsidP="003B2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Anorexia</w:t>
            </w:r>
          </w:p>
        </w:tc>
        <w:tc>
          <w:tcPr>
            <w:tcW w:w="1984" w:type="dxa"/>
          </w:tcPr>
          <w:p w14:paraId="2659480D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2 (2.0)</w:t>
            </w:r>
          </w:p>
        </w:tc>
        <w:tc>
          <w:tcPr>
            <w:tcW w:w="1843" w:type="dxa"/>
          </w:tcPr>
          <w:p w14:paraId="4A2DE952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  <w:tc>
          <w:tcPr>
            <w:tcW w:w="1791" w:type="dxa"/>
          </w:tcPr>
          <w:p w14:paraId="5E5CDD62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</w:tr>
      <w:tr w:rsidR="002E4BCA" w14:paraId="7AFE5AC0" w14:textId="77777777" w:rsidTr="003B263A">
        <w:tc>
          <w:tcPr>
            <w:tcW w:w="2689" w:type="dxa"/>
          </w:tcPr>
          <w:p w14:paraId="141C8400" w14:textId="77777777" w:rsidR="002E4BCA" w:rsidRPr="00516FD0" w:rsidRDefault="002E4BCA" w:rsidP="003B2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Alopecia</w:t>
            </w:r>
          </w:p>
        </w:tc>
        <w:tc>
          <w:tcPr>
            <w:tcW w:w="1984" w:type="dxa"/>
          </w:tcPr>
          <w:p w14:paraId="2500B6EA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2 (2.0)</w:t>
            </w:r>
          </w:p>
        </w:tc>
        <w:tc>
          <w:tcPr>
            <w:tcW w:w="1843" w:type="dxa"/>
          </w:tcPr>
          <w:p w14:paraId="2775EA5A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  <w:tc>
          <w:tcPr>
            <w:tcW w:w="1791" w:type="dxa"/>
          </w:tcPr>
          <w:p w14:paraId="71AC5323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</w:tr>
      <w:tr w:rsidR="002E4BCA" w14:paraId="6B7BF184" w14:textId="77777777" w:rsidTr="003B263A">
        <w:tc>
          <w:tcPr>
            <w:tcW w:w="2689" w:type="dxa"/>
            <w:tcBorders>
              <w:bottom w:val="nil"/>
            </w:tcBorders>
          </w:tcPr>
          <w:p w14:paraId="0AEC6D77" w14:textId="77777777" w:rsidR="002E4BCA" w:rsidRPr="00516FD0" w:rsidRDefault="002E4BCA" w:rsidP="003B2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Epistaxis</w:t>
            </w:r>
          </w:p>
        </w:tc>
        <w:tc>
          <w:tcPr>
            <w:tcW w:w="1984" w:type="dxa"/>
            <w:tcBorders>
              <w:bottom w:val="nil"/>
            </w:tcBorders>
          </w:tcPr>
          <w:p w14:paraId="2B302F7F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  <w:tc>
          <w:tcPr>
            <w:tcW w:w="1843" w:type="dxa"/>
            <w:tcBorders>
              <w:bottom w:val="nil"/>
            </w:tcBorders>
          </w:tcPr>
          <w:p w14:paraId="729AD6A1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  <w:tc>
          <w:tcPr>
            <w:tcW w:w="1791" w:type="dxa"/>
            <w:tcBorders>
              <w:bottom w:val="nil"/>
            </w:tcBorders>
          </w:tcPr>
          <w:p w14:paraId="3928C0DF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</w:tr>
      <w:tr w:rsidR="002E4BCA" w14:paraId="21D91CF7" w14:textId="77777777" w:rsidTr="003B263A">
        <w:tc>
          <w:tcPr>
            <w:tcW w:w="2689" w:type="dxa"/>
            <w:tcBorders>
              <w:top w:val="nil"/>
              <w:bottom w:val="single" w:sz="12" w:space="0" w:color="auto"/>
            </w:tcBorders>
          </w:tcPr>
          <w:p w14:paraId="0CED523D" w14:textId="77777777" w:rsidR="002E4BCA" w:rsidRPr="00516FD0" w:rsidRDefault="002E4BCA" w:rsidP="003B2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 xml:space="preserve">Voice change 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</w:tcPr>
          <w:p w14:paraId="07789640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</w:tcPr>
          <w:p w14:paraId="3828CF8C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1 (1.0)</w:t>
            </w:r>
          </w:p>
        </w:tc>
        <w:tc>
          <w:tcPr>
            <w:tcW w:w="1791" w:type="dxa"/>
            <w:tcBorders>
              <w:top w:val="nil"/>
              <w:bottom w:val="single" w:sz="12" w:space="0" w:color="auto"/>
            </w:tcBorders>
          </w:tcPr>
          <w:p w14:paraId="10AEED7A" w14:textId="77777777" w:rsidR="002E4BCA" w:rsidRPr="00516FD0" w:rsidRDefault="002E4BCA" w:rsidP="003B26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6FD0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</w:tr>
    </w:tbl>
    <w:p w14:paraId="334C29B0" w14:textId="1A154527" w:rsidR="002E4BCA" w:rsidRDefault="002E4BCA" w:rsidP="002E4BCA">
      <w:pPr>
        <w:widowControl/>
        <w:spacing w:line="480" w:lineRule="auto"/>
        <w:jc w:val="left"/>
      </w:pPr>
    </w:p>
    <w:p w14:paraId="3D0A996C" w14:textId="77777777" w:rsidR="002E4BCA" w:rsidRDefault="002E4BCA" w:rsidP="002E4BCA">
      <w:pPr>
        <w:widowControl/>
        <w:spacing w:line="480" w:lineRule="auto"/>
        <w:jc w:val="left"/>
        <w:rPr>
          <w:rFonts w:hint="eastAsia"/>
        </w:rPr>
      </w:pPr>
    </w:p>
    <w:p w14:paraId="4B5E2730" w14:textId="77777777" w:rsidR="002E4BCA" w:rsidRDefault="002E4BCA" w:rsidP="002E4BCA">
      <w:pPr>
        <w:jc w:val="center"/>
      </w:pPr>
      <w:r w:rsidRPr="00760A88">
        <w:rPr>
          <w:rFonts w:ascii="Times New Roman" w:hAnsi="Times New Roman" w:cs="Times New Roman" w:hint="eastAsia"/>
          <w:b/>
          <w:bCs/>
          <w:sz w:val="20"/>
          <w:szCs w:val="20"/>
        </w:rPr>
        <w:t>T</w:t>
      </w:r>
      <w:r w:rsidRPr="00760A88">
        <w:rPr>
          <w:rFonts w:ascii="Times New Roman" w:hAnsi="Times New Roman" w:cs="Times New Roman"/>
          <w:b/>
          <w:bCs/>
          <w:sz w:val="20"/>
          <w:szCs w:val="20"/>
        </w:rPr>
        <w:t xml:space="preserve">able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760A88">
        <w:rPr>
          <w:rFonts w:ascii="Times New Roman" w:hAnsi="Times New Roman" w:cs="Times New Roman"/>
          <w:b/>
          <w:bCs/>
          <w:sz w:val="20"/>
          <w:szCs w:val="20"/>
        </w:rPr>
        <w:t xml:space="preserve">2 Identification of prognostic factors for </w:t>
      </w:r>
      <w:r>
        <w:rPr>
          <w:rFonts w:ascii="Times New Roman" w:hAnsi="Times New Roman" w:cs="Times New Roman"/>
          <w:b/>
          <w:bCs/>
          <w:sz w:val="20"/>
          <w:szCs w:val="20"/>
        </w:rPr>
        <w:t>PFS</w:t>
      </w:r>
      <w:r w:rsidRPr="00760A88">
        <w:rPr>
          <w:rFonts w:ascii="Times New Roman" w:hAnsi="Times New Roman" w:cs="Times New Roman"/>
          <w:b/>
          <w:bCs/>
          <w:sz w:val="20"/>
          <w:szCs w:val="20"/>
        </w:rPr>
        <w:t xml:space="preserve"> in all-patient, the TACE group, and the </w:t>
      </w:r>
      <w:r w:rsidRPr="00FE69EC">
        <w:rPr>
          <w:rFonts w:ascii="Times New Roman" w:hAnsi="Times New Roman" w:cs="Times New Roman"/>
          <w:b/>
          <w:bCs/>
          <w:sz w:val="20"/>
          <w:szCs w:val="20"/>
        </w:rPr>
        <w:t>TACE-Sorafenib group based on univariate Cox regression</w:t>
      </w:r>
    </w:p>
    <w:tbl>
      <w:tblPr>
        <w:tblStyle w:val="a7"/>
        <w:tblW w:w="0" w:type="auto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2122"/>
        <w:gridCol w:w="1275"/>
        <w:gridCol w:w="709"/>
        <w:gridCol w:w="142"/>
        <w:gridCol w:w="1276"/>
        <w:gridCol w:w="708"/>
        <w:gridCol w:w="142"/>
        <w:gridCol w:w="1276"/>
        <w:gridCol w:w="646"/>
      </w:tblGrid>
      <w:tr w:rsidR="002E4BCA" w:rsidRPr="00B92078" w14:paraId="39919257" w14:textId="77777777" w:rsidTr="003B263A">
        <w:tc>
          <w:tcPr>
            <w:tcW w:w="212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6123D3F" w14:textId="77777777" w:rsidR="002E4BCA" w:rsidRPr="00A41E04" w:rsidRDefault="002E4BCA" w:rsidP="003B263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_Hlk119454275"/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34C47E71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Patient</w:t>
            </w:r>
          </w:p>
        </w:tc>
        <w:tc>
          <w:tcPr>
            <w:tcW w:w="1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13385E5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0A4A204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 xml:space="preserve">TACE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roup</w:t>
            </w:r>
          </w:p>
        </w:tc>
        <w:tc>
          <w:tcPr>
            <w:tcW w:w="1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6E86F29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3DFD4D77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TACE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-S</w:t>
            </w: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 xml:space="preserve">orafenib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roup</w:t>
            </w:r>
          </w:p>
        </w:tc>
      </w:tr>
      <w:tr w:rsidR="002E4BCA" w:rsidRPr="00B92078" w14:paraId="7FBBCCA3" w14:textId="77777777" w:rsidTr="003B263A">
        <w:tc>
          <w:tcPr>
            <w:tcW w:w="212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0A7F1B8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Baseline Factor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5F0D8B6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HR (95%CI)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63B6B926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3A5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  <w:r w:rsidRPr="006A3A59">
              <w:rPr>
                <w:rFonts w:ascii="Times New Roman" w:hAnsi="Times New Roman" w:cs="Times New Roman"/>
                <w:sz w:val="18"/>
                <w:szCs w:val="18"/>
              </w:rPr>
              <w:t>value</w:t>
            </w: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E9CA62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05FACC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HR (95%CI)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5F736536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3A5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  <w:r w:rsidRPr="006A3A59">
              <w:rPr>
                <w:rFonts w:ascii="Times New Roman" w:hAnsi="Times New Roman" w:cs="Times New Roman"/>
                <w:sz w:val="18"/>
                <w:szCs w:val="18"/>
              </w:rPr>
              <w:t>value</w:t>
            </w: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8FEA14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0B7D3640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HR (95%CI)</w:t>
            </w:r>
          </w:p>
        </w:tc>
        <w:tc>
          <w:tcPr>
            <w:tcW w:w="64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5D96DD7C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3A5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  <w:r w:rsidRPr="006A3A59">
              <w:rPr>
                <w:rFonts w:ascii="Times New Roman" w:hAnsi="Times New Roman" w:cs="Times New Roman"/>
                <w:sz w:val="18"/>
                <w:szCs w:val="18"/>
              </w:rPr>
              <w:t>value</w:t>
            </w:r>
          </w:p>
        </w:tc>
      </w:tr>
      <w:tr w:rsidR="002E4BCA" w:rsidRPr="00B92078" w14:paraId="6A2EB4A4" w14:textId="77777777" w:rsidTr="003B263A">
        <w:tc>
          <w:tcPr>
            <w:tcW w:w="212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2A68D50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Treatment (T+S vs. T)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A8818E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.13(0.75-1.71)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22FD312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.552</w:t>
            </w:r>
          </w:p>
        </w:tc>
        <w:tc>
          <w:tcPr>
            <w:tcW w:w="1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FC13720" w14:textId="77777777" w:rsidR="002E4BCA" w:rsidRPr="00592958" w:rsidRDefault="002E4BCA" w:rsidP="003B263A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26C9B7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—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B942F9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—</w:t>
            </w:r>
          </w:p>
        </w:tc>
        <w:tc>
          <w:tcPr>
            <w:tcW w:w="1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EF1AEB6" w14:textId="77777777" w:rsidR="002E4BCA" w:rsidRPr="00592958" w:rsidRDefault="002E4BCA" w:rsidP="003B263A">
            <w:pPr>
              <w:jc w:val="center"/>
              <w:rPr>
                <w:rFonts w:asciiTheme="minorEastAsia" w:hAnsiTheme="minorEastAsia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8C8383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—</w:t>
            </w:r>
          </w:p>
        </w:tc>
        <w:tc>
          <w:tcPr>
            <w:tcW w:w="64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4213D04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Theme="minorEastAsia" w:hAnsiTheme="minorEastAsia" w:cs="Times New Roman" w:hint="eastAsia"/>
                <w:color w:val="000000" w:themeColor="text1"/>
                <w:sz w:val="18"/>
                <w:szCs w:val="18"/>
              </w:rPr>
              <w:t>—</w:t>
            </w:r>
          </w:p>
        </w:tc>
      </w:tr>
      <w:tr w:rsidR="002E4BCA" w:rsidRPr="00B92078" w14:paraId="55D49598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CD4F0E4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Age (&gt; vs. ≤60)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02A113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.53(0.34-0.83)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8E3B2F6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32557FD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516AB09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.46(0.22-0.99)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1AC2DC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.048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6564AC9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623D13E3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.60(0.34-1.06)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5C30C3CE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.078</w:t>
            </w:r>
          </w:p>
        </w:tc>
      </w:tr>
      <w:tr w:rsidR="002E4BCA" w:rsidRPr="00B92078" w14:paraId="67C3E747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577BC74D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Child-Pugh stage (B vs. A)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299C212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.43(0.58-3.51)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B6F200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.441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486EAC16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8CCA9C6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.37(0.42-4.52)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E99EC58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.602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320CB686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2CC3024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.53(0.37-6.33)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503A4DB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.560</w:t>
            </w:r>
          </w:p>
        </w:tc>
      </w:tr>
      <w:tr w:rsidR="002E4BCA" w:rsidRPr="00B92078" w14:paraId="7E3E9340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618C766B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Tumor size (&gt; vs. ≤5cm)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4A7C8B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.95(1.20-3.16)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3CC69F4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24097C13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E9B4D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.38(1.08-5.27)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2CBE1C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.032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32A0FC7D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65030A8B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.74(0.95-3.22)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40B86D1C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.075</w:t>
            </w:r>
          </w:p>
        </w:tc>
      </w:tr>
      <w:tr w:rsidR="002E4BCA" w:rsidRPr="00B92078" w14:paraId="0792516A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41A3F46A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No. of tumors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9E44B37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6266C79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1B1C4297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6334C29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8FD884E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162CFC8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56CA156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A30F6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4BCA" w:rsidRPr="00B92078" w14:paraId="3AD80D52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349FA12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2-3 vs.1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80B3E9C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.11(0.53-2.30)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26DB7C0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.783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462EE26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B00587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.15(0.35-3.74)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ED0C56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.821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A3338C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7A15CABC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.96(0.38-2.42)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310F8117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.928</w:t>
            </w:r>
          </w:p>
        </w:tc>
      </w:tr>
      <w:tr w:rsidR="002E4BCA" w:rsidRPr="00B92078" w14:paraId="5547D294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D83E4F3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≥ 4 vs.1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7F2EFC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.22(1.39-3.56)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DE68E2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0E81940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1D971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.96(1.32-6.62)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13A74D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6AA074D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28AFC403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.78(0.99-3.17)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79FF616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.053</w:t>
            </w:r>
          </w:p>
        </w:tc>
      </w:tr>
      <w:tr w:rsidR="002E4BCA" w:rsidRPr="00B92078" w14:paraId="1F9CBF1E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F6659D9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PVTT (Yes vs. No)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491AAC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.80(1.83-4.28)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508E8B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47961EE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6FAED5F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.67(1.26-5.65)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153D507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2820351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76A1EBD3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.76(1.64-4.65)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3CE1057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2E4BCA" w:rsidRPr="00B92078" w14:paraId="5ABA545F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5B5C9D8A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EHS (Yes vs. No)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B14A774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.67(1.03-2.72)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268CB5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.039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94D4C93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257F954C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.20(0.41-3.49)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A8F3BA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.735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3F16F7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704DAEE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.73(0.98-3.03)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6F3B8DC3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.057</w:t>
            </w:r>
          </w:p>
        </w:tc>
      </w:tr>
      <w:tr w:rsidR="002E4BCA" w:rsidRPr="00B92078" w14:paraId="1C6A406B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94394F5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AFP (&gt; vs. ≤400ng/mL)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0B649AD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.91(1.93-4.39)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35676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47CD00D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EA5D57B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.19(1.60-6.35)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AFB8AF3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F0E801D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6A55D1B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.87(1.70-4.87)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795A688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2E4BCA" w:rsidRPr="00B92078" w14:paraId="583D27AD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3361620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Tbil</w:t>
            </w:r>
            <w:proofErr w:type="spellEnd"/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(&gt; vs. ≤17.5μmol/L)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CFB8784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.31(0.88-1.96)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88AAE2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.183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1B477718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FB0894B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.75(0.39-1.44)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28FD737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.390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340321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00CDB542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.13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1.26-3.60)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6EAF5AD9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.005</w:t>
            </w:r>
          </w:p>
        </w:tc>
      </w:tr>
      <w:tr w:rsidR="002E4BCA" w:rsidRPr="00B92078" w14:paraId="736F238E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D27EBFE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ALP (&gt; vs. ≤122.5U/L)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F954870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.69(1.13-2.54)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D08D05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362EA4A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6E7F58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.42(0.73-2.76)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818180D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.296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F5F96B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7124FAA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.87(1.13-3.12)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32B20B7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.016</w:t>
            </w:r>
          </w:p>
        </w:tc>
      </w:tr>
      <w:tr w:rsidR="002E4BCA" w:rsidRPr="00B92078" w14:paraId="482EBB72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9B3EF6E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NLR (&gt; vs. ≤2.94)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6F517B7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.66(1.11-2.47)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39BAFA2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6AD9FC2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DD6C15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.36(0.70-2.64)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2C548E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.367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358BB01F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4AF0710C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.84(1.11-3.05)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052DC6C2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.017</w:t>
            </w:r>
          </w:p>
        </w:tc>
      </w:tr>
      <w:tr w:rsidR="002E4BCA" w:rsidRPr="00B92078" w14:paraId="618A7A87" w14:textId="77777777" w:rsidTr="003B263A">
        <w:tc>
          <w:tcPr>
            <w:tcW w:w="2122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6" w:type="dxa"/>
              <w:right w:w="6" w:type="dxa"/>
            </w:tcMar>
          </w:tcPr>
          <w:p w14:paraId="43D9DC61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VEGF (&gt; vs.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≤172.48pg/ml)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7E8588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.01(1.32-3.06)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98B3A4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83085CD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889E08B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.75(0.89-3.46)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77EA85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.106</w:t>
            </w: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6CC8BC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6" w:type="dxa"/>
              <w:right w:w="6" w:type="dxa"/>
            </w:tcMar>
          </w:tcPr>
          <w:p w14:paraId="5B5D94A9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.10(1.23-3.58)</w:t>
            </w:r>
          </w:p>
        </w:tc>
        <w:tc>
          <w:tcPr>
            <w:tcW w:w="64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1CF25C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.006</w:t>
            </w:r>
          </w:p>
        </w:tc>
      </w:tr>
    </w:tbl>
    <w:bookmarkEnd w:id="1"/>
    <w:p w14:paraId="47D0AC1B" w14:textId="7D206789" w:rsidR="002E4BCA" w:rsidRDefault="002E4BCA" w:rsidP="002E4BCA">
      <w:pPr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4467DF">
        <w:rPr>
          <w:rFonts w:ascii="Times New Roman" w:hAnsi="Times New Roman" w:cs="Times New Roman"/>
          <w:color w:val="000000" w:themeColor="text1"/>
          <w:sz w:val="18"/>
          <w:szCs w:val="18"/>
        </w:rPr>
        <w:t>T+S, TACE plus sorafenib; PVTT, portal vein tumor thrombus;</w:t>
      </w:r>
      <w:r w:rsidRPr="004467DF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4467D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EHS, extrahepatic spread; AFP, alpha-fetoprotein; </w:t>
      </w:r>
      <w:proofErr w:type="spellStart"/>
      <w:r w:rsidRPr="004467DF">
        <w:rPr>
          <w:rFonts w:ascii="Times New Roman" w:hAnsi="Times New Roman" w:cs="Times New Roman"/>
          <w:color w:val="000000" w:themeColor="text1"/>
          <w:sz w:val="18"/>
          <w:szCs w:val="18"/>
        </w:rPr>
        <w:t>Tbil</w:t>
      </w:r>
      <w:proofErr w:type="spellEnd"/>
      <w:r w:rsidRPr="004467D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total bilirubin; ALP, alkaline phosphatase; NLR, neutrophil-lymphocyte ratio; </w:t>
      </w:r>
      <w:r w:rsidRPr="004467DF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V</w:t>
      </w:r>
      <w:r w:rsidRPr="004467DF">
        <w:rPr>
          <w:rFonts w:ascii="Times New Roman" w:hAnsi="Times New Roman" w:cs="Times New Roman"/>
          <w:color w:val="000000" w:themeColor="text1"/>
          <w:sz w:val="18"/>
          <w:szCs w:val="18"/>
        </w:rPr>
        <w:t>EGF, vascular endothelial growth factor.</w:t>
      </w:r>
    </w:p>
    <w:p w14:paraId="5F30E8C8" w14:textId="77777777" w:rsidR="002E4BCA" w:rsidRDefault="002E4BCA">
      <w:pPr>
        <w:widowControl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</w:rPr>
        <w:br w:type="page"/>
      </w:r>
    </w:p>
    <w:p w14:paraId="336AA77A" w14:textId="77777777" w:rsidR="002E4BCA" w:rsidRDefault="002E4BCA" w:rsidP="002E4BCA">
      <w:pPr>
        <w:jc w:val="center"/>
      </w:pPr>
      <w:r w:rsidRPr="00760A88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>T</w:t>
      </w:r>
      <w:r w:rsidRPr="00760A88">
        <w:rPr>
          <w:rFonts w:ascii="Times New Roman" w:hAnsi="Times New Roman" w:cs="Times New Roman"/>
          <w:b/>
          <w:bCs/>
          <w:sz w:val="20"/>
          <w:szCs w:val="20"/>
        </w:rPr>
        <w:t xml:space="preserve">able </w:t>
      </w:r>
      <w:r>
        <w:rPr>
          <w:rFonts w:ascii="Times New Roman" w:hAnsi="Times New Roman" w:cs="Times New Roman"/>
          <w:b/>
          <w:bCs/>
          <w:sz w:val="20"/>
          <w:szCs w:val="20"/>
        </w:rPr>
        <w:t>S3</w:t>
      </w:r>
      <w:r w:rsidRPr="00760A88">
        <w:rPr>
          <w:rFonts w:ascii="Times New Roman" w:hAnsi="Times New Roman" w:cs="Times New Roman"/>
          <w:b/>
          <w:bCs/>
          <w:sz w:val="20"/>
          <w:szCs w:val="20"/>
        </w:rPr>
        <w:t xml:space="preserve"> Identification of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independent </w:t>
      </w:r>
      <w:r w:rsidRPr="00760A88">
        <w:rPr>
          <w:rFonts w:ascii="Times New Roman" w:hAnsi="Times New Roman" w:cs="Times New Roman"/>
          <w:b/>
          <w:bCs/>
          <w:sz w:val="20"/>
          <w:szCs w:val="20"/>
        </w:rPr>
        <w:t xml:space="preserve">prognostic factors for </w:t>
      </w:r>
      <w:r>
        <w:rPr>
          <w:rFonts w:ascii="Times New Roman" w:hAnsi="Times New Roman" w:cs="Times New Roman"/>
          <w:b/>
          <w:bCs/>
          <w:sz w:val="20"/>
          <w:szCs w:val="20"/>
        </w:rPr>
        <w:t>PF</w:t>
      </w:r>
      <w:r w:rsidRPr="00760A88">
        <w:rPr>
          <w:rFonts w:ascii="Times New Roman" w:hAnsi="Times New Roman" w:cs="Times New Roman"/>
          <w:b/>
          <w:bCs/>
          <w:sz w:val="20"/>
          <w:szCs w:val="20"/>
        </w:rPr>
        <w:t xml:space="preserve">S in all-patient, the TACE group, and the </w:t>
      </w:r>
      <w:r w:rsidRPr="00E7408E">
        <w:rPr>
          <w:rFonts w:ascii="Times New Roman" w:hAnsi="Times New Roman" w:cs="Times New Roman"/>
          <w:b/>
          <w:bCs/>
          <w:sz w:val="20"/>
          <w:szCs w:val="20"/>
        </w:rPr>
        <w:t>TACE-Sorafenib group based on multivariate Cox regression</w:t>
      </w:r>
    </w:p>
    <w:tbl>
      <w:tblPr>
        <w:tblStyle w:val="a7"/>
        <w:tblW w:w="0" w:type="auto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2122"/>
        <w:gridCol w:w="1275"/>
        <w:gridCol w:w="709"/>
        <w:gridCol w:w="142"/>
        <w:gridCol w:w="1276"/>
        <w:gridCol w:w="708"/>
        <w:gridCol w:w="142"/>
        <w:gridCol w:w="1276"/>
        <w:gridCol w:w="646"/>
      </w:tblGrid>
      <w:tr w:rsidR="002E4BCA" w:rsidRPr="00B92078" w14:paraId="02354A65" w14:textId="77777777" w:rsidTr="003B263A">
        <w:tc>
          <w:tcPr>
            <w:tcW w:w="212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DA7C213" w14:textId="77777777" w:rsidR="002E4BCA" w:rsidRPr="00A41E04" w:rsidRDefault="002E4BCA" w:rsidP="003B263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7CD02B5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All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Patient</w:t>
            </w:r>
          </w:p>
        </w:tc>
        <w:tc>
          <w:tcPr>
            <w:tcW w:w="1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EEDAF40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1F68E765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 xml:space="preserve">TACE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roup</w:t>
            </w:r>
          </w:p>
        </w:tc>
        <w:tc>
          <w:tcPr>
            <w:tcW w:w="1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681C990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0C1E51D0" w14:textId="77777777" w:rsidR="002E4BCA" w:rsidRPr="00A41E0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TACE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-S</w:t>
            </w: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 xml:space="preserve">orafenib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Pr="00A41E04">
              <w:rPr>
                <w:rFonts w:ascii="Times New Roman" w:hAnsi="Times New Roman" w:cs="Times New Roman"/>
                <w:sz w:val="18"/>
                <w:szCs w:val="18"/>
              </w:rPr>
              <w:t>roup</w:t>
            </w:r>
          </w:p>
        </w:tc>
      </w:tr>
      <w:tr w:rsidR="002E4BCA" w:rsidRPr="00B92078" w14:paraId="4CFFB232" w14:textId="77777777" w:rsidTr="003B263A">
        <w:tc>
          <w:tcPr>
            <w:tcW w:w="212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73B026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Baseline Factor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E398922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HR (95%CI)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604EBA56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3A5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  <w:r w:rsidRPr="006A3A59">
              <w:rPr>
                <w:rFonts w:ascii="Times New Roman" w:hAnsi="Times New Roman" w:cs="Times New Roman"/>
                <w:sz w:val="18"/>
                <w:szCs w:val="18"/>
              </w:rPr>
              <w:t>value</w:t>
            </w: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4F5F0A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AFDEEC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HR (95%CI)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0ABD4014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3A5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  <w:r w:rsidRPr="006A3A59">
              <w:rPr>
                <w:rFonts w:ascii="Times New Roman" w:hAnsi="Times New Roman" w:cs="Times New Roman"/>
                <w:sz w:val="18"/>
                <w:szCs w:val="18"/>
              </w:rPr>
              <w:t>value</w:t>
            </w: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94FEA34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29D88371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HR (95%CI)</w:t>
            </w:r>
          </w:p>
        </w:tc>
        <w:tc>
          <w:tcPr>
            <w:tcW w:w="64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72374284" w14:textId="77777777" w:rsidR="002E4BCA" w:rsidRPr="00592958" w:rsidRDefault="002E4BCA" w:rsidP="003B263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A3A5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  <w:r w:rsidRPr="006A3A59">
              <w:rPr>
                <w:rFonts w:ascii="Times New Roman" w:hAnsi="Times New Roman" w:cs="Times New Roman"/>
                <w:sz w:val="18"/>
                <w:szCs w:val="18"/>
              </w:rPr>
              <w:t>value</w:t>
            </w:r>
          </w:p>
        </w:tc>
      </w:tr>
      <w:tr w:rsidR="002E4BCA" w:rsidRPr="00B92078" w14:paraId="6F6C936E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86405E7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No. of tumors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0432B50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BE15EFA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0005582B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8142616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8060A3C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4AC38B3E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4AC1B57F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045C992A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</w:tr>
      <w:tr w:rsidR="002E4BCA" w:rsidRPr="00B92078" w14:paraId="2C80924D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360E57D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2-3 vs.1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750B012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.36(0.62-3.00)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D7F7D33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.444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EF3057C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265ED5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.25(0.35-4.45)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710E3B9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.731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DFD21F2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530C36ED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16A3FF29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</w:tr>
      <w:tr w:rsidR="002E4BCA" w:rsidRPr="00B92078" w14:paraId="1A85C5E3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5B79559C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≥ 4 vs.1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8D62001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.88(1.13-3.14)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96BA81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167DAF2C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EB5E952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.49(1.07-5.77)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3C4F3C9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.034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45C94FBE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5705112D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7870CD6D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</w:tr>
      <w:tr w:rsidR="002E4BCA" w:rsidRPr="00B92078" w14:paraId="7FD20D5B" w14:textId="77777777" w:rsidTr="003B263A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9054F89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AFP (&gt; vs. ≤400ng/mL)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BC90BD7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.36(1.50-3.73)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AD82579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0122823B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3EABADF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.60(1.24-5.47)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F0FC1A5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1A84CAF8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tcMar>
              <w:left w:w="6" w:type="dxa"/>
              <w:right w:w="6" w:type="dxa"/>
            </w:tcMar>
          </w:tcPr>
          <w:p w14:paraId="736B5D3D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.57(1.44-4.58)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78E4E27F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2E4BCA" w:rsidRPr="00B92078" w14:paraId="31262DF2" w14:textId="77777777" w:rsidTr="003B263A">
        <w:tc>
          <w:tcPr>
            <w:tcW w:w="2122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6" w:type="dxa"/>
              <w:right w:w="6" w:type="dxa"/>
            </w:tcMar>
          </w:tcPr>
          <w:p w14:paraId="38575990" w14:textId="77777777" w:rsidR="002E4BCA" w:rsidRPr="00592958" w:rsidRDefault="002E4BCA" w:rsidP="003B263A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VEGF (&gt; vs.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929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≤172.48pg/ml)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A13CCBF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.64(1.03-2.60)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4A2704A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.037</w:t>
            </w: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6BA8380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539D51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C701C5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D34">
              <w:rPr>
                <w:rFonts w:asciiTheme="minorEastAsia" w:hAnsiTheme="minorEastAsia" w:cs="Times New Roman" w:hint="eastAsia"/>
                <w:sz w:val="18"/>
                <w:szCs w:val="18"/>
              </w:rPr>
              <w:t>—</w:t>
            </w: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9BB822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6" w:type="dxa"/>
              <w:right w:w="6" w:type="dxa"/>
            </w:tcMar>
          </w:tcPr>
          <w:p w14:paraId="37F3DAD3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.00(1.11-3.62)</w:t>
            </w:r>
          </w:p>
        </w:tc>
        <w:tc>
          <w:tcPr>
            <w:tcW w:w="64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1EAED7" w14:textId="77777777" w:rsidR="002E4BCA" w:rsidRPr="00D40D34" w:rsidRDefault="002E4BCA" w:rsidP="003B2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.021</w:t>
            </w:r>
          </w:p>
        </w:tc>
      </w:tr>
    </w:tbl>
    <w:p w14:paraId="20BD6D77" w14:textId="77777777" w:rsidR="002E4BCA" w:rsidRPr="00012947" w:rsidRDefault="002E4BCA" w:rsidP="002E4BCA">
      <w:pPr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17748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AFP, alpha-fetoprotein; </w:t>
      </w:r>
      <w:r w:rsidRPr="00177487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V</w:t>
      </w:r>
      <w:r w:rsidRPr="00177487">
        <w:rPr>
          <w:rFonts w:ascii="Times New Roman" w:hAnsi="Times New Roman" w:cs="Times New Roman"/>
          <w:color w:val="000000" w:themeColor="text1"/>
          <w:sz w:val="18"/>
          <w:szCs w:val="18"/>
        </w:rPr>
        <w:t>EGF, vascular endothelial growth factor.</w:t>
      </w:r>
    </w:p>
    <w:p w14:paraId="1BF0BA1B" w14:textId="77777777" w:rsidR="002E4BCA" w:rsidRPr="002E4BCA" w:rsidRDefault="002E4BCA" w:rsidP="002E4BCA">
      <w:pPr>
        <w:jc w:val="left"/>
        <w:rPr>
          <w:rFonts w:ascii="Times New Roman" w:hAnsi="Times New Roman" w:cs="Times New Roman" w:hint="eastAsia"/>
          <w:color w:val="000000" w:themeColor="text1"/>
          <w:sz w:val="18"/>
          <w:szCs w:val="18"/>
        </w:rPr>
      </w:pPr>
    </w:p>
    <w:p w14:paraId="3748186B" w14:textId="77777777" w:rsidR="002E4BCA" w:rsidRPr="002E4BCA" w:rsidRDefault="002E4BCA" w:rsidP="002E4BCA">
      <w:pPr>
        <w:widowControl/>
        <w:spacing w:line="480" w:lineRule="auto"/>
        <w:jc w:val="left"/>
        <w:rPr>
          <w:rFonts w:ascii="Arial" w:hAnsi="Arial" w:cs="Times New Roman" w:hint="eastAsia"/>
          <w:b/>
          <w:bCs/>
          <w:kern w:val="0"/>
          <w:sz w:val="32"/>
          <w:szCs w:val="32"/>
          <w:lang w:eastAsia="en-US"/>
        </w:rPr>
      </w:pPr>
    </w:p>
    <w:sectPr w:rsidR="002E4BCA" w:rsidRPr="002E4B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58066" w14:textId="77777777" w:rsidR="00073C81" w:rsidRDefault="00073C81" w:rsidP="002E4BCA">
      <w:r>
        <w:separator/>
      </w:r>
    </w:p>
  </w:endnote>
  <w:endnote w:type="continuationSeparator" w:id="0">
    <w:p w14:paraId="4A45DCC0" w14:textId="77777777" w:rsidR="00073C81" w:rsidRDefault="00073C81" w:rsidP="002E4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E47DA" w14:textId="77777777" w:rsidR="00073C81" w:rsidRDefault="00073C81" w:rsidP="002E4BCA">
      <w:r>
        <w:separator/>
      </w:r>
    </w:p>
  </w:footnote>
  <w:footnote w:type="continuationSeparator" w:id="0">
    <w:p w14:paraId="76C1B445" w14:textId="77777777" w:rsidR="00073C81" w:rsidRDefault="00073C81" w:rsidP="002E4B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0CD"/>
    <w:rsid w:val="00073C81"/>
    <w:rsid w:val="002E4BCA"/>
    <w:rsid w:val="005A15E5"/>
    <w:rsid w:val="0081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FE39B9"/>
  <w14:defaultImageDpi w14:val="32767"/>
  <w15:chartTrackingRefBased/>
  <w15:docId w15:val="{3BB0174A-379F-4804-AA9B-AA65E59B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4B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E4BC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E4B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E4BCA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qFormat/>
    <w:rsid w:val="002E4BCA"/>
    <w:pPr>
      <w:widowControl/>
      <w:jc w:val="left"/>
    </w:pPr>
    <w:rPr>
      <w:rFonts w:ascii="Arial" w:hAnsi="Arial" w:cs="Arial"/>
      <w:noProof/>
      <w:kern w:val="0"/>
      <w:sz w:val="20"/>
      <w:szCs w:val="24"/>
      <w:lang w:eastAsia="en-US"/>
    </w:rPr>
  </w:style>
  <w:style w:type="character" w:customStyle="1" w:styleId="EndNoteBibliography0">
    <w:name w:val="EndNote Bibliography 字符"/>
    <w:basedOn w:val="a0"/>
    <w:link w:val="EndNoteBibliography"/>
    <w:qFormat/>
    <w:rsid w:val="002E4BCA"/>
    <w:rPr>
      <w:rFonts w:ascii="Arial" w:hAnsi="Arial" w:cs="Arial"/>
      <w:noProof/>
      <w:kern w:val="0"/>
      <w:sz w:val="20"/>
      <w:szCs w:val="24"/>
      <w:lang w:eastAsia="en-US"/>
    </w:rPr>
  </w:style>
  <w:style w:type="table" w:styleId="a7">
    <w:name w:val="Table Grid"/>
    <w:basedOn w:val="a1"/>
    <w:uiPriority w:val="39"/>
    <w:rsid w:val="002E4B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515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2023-01-18T13:12:00Z</dcterms:created>
  <dcterms:modified xsi:type="dcterms:W3CDTF">2023-01-18T13:22:00Z</dcterms:modified>
</cp:coreProperties>
</file>