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B9894" w14:textId="4661D85D" w:rsidR="00D11A2A" w:rsidRPr="00211B91" w:rsidRDefault="00E37479" w:rsidP="00D11A2A">
      <w:pPr>
        <w:pStyle w:val="MDPI81theorem"/>
        <w:spacing w:before="240" w:after="240"/>
        <w:ind w:left="0"/>
        <w:rPr>
          <w:rFonts w:ascii="Arial" w:eastAsia="DengXian" w:hAnsi="Arial" w:cs="Arial"/>
          <w:i w:val="0"/>
          <w:snapToGrid/>
          <w:color w:val="auto"/>
          <w:szCs w:val="24"/>
          <w:lang w:eastAsia="en-US" w:bidi="ar-SA"/>
        </w:rPr>
      </w:pPr>
      <w:r>
        <w:rPr>
          <w:noProof/>
        </w:rPr>
        <w:drawing>
          <wp:inline distT="0" distB="0" distL="0" distR="0" wp14:anchorId="18AFD519" wp14:editId="215FDCE9">
            <wp:extent cx="4553604" cy="6583702"/>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56118" cy="6587337"/>
                    </a:xfrm>
                    <a:prstGeom prst="rect">
                      <a:avLst/>
                    </a:prstGeom>
                    <a:noFill/>
                    <a:ln>
                      <a:noFill/>
                    </a:ln>
                  </pic:spPr>
                </pic:pic>
              </a:graphicData>
            </a:graphic>
          </wp:inline>
        </w:drawing>
      </w:r>
      <w:r w:rsidR="00D11A2A" w:rsidRPr="00211B91">
        <w:rPr>
          <w:rFonts w:ascii="Arial" w:eastAsia="DengXian" w:hAnsi="Arial" w:cs="Arial"/>
          <w:b/>
          <w:bCs/>
          <w:i w:val="0"/>
          <w:snapToGrid/>
          <w:color w:val="auto"/>
          <w:szCs w:val="24"/>
          <w:lang w:eastAsia="en-US" w:bidi="ar-SA"/>
        </w:rPr>
        <w:t xml:space="preserve">Supplementary Figure S1 </w:t>
      </w:r>
      <w:r w:rsidR="00D11A2A" w:rsidRPr="00211B91">
        <w:rPr>
          <w:rFonts w:ascii="Arial" w:eastAsia="DengXian" w:hAnsi="Arial" w:cs="Arial"/>
          <w:i w:val="0"/>
          <w:snapToGrid/>
          <w:color w:val="auto"/>
          <w:szCs w:val="24"/>
          <w:lang w:eastAsia="en-US" w:bidi="ar-SA"/>
        </w:rPr>
        <w:t xml:space="preserve">The post hoc analysis of quantitative clinical data in HOMA-IR quartile groups. (A) the post hoc analysis of age. (B) the post hoc analysis of BMI. (C) the post hoc analysis of infertility duration. (D) the post hoc analysis of AMH. (E) the post hoc analysis of AFC. (F) the post hoc analysis of basal FSH. (G) the post hoc analysis of FINS. (H) the post hoc analysis of FPG. (I) the post hoc analysis of HOMA-IR. (J) the post hoc analysis of initial Gn dose. (K) the post hoc analysis of total Gn dose. (L) the post hoc analysis of Gn duration. (M) the post hoc analysis of retrieved oocytes. (N) the post hoc analysis of MII oocytes. (O) the post hoc analysis of viable embryos. (P) the post hoc analysis of high-quality embryos. (Q) the post hoc analysis of OSI. </w:t>
      </w:r>
      <w:r w:rsidR="00D11A2A" w:rsidRPr="00211B91">
        <w:rPr>
          <w:rFonts w:ascii="Arial" w:eastAsia="DengXian" w:hAnsi="Arial" w:cs="Arial"/>
          <w:b/>
          <w:bCs/>
          <w:i w:val="0"/>
          <w:snapToGrid/>
          <w:color w:val="auto"/>
          <w:szCs w:val="24"/>
          <w:lang w:eastAsia="en-US" w:bidi="ar-SA"/>
        </w:rPr>
        <w:t>Note</w:t>
      </w:r>
      <w:r w:rsidR="00D11A2A" w:rsidRPr="00211B91">
        <w:rPr>
          <w:rFonts w:ascii="Arial" w:eastAsia="DengXian" w:hAnsi="Arial" w:cs="Arial"/>
          <w:i w:val="0"/>
          <w:snapToGrid/>
          <w:color w:val="auto"/>
          <w:szCs w:val="24"/>
          <w:lang w:eastAsia="en-US" w:bidi="ar-SA"/>
        </w:rPr>
        <w:t>:</w:t>
      </w:r>
      <w:r w:rsidR="00D11A2A" w:rsidRPr="00211B91">
        <w:rPr>
          <w:color w:val="auto"/>
        </w:rPr>
        <w:t xml:space="preserve"> </w:t>
      </w:r>
      <w:r w:rsidR="00D11A2A" w:rsidRPr="00211B91">
        <w:rPr>
          <w:rFonts w:ascii="MS Gothic" w:eastAsia="MS Gothic" w:hAnsi="MS Gothic" w:cs="MS Gothic" w:hint="eastAsia"/>
          <w:i w:val="0"/>
          <w:snapToGrid/>
          <w:color w:val="auto"/>
          <w:szCs w:val="24"/>
          <w:lang w:eastAsia="en-US" w:bidi="ar-SA"/>
        </w:rPr>
        <w:t>∗</w:t>
      </w:r>
      <w:r w:rsidR="00D11A2A" w:rsidRPr="00211B91">
        <w:rPr>
          <w:rFonts w:ascii="Arial" w:eastAsia="DengXian" w:hAnsi="Arial" w:cs="Arial"/>
          <w:iCs/>
          <w:snapToGrid/>
          <w:color w:val="auto"/>
          <w:szCs w:val="24"/>
          <w:lang w:eastAsia="en-US" w:bidi="ar-SA"/>
        </w:rPr>
        <w:t>p</w:t>
      </w:r>
      <w:r w:rsidR="00D11A2A" w:rsidRPr="00211B91">
        <w:rPr>
          <w:rFonts w:ascii="Arial" w:eastAsia="DengXian" w:hAnsi="Arial" w:cs="Arial"/>
          <w:i w:val="0"/>
          <w:snapToGrid/>
          <w:color w:val="auto"/>
          <w:szCs w:val="24"/>
          <w:lang w:eastAsia="en-US" w:bidi="ar-SA"/>
        </w:rPr>
        <w:t xml:space="preserve"> &lt; 0.05.</w:t>
      </w:r>
      <w:r w:rsidR="00D11A2A" w:rsidRPr="00211B91">
        <w:rPr>
          <w:rFonts w:hint="eastAsia"/>
          <w:color w:val="auto"/>
        </w:rPr>
        <w:t xml:space="preserve"> </w:t>
      </w:r>
      <w:r w:rsidR="00D11A2A" w:rsidRPr="00211B91">
        <w:rPr>
          <w:rFonts w:ascii="MS Gothic" w:eastAsia="MS Gothic" w:hAnsi="MS Gothic" w:cs="MS Gothic" w:hint="eastAsia"/>
          <w:i w:val="0"/>
          <w:snapToGrid/>
          <w:color w:val="auto"/>
          <w:szCs w:val="24"/>
          <w:lang w:eastAsia="en-US" w:bidi="ar-SA"/>
        </w:rPr>
        <w:t>∗∗</w:t>
      </w:r>
      <w:r w:rsidR="00D11A2A" w:rsidRPr="00211B91">
        <w:rPr>
          <w:rFonts w:ascii="Arial" w:eastAsia="DengXian" w:hAnsi="Arial" w:cs="Arial"/>
          <w:iCs/>
          <w:snapToGrid/>
          <w:color w:val="auto"/>
          <w:szCs w:val="24"/>
          <w:lang w:eastAsia="en-US" w:bidi="ar-SA"/>
        </w:rPr>
        <w:t>p</w:t>
      </w:r>
      <w:r w:rsidR="00D11A2A" w:rsidRPr="00211B91">
        <w:rPr>
          <w:rFonts w:ascii="Arial" w:eastAsia="DengXian" w:hAnsi="Arial" w:cs="Arial"/>
          <w:i w:val="0"/>
          <w:snapToGrid/>
          <w:color w:val="auto"/>
          <w:szCs w:val="24"/>
          <w:lang w:eastAsia="en-US" w:bidi="ar-SA"/>
        </w:rPr>
        <w:t xml:space="preserve"> </w:t>
      </w:r>
      <w:r w:rsidR="00D11A2A" w:rsidRPr="00211B91">
        <w:rPr>
          <w:rFonts w:ascii="Arial" w:eastAsia="DengXian" w:hAnsi="Arial" w:cs="Arial" w:hint="eastAsia"/>
          <w:i w:val="0"/>
          <w:snapToGrid/>
          <w:color w:val="auto"/>
          <w:szCs w:val="24"/>
          <w:lang w:eastAsia="zh-CN" w:bidi="ar-SA"/>
        </w:rPr>
        <w:t xml:space="preserve">&lt; </w:t>
      </w:r>
      <w:r w:rsidR="00D11A2A" w:rsidRPr="00211B91">
        <w:rPr>
          <w:rFonts w:ascii="Arial" w:eastAsia="DengXian" w:hAnsi="Arial" w:cs="Arial" w:hint="eastAsia"/>
          <w:i w:val="0"/>
          <w:snapToGrid/>
          <w:color w:val="auto"/>
          <w:szCs w:val="24"/>
          <w:lang w:eastAsia="en-US" w:bidi="ar-SA"/>
        </w:rPr>
        <w:t>0.01</w:t>
      </w:r>
      <w:r w:rsidR="00D11A2A" w:rsidRPr="00211B91">
        <w:rPr>
          <w:rFonts w:ascii="Arial" w:eastAsia="DengXian" w:hAnsi="Arial" w:cs="Arial"/>
          <w:i w:val="0"/>
          <w:snapToGrid/>
          <w:color w:val="auto"/>
          <w:szCs w:val="24"/>
          <w:lang w:eastAsia="en-US" w:bidi="ar-SA"/>
        </w:rPr>
        <w:t xml:space="preserve">. </w:t>
      </w:r>
      <w:r w:rsidR="00D11A2A" w:rsidRPr="00211B91">
        <w:rPr>
          <w:rFonts w:ascii="MS Gothic" w:eastAsia="MS Gothic" w:hAnsi="MS Gothic" w:cs="MS Gothic" w:hint="eastAsia"/>
          <w:i w:val="0"/>
          <w:snapToGrid/>
          <w:color w:val="auto"/>
          <w:szCs w:val="24"/>
          <w:lang w:eastAsia="en-US" w:bidi="ar-SA"/>
        </w:rPr>
        <w:t>∗∗∗</w:t>
      </w:r>
      <w:r w:rsidR="00D11A2A" w:rsidRPr="00211B91">
        <w:rPr>
          <w:rFonts w:ascii="MS Gothic" w:eastAsiaTheme="minorEastAsia" w:hAnsi="MS Gothic" w:cs="MS Gothic" w:hint="eastAsia"/>
          <w:i w:val="0"/>
          <w:snapToGrid/>
          <w:color w:val="auto"/>
          <w:szCs w:val="24"/>
          <w:lang w:eastAsia="zh-CN" w:bidi="ar-SA"/>
        </w:rPr>
        <w:t xml:space="preserve"> </w:t>
      </w:r>
      <w:r w:rsidR="00D11A2A" w:rsidRPr="00211B91">
        <w:rPr>
          <w:rFonts w:ascii="Arial" w:eastAsia="DengXian" w:hAnsi="Arial" w:cs="Arial"/>
          <w:iCs/>
          <w:snapToGrid/>
          <w:color w:val="auto"/>
          <w:szCs w:val="24"/>
          <w:lang w:eastAsia="en-US" w:bidi="ar-SA"/>
        </w:rPr>
        <w:t>p</w:t>
      </w:r>
      <w:r w:rsidR="00D11A2A" w:rsidRPr="00211B91">
        <w:rPr>
          <w:rFonts w:ascii="Arial" w:eastAsia="DengXian" w:hAnsi="Arial" w:cs="Arial"/>
          <w:i w:val="0"/>
          <w:snapToGrid/>
          <w:color w:val="auto"/>
          <w:szCs w:val="24"/>
          <w:lang w:eastAsia="en-US" w:bidi="ar-SA"/>
        </w:rPr>
        <w:t xml:space="preserve"> </w:t>
      </w:r>
      <w:r w:rsidR="00D11A2A" w:rsidRPr="00211B91">
        <w:rPr>
          <w:rFonts w:ascii="Arial" w:eastAsia="DengXian" w:hAnsi="Arial" w:cs="Arial" w:hint="eastAsia"/>
          <w:i w:val="0"/>
          <w:snapToGrid/>
          <w:color w:val="auto"/>
          <w:szCs w:val="24"/>
          <w:lang w:eastAsia="zh-CN" w:bidi="ar-SA"/>
        </w:rPr>
        <w:t xml:space="preserve">&lt; </w:t>
      </w:r>
      <w:r w:rsidR="00D11A2A" w:rsidRPr="00211B91">
        <w:rPr>
          <w:rFonts w:ascii="Arial" w:eastAsia="DengXian" w:hAnsi="Arial" w:cs="Arial" w:hint="eastAsia"/>
          <w:i w:val="0"/>
          <w:snapToGrid/>
          <w:color w:val="auto"/>
          <w:szCs w:val="24"/>
          <w:lang w:eastAsia="en-US" w:bidi="ar-SA"/>
        </w:rPr>
        <w:t>0.0</w:t>
      </w:r>
      <w:r w:rsidR="00D11A2A" w:rsidRPr="00211B91">
        <w:rPr>
          <w:rFonts w:ascii="Arial" w:eastAsia="DengXian" w:hAnsi="Arial" w:cs="Arial"/>
          <w:i w:val="0"/>
          <w:snapToGrid/>
          <w:color w:val="auto"/>
          <w:szCs w:val="24"/>
          <w:lang w:eastAsia="en-US" w:bidi="ar-SA"/>
        </w:rPr>
        <w:t>0</w:t>
      </w:r>
      <w:r w:rsidR="00D11A2A" w:rsidRPr="00211B91">
        <w:rPr>
          <w:rFonts w:ascii="Arial" w:eastAsia="DengXian" w:hAnsi="Arial" w:cs="Arial" w:hint="eastAsia"/>
          <w:i w:val="0"/>
          <w:snapToGrid/>
          <w:color w:val="auto"/>
          <w:szCs w:val="24"/>
          <w:lang w:eastAsia="en-US" w:bidi="ar-SA"/>
        </w:rPr>
        <w:t>1</w:t>
      </w:r>
      <w:r w:rsidR="00D11A2A" w:rsidRPr="00211B91">
        <w:rPr>
          <w:rFonts w:ascii="Arial" w:eastAsia="DengXian" w:hAnsi="Arial" w:cs="Arial"/>
          <w:i w:val="0"/>
          <w:snapToGrid/>
          <w:color w:val="auto"/>
          <w:szCs w:val="24"/>
          <w:lang w:eastAsia="en-US" w:bidi="ar-SA"/>
        </w:rPr>
        <w:t>.</w:t>
      </w:r>
      <w:r w:rsidR="00D11A2A" w:rsidRPr="00211B91">
        <w:rPr>
          <w:color w:val="auto"/>
        </w:rPr>
        <w:t xml:space="preserve"> </w:t>
      </w:r>
      <w:r w:rsidR="00D11A2A" w:rsidRPr="00211B91">
        <w:rPr>
          <w:rFonts w:ascii="Arial" w:eastAsia="DengXian" w:hAnsi="Arial" w:cs="Arial"/>
          <w:b/>
          <w:bCs/>
          <w:i w:val="0"/>
          <w:snapToGrid/>
          <w:color w:val="auto"/>
          <w:szCs w:val="24"/>
          <w:lang w:eastAsia="en-US" w:bidi="ar-SA"/>
        </w:rPr>
        <w:t>Abbreviations</w:t>
      </w:r>
      <w:r w:rsidR="00D11A2A" w:rsidRPr="00211B91">
        <w:rPr>
          <w:rFonts w:ascii="Arial" w:eastAsia="DengXian" w:hAnsi="Arial" w:cs="Arial"/>
          <w:i w:val="0"/>
          <w:snapToGrid/>
          <w:color w:val="auto"/>
          <w:szCs w:val="24"/>
          <w:lang w:eastAsia="en-US" w:bidi="ar-SA"/>
        </w:rPr>
        <w:t>:</w:t>
      </w:r>
      <w:r w:rsidR="00D11A2A" w:rsidRPr="00211B91">
        <w:rPr>
          <w:rFonts w:ascii="Arial" w:eastAsia="DengXian" w:hAnsi="Arial" w:cs="Arial"/>
          <w:snapToGrid/>
          <w:color w:val="auto"/>
          <w:szCs w:val="20"/>
          <w:lang w:eastAsia="en-US" w:bidi="ar-SA"/>
        </w:rPr>
        <w:t xml:space="preserve"> </w:t>
      </w:r>
      <w:r w:rsidR="00D11A2A" w:rsidRPr="00211B91">
        <w:rPr>
          <w:rFonts w:ascii="Arial" w:eastAsia="DengXian" w:hAnsi="Arial" w:cs="Arial"/>
          <w:i w:val="0"/>
          <w:snapToGrid/>
          <w:color w:val="auto"/>
          <w:szCs w:val="24"/>
          <w:lang w:eastAsia="en-US" w:bidi="ar-SA"/>
        </w:rPr>
        <w:t>HOMA-IR, homeostatic model assessment of insulin resistance; BMI, Body Mass Index; AMH, anti-mullerian hormone; AFC, antral follicle count; FSH, follicle stimulating hormone; FINS, fasting serum insulin; FPG, fasting plasma glucose;</w:t>
      </w:r>
      <w:r w:rsidR="00D11A2A" w:rsidRPr="00211B91">
        <w:rPr>
          <w:color w:val="auto"/>
        </w:rPr>
        <w:t xml:space="preserve"> </w:t>
      </w:r>
      <w:r w:rsidR="00D11A2A" w:rsidRPr="00211B91">
        <w:rPr>
          <w:rFonts w:ascii="Arial" w:eastAsia="DengXian" w:hAnsi="Arial" w:cs="Arial"/>
          <w:i w:val="0"/>
          <w:snapToGrid/>
          <w:color w:val="auto"/>
          <w:szCs w:val="24"/>
          <w:lang w:eastAsia="en-US" w:bidi="ar-SA"/>
        </w:rPr>
        <w:t>Gn, gonadotropin.</w:t>
      </w:r>
    </w:p>
    <w:p w14:paraId="68164799" w14:textId="008E4C76" w:rsidR="00C56DC4" w:rsidRPr="00211B91" w:rsidRDefault="00C56DC4"/>
    <w:p w14:paraId="6E17EC6F" w14:textId="178C10F4" w:rsidR="00211B91" w:rsidRPr="00211B91" w:rsidRDefault="00E37479">
      <w:r>
        <w:rPr>
          <w:noProof/>
        </w:rPr>
        <w:lastRenderedPageBreak/>
        <w:drawing>
          <wp:inline distT="0" distB="0" distL="0" distR="0" wp14:anchorId="36C73D93" wp14:editId="6BACFE66">
            <wp:extent cx="5274310" cy="6856730"/>
            <wp:effectExtent l="0" t="0" r="254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6856730"/>
                    </a:xfrm>
                    <a:prstGeom prst="rect">
                      <a:avLst/>
                    </a:prstGeom>
                    <a:noFill/>
                    <a:ln>
                      <a:noFill/>
                    </a:ln>
                  </pic:spPr>
                </pic:pic>
              </a:graphicData>
            </a:graphic>
          </wp:inline>
        </w:drawing>
      </w:r>
    </w:p>
    <w:p w14:paraId="0B81380B" w14:textId="77777777" w:rsidR="00211B91" w:rsidRPr="00211B91" w:rsidRDefault="00211B91" w:rsidP="00211B91">
      <w:pPr>
        <w:pStyle w:val="MDPI81theorem"/>
        <w:spacing w:before="240" w:after="240"/>
        <w:ind w:left="0"/>
        <w:rPr>
          <w:rFonts w:ascii="Arial" w:eastAsia="DengXian" w:hAnsi="Arial" w:cs="Arial"/>
          <w:b/>
          <w:bCs/>
          <w:i w:val="0"/>
          <w:snapToGrid/>
          <w:color w:val="auto"/>
          <w:szCs w:val="24"/>
          <w:lang w:eastAsia="en-US" w:bidi="ar-SA"/>
        </w:rPr>
      </w:pPr>
      <w:r w:rsidRPr="00211B91">
        <w:rPr>
          <w:rFonts w:ascii="Arial" w:eastAsia="DengXian" w:hAnsi="Arial" w:cs="Arial"/>
          <w:b/>
          <w:bCs/>
          <w:i w:val="0"/>
          <w:snapToGrid/>
          <w:color w:val="auto"/>
          <w:szCs w:val="24"/>
          <w:lang w:eastAsia="en-US" w:bidi="ar-SA"/>
        </w:rPr>
        <w:t xml:space="preserve">Supplementary Figure S2 </w:t>
      </w:r>
      <w:r w:rsidRPr="00211B91">
        <w:rPr>
          <w:rFonts w:ascii="Arial" w:eastAsia="DengXian" w:hAnsi="Arial" w:cs="Arial"/>
          <w:i w:val="0"/>
          <w:snapToGrid/>
          <w:color w:val="auto"/>
          <w:szCs w:val="24"/>
          <w:lang w:eastAsia="en-US" w:bidi="ar-SA"/>
        </w:rPr>
        <w:t xml:space="preserve">The post hoc analysis of qualitative clinical data in HOMA-IR quartile groups. (A) the post hoc analysis of percentages of primary infertility. (B) the post hoc analysis of percentages of PCOS. (C) the post hoc analysis of percentages of tubal factors. (D) the post hoc analysis of percentages of male factors. (E) the post hoc analysis of percentages of endometriosis. </w:t>
      </w:r>
      <w:r w:rsidRPr="00211B91">
        <w:rPr>
          <w:rFonts w:ascii="Arial" w:eastAsia="DengXian" w:hAnsi="Arial" w:cs="Arial"/>
          <w:b/>
          <w:bCs/>
          <w:i w:val="0"/>
          <w:snapToGrid/>
          <w:color w:val="auto"/>
          <w:szCs w:val="24"/>
          <w:lang w:eastAsia="en-US" w:bidi="ar-SA"/>
        </w:rPr>
        <w:t>Note</w:t>
      </w:r>
      <w:r w:rsidRPr="00211B91">
        <w:rPr>
          <w:rFonts w:ascii="Arial" w:eastAsia="DengXian" w:hAnsi="Arial" w:cs="Arial"/>
          <w:i w:val="0"/>
          <w:snapToGrid/>
          <w:color w:val="auto"/>
          <w:szCs w:val="24"/>
          <w:lang w:eastAsia="en-US" w:bidi="ar-SA"/>
        </w:rPr>
        <w:t>:</w:t>
      </w:r>
      <w:r w:rsidRPr="00211B91">
        <w:rPr>
          <w:rFonts w:ascii="MS Gothic" w:eastAsia="MS Gothic" w:hAnsi="MS Gothic" w:cs="MS Gothic" w:hint="eastAsia"/>
          <w:i w:val="0"/>
          <w:snapToGrid/>
          <w:color w:val="auto"/>
          <w:szCs w:val="24"/>
          <w:lang w:eastAsia="en-US" w:bidi="ar-SA"/>
        </w:rPr>
        <w:t xml:space="preserve"> ∗</w:t>
      </w:r>
      <w:r w:rsidRPr="00211B91">
        <w:rPr>
          <w:rFonts w:ascii="Arial" w:eastAsia="DengXian" w:hAnsi="Arial" w:cs="Arial"/>
          <w:iCs/>
          <w:snapToGrid/>
          <w:color w:val="auto"/>
          <w:szCs w:val="24"/>
          <w:lang w:eastAsia="en-US" w:bidi="ar-SA"/>
        </w:rPr>
        <w:t>p</w:t>
      </w:r>
      <w:r w:rsidRPr="00211B91">
        <w:rPr>
          <w:rFonts w:ascii="Arial" w:eastAsia="DengXian" w:hAnsi="Arial" w:cs="Arial"/>
          <w:i w:val="0"/>
          <w:snapToGrid/>
          <w:color w:val="auto"/>
          <w:szCs w:val="24"/>
          <w:lang w:eastAsia="en-US" w:bidi="ar-SA"/>
        </w:rPr>
        <w:t xml:space="preserve"> &lt; 0.05. </w:t>
      </w:r>
      <w:r w:rsidRPr="00211B91">
        <w:rPr>
          <w:rFonts w:ascii="Arial" w:eastAsia="DengXian" w:hAnsi="Arial" w:cs="Arial"/>
          <w:b/>
          <w:bCs/>
          <w:i w:val="0"/>
          <w:snapToGrid/>
          <w:color w:val="auto"/>
          <w:szCs w:val="24"/>
          <w:lang w:eastAsia="en-US" w:bidi="ar-SA"/>
        </w:rPr>
        <w:t>Abbreviations</w:t>
      </w:r>
      <w:r w:rsidRPr="00211B91">
        <w:rPr>
          <w:rFonts w:ascii="Arial" w:eastAsia="DengXian" w:hAnsi="Arial" w:cs="Arial"/>
          <w:i w:val="0"/>
          <w:snapToGrid/>
          <w:color w:val="auto"/>
          <w:szCs w:val="24"/>
          <w:lang w:eastAsia="en-US" w:bidi="ar-SA"/>
        </w:rPr>
        <w:t>:</w:t>
      </w:r>
      <w:r w:rsidRPr="00211B91">
        <w:rPr>
          <w:rFonts w:ascii="Arial" w:eastAsia="DengXian" w:hAnsi="Arial" w:cs="Arial"/>
          <w:snapToGrid/>
          <w:color w:val="auto"/>
          <w:szCs w:val="20"/>
          <w:lang w:eastAsia="en-US" w:bidi="ar-SA"/>
        </w:rPr>
        <w:t xml:space="preserve"> </w:t>
      </w:r>
      <w:r w:rsidRPr="00211B91">
        <w:rPr>
          <w:rFonts w:ascii="Arial" w:eastAsia="DengXian" w:hAnsi="Arial" w:cs="Arial"/>
          <w:i w:val="0"/>
          <w:snapToGrid/>
          <w:color w:val="auto"/>
          <w:szCs w:val="24"/>
          <w:lang w:eastAsia="en-US" w:bidi="ar-SA"/>
        </w:rPr>
        <w:t>HOMA-IR, homeostatic model assessment of insulin resistance; PCOS, polycystic ovary syndrome.</w:t>
      </w:r>
    </w:p>
    <w:p w14:paraId="0784C4DE" w14:textId="77777777" w:rsidR="00211B91" w:rsidRPr="00211B91" w:rsidRDefault="00211B91"/>
    <w:sectPr w:rsidR="00211B91" w:rsidRPr="00211B9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277D" w14:textId="77777777" w:rsidR="00515EAA" w:rsidRDefault="00515EAA" w:rsidP="00D11A2A">
      <w:pPr>
        <w:spacing w:line="240" w:lineRule="auto"/>
      </w:pPr>
      <w:r>
        <w:separator/>
      </w:r>
    </w:p>
  </w:endnote>
  <w:endnote w:type="continuationSeparator" w:id="0">
    <w:p w14:paraId="0131FB59" w14:textId="77777777" w:rsidR="00515EAA" w:rsidRDefault="00515EAA" w:rsidP="00D11A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EC7B" w14:textId="08A853A2" w:rsidR="00211B91" w:rsidRDefault="00211B91">
    <w:pPr>
      <w:pStyle w:val="Footer"/>
    </w:pPr>
    <w:r>
      <w:rPr>
        <w:noProof/>
        <w14:ligatures w14:val="standardContextual"/>
      </w:rPr>
      <mc:AlternateContent>
        <mc:Choice Requires="wps">
          <w:drawing>
            <wp:anchor distT="0" distB="0" distL="114300" distR="114300" simplePos="0" relativeHeight="251659264" behindDoc="0" locked="0" layoutInCell="0" allowOverlap="1" wp14:anchorId="3C9D2D77" wp14:editId="34031813">
              <wp:simplePos x="0" y="0"/>
              <wp:positionH relativeFrom="page">
                <wp:posOffset>0</wp:posOffset>
              </wp:positionH>
              <wp:positionV relativeFrom="page">
                <wp:posOffset>10237470</wp:posOffset>
              </wp:positionV>
              <wp:extent cx="7560310" cy="263525"/>
              <wp:effectExtent l="0" t="0" r="0" b="3175"/>
              <wp:wrapNone/>
              <wp:docPr id="1" name="MSIPCM8d9e4fbe9e95fa3c77598cb4" descr="{&quot;HashCode&quot;:-13484030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5079ED" w14:textId="4F2C71F3" w:rsidR="00211B91" w:rsidRPr="00211B91" w:rsidRDefault="00211B91" w:rsidP="00211B91">
                          <w:pPr>
                            <w:rPr>
                              <w:rFonts w:ascii="Rockwell" w:hAnsi="Rockwell"/>
                              <w:color w:val="0078D7"/>
                              <w:sz w:val="18"/>
                            </w:rPr>
                          </w:pPr>
                          <w:r w:rsidRPr="00211B91">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9D2D77" id="_x0000_t202" coordsize="21600,21600" o:spt="202" path="m,l,21600r21600,l21600,xe">
              <v:stroke joinstyle="miter"/>
              <v:path gradientshapeok="t" o:connecttype="rect"/>
            </v:shapetype>
            <v:shape id="MSIPCM8d9e4fbe9e95fa3c77598cb4" o:spid="_x0000_s1026" type="#_x0000_t202" alt="{&quot;HashCode&quot;:-1348403003,&quot;Height&quot;:841.0,&quot;Width&quot;:595.0,&quot;Placement&quot;:&quot;Footer&quot;,&quot;Index&quot;:&quot;Primary&quot;,&quot;Section&quot;:1,&quot;Top&quot;:0.0,&quot;Left&quot;:0.0}" style="position:absolute;margin-left:0;margin-top:806.1pt;width:595.3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" o:allowincell="f" filled="f" stroked="f" strokeweight=".5pt">
              <v:fill o:detectmouseclick="t"/>
              <v:textbox inset="20pt,0,,0">
                <w:txbxContent>
                  <w:p w14:paraId="3B5079ED" w14:textId="4F2C71F3" w:rsidR="00211B91" w:rsidRPr="00211B91" w:rsidRDefault="00211B91" w:rsidP="00211B91">
                    <w:pPr>
                      <w:rPr>
                        <w:rFonts w:ascii="Rockwell" w:hAnsi="Rockwell"/>
                        <w:color w:val="0078D7"/>
                        <w:sz w:val="18"/>
                      </w:rPr>
                    </w:pPr>
                    <w:r w:rsidRPr="00211B91">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28C4" w14:textId="77777777" w:rsidR="00515EAA" w:rsidRDefault="00515EAA" w:rsidP="00D11A2A">
      <w:pPr>
        <w:spacing w:line="240" w:lineRule="auto"/>
      </w:pPr>
      <w:r>
        <w:separator/>
      </w:r>
    </w:p>
  </w:footnote>
  <w:footnote w:type="continuationSeparator" w:id="0">
    <w:p w14:paraId="77E58B5A" w14:textId="77777777" w:rsidR="00515EAA" w:rsidRDefault="00515EAA" w:rsidP="00D11A2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C4"/>
    <w:rsid w:val="001F4F37"/>
    <w:rsid w:val="00211B91"/>
    <w:rsid w:val="002B752C"/>
    <w:rsid w:val="004858F2"/>
    <w:rsid w:val="004F22E6"/>
    <w:rsid w:val="00515EAA"/>
    <w:rsid w:val="006429F8"/>
    <w:rsid w:val="00C56DC4"/>
    <w:rsid w:val="00D11A2A"/>
    <w:rsid w:val="00E37479"/>
    <w:rsid w:val="00F51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33B70"/>
  <w15:chartTrackingRefBased/>
  <w15:docId w15:val="{859C889E-FD62-44C4-BDC7-974F8080E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A2A"/>
    <w:pPr>
      <w:spacing w:line="480" w:lineRule="auto"/>
    </w:pPr>
    <w:rPr>
      <w:rFonts w:ascii="Arial" w:eastAsia="DengXian" w:hAnsi="Arial" w:cs="Times New Roman"/>
      <w:kern w:val="0"/>
      <w:sz w:val="20"/>
      <w:szCs w:val="24"/>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1A2A"/>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kern w:val="2"/>
      <w:sz w:val="18"/>
      <w:szCs w:val="18"/>
      <w:lang w:eastAsia="zh-CN"/>
    </w:rPr>
  </w:style>
  <w:style w:type="character" w:customStyle="1" w:styleId="HeaderChar">
    <w:name w:val="Header Char"/>
    <w:basedOn w:val="DefaultParagraphFont"/>
    <w:link w:val="Header"/>
    <w:uiPriority w:val="99"/>
    <w:rsid w:val="00D11A2A"/>
    <w:rPr>
      <w:sz w:val="18"/>
      <w:szCs w:val="18"/>
      <w14:ligatures w14:val="none"/>
    </w:rPr>
  </w:style>
  <w:style w:type="paragraph" w:styleId="Footer">
    <w:name w:val="footer"/>
    <w:basedOn w:val="Normal"/>
    <w:link w:val="FooterChar"/>
    <w:uiPriority w:val="99"/>
    <w:unhideWhenUsed/>
    <w:rsid w:val="00D11A2A"/>
    <w:pPr>
      <w:widowControl w:val="0"/>
      <w:tabs>
        <w:tab w:val="center" w:pos="4153"/>
        <w:tab w:val="right" w:pos="8306"/>
      </w:tabs>
      <w:snapToGrid w:val="0"/>
      <w:spacing w:line="240" w:lineRule="auto"/>
    </w:pPr>
    <w:rPr>
      <w:rFonts w:asciiTheme="minorHAnsi" w:eastAsiaTheme="minorEastAsia" w:hAnsiTheme="minorHAnsi" w:cstheme="minorBidi"/>
      <w:kern w:val="2"/>
      <w:sz w:val="18"/>
      <w:szCs w:val="18"/>
      <w:lang w:eastAsia="zh-CN"/>
    </w:rPr>
  </w:style>
  <w:style w:type="character" w:customStyle="1" w:styleId="FooterChar">
    <w:name w:val="Footer Char"/>
    <w:basedOn w:val="DefaultParagraphFont"/>
    <w:link w:val="Footer"/>
    <w:uiPriority w:val="99"/>
    <w:rsid w:val="00D11A2A"/>
    <w:rPr>
      <w:sz w:val="18"/>
      <w:szCs w:val="18"/>
      <w14:ligatures w14:val="none"/>
    </w:rPr>
  </w:style>
  <w:style w:type="paragraph" w:customStyle="1" w:styleId="MDPI81theorem">
    <w:name w:val="MDPI_8.1_theorem"/>
    <w:qFormat/>
    <w:rsid w:val="00D11A2A"/>
    <w:pPr>
      <w:adjustRightInd w:val="0"/>
      <w:snapToGrid w:val="0"/>
      <w:spacing w:line="228" w:lineRule="auto"/>
      <w:ind w:left="2608"/>
      <w:jc w:val="both"/>
    </w:pPr>
    <w:rPr>
      <w:rFonts w:ascii="Palatino Linotype" w:eastAsia="Times New Roman" w:hAnsi="Palatino Linotype" w:cs="Times New Roman"/>
      <w:i/>
      <w:snapToGrid w:val="0"/>
      <w:color w:val="000000"/>
      <w:kern w:val="0"/>
      <w:sz w:val="20"/>
      <w:lang w:eastAsia="de-DE" w:bidi="en-US"/>
      <w14:ligatures w14:val="none"/>
    </w:rPr>
  </w:style>
  <w:style w:type="character" w:styleId="CommentReference">
    <w:name w:val="annotation reference"/>
    <w:rsid w:val="00D11A2A"/>
    <w:rPr>
      <w:sz w:val="21"/>
      <w:szCs w:val="21"/>
    </w:rPr>
  </w:style>
  <w:style w:type="paragraph" w:styleId="CommentText">
    <w:name w:val="annotation text"/>
    <w:basedOn w:val="Normal"/>
    <w:link w:val="CommentTextChar"/>
    <w:rsid w:val="00D11A2A"/>
  </w:style>
  <w:style w:type="character" w:customStyle="1" w:styleId="CommentTextChar">
    <w:name w:val="Comment Text Char"/>
    <w:basedOn w:val="DefaultParagraphFont"/>
    <w:link w:val="CommentText"/>
    <w:rsid w:val="00D11A2A"/>
    <w:rPr>
      <w:rFonts w:ascii="Arial" w:eastAsia="DengXian" w:hAnsi="Arial" w:cs="Times New Roman"/>
      <w:kern w:val="0"/>
      <w:sz w:val="20"/>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242</Words>
  <Characters>1383</Characters>
  <Application>Microsoft Office Word</Application>
  <DocSecurity>0</DocSecurity>
  <Lines>11</Lines>
  <Paragraphs>3</Paragraphs>
  <ScaleCrop>false</ScaleCrop>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1162031398@qq.com</dc:creator>
  <cp:keywords/>
  <dc:description/>
  <cp:lastModifiedBy>Bartle, Claudia</cp:lastModifiedBy>
  <cp:revision>7</cp:revision>
  <dcterms:created xsi:type="dcterms:W3CDTF">2023-01-20T03:09:00Z</dcterms:created>
  <dcterms:modified xsi:type="dcterms:W3CDTF">2023-01-22T18:31:00Z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2023-01-22T18:31:19Z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ecb47574-4521-4614-a6d0-157bb22172e7</vt:lpwstr>
  </property>
  <property fmtid="{D5CDD505-2E9C-101B-9397-08002B2CF9AE}" pid="8" name="MSIP_Label_2bbab825-a111-45e4-86a1-18cee0005896_ContentBits">
    <vt:lpwstr>2</vt:lpwstr>
  </property>
</Properties>
</file>