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B062" w14:textId="77777777" w:rsidR="000A0840" w:rsidRPr="00C801D5" w:rsidRDefault="000A0840" w:rsidP="00A5350A">
      <w:pPr>
        <w:spacing w:afterLines="50" w:after="156"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Style w:val="fontstyle01"/>
          <w:rFonts w:ascii="Arial" w:hAnsi="Arial" w:cs="Arial"/>
          <w:sz w:val="20"/>
          <w:szCs w:val="20"/>
        </w:rPr>
        <w:t>Supplementary</w:t>
      </w:r>
      <w:r w:rsidRPr="00C801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1D5">
        <w:rPr>
          <w:rFonts w:ascii="Arial" w:hAnsi="Arial" w:cs="Arial"/>
          <w:b/>
          <w:color w:val="000000"/>
          <w:sz w:val="20"/>
          <w:szCs w:val="20"/>
        </w:rPr>
        <w:t>Table</w:t>
      </w:r>
      <w:r w:rsidR="00F67329" w:rsidRPr="00C801D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801D5">
        <w:rPr>
          <w:rFonts w:ascii="Arial" w:hAnsi="Arial" w:cs="Arial"/>
          <w:b/>
          <w:color w:val="000000"/>
          <w:sz w:val="20"/>
          <w:szCs w:val="20"/>
        </w:rPr>
        <w:t>1</w:t>
      </w:r>
      <w:r w:rsidRPr="00C801D5">
        <w:rPr>
          <w:rFonts w:ascii="Arial" w:hAnsi="Arial" w:cs="Arial"/>
          <w:color w:val="000000"/>
          <w:sz w:val="20"/>
          <w:szCs w:val="20"/>
        </w:rPr>
        <w:t>. The positive pathogen results of Patients in the Development Dataset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4268"/>
        <w:gridCol w:w="1732"/>
        <w:gridCol w:w="2804"/>
      </w:tblGrid>
      <w:tr w:rsidR="000A0840" w:rsidRPr="00C801D5" w14:paraId="061D89B5" w14:textId="77777777" w:rsidTr="00890CD6">
        <w:trPr>
          <w:trHeight w:hRule="exact" w:val="397"/>
        </w:trPr>
        <w:tc>
          <w:tcPr>
            <w:tcW w:w="42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287BFE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Pathogen [No. (%)]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9715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Without PJP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63E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With PJP</w:t>
            </w:r>
          </w:p>
        </w:tc>
      </w:tr>
      <w:tr w:rsidR="000A0840" w:rsidRPr="00C801D5" w14:paraId="2050FA10" w14:textId="77777777" w:rsidTr="00890CD6">
        <w:trPr>
          <w:trHeight w:hRule="exact" w:val="397"/>
        </w:trPr>
        <w:tc>
          <w:tcPr>
            <w:tcW w:w="42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6388580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6417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(n=343)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E9398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(n=110)</w:t>
            </w:r>
          </w:p>
        </w:tc>
      </w:tr>
      <w:tr w:rsidR="000A0840" w:rsidRPr="00C801D5" w14:paraId="06C00079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6019E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Burkholderia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8E10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 (4.01)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D2F6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 (4.55)</w:t>
            </w:r>
          </w:p>
        </w:tc>
      </w:tr>
      <w:tr w:rsidR="000A0840" w:rsidRPr="00C801D5" w14:paraId="2A179B90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EE013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Legionella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702A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 (1.85)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D08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7746DB97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7ADB7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Escherichia coli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02D7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 (3.70)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DA60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548DDE35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31E86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Haemophilus influenzae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6DF7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(0.31)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7712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178EB2B2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71B1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Streptococcus pneumoniae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0765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(0.93)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95FD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 (0.00)</w:t>
            </w:r>
          </w:p>
        </w:tc>
      </w:tr>
      <w:tr w:rsidR="000A0840" w:rsidRPr="00C801D5" w14:paraId="485743D6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A063E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Staphylococcus aureus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E5F7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(2.16)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194D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(1.82)</w:t>
            </w:r>
          </w:p>
        </w:tc>
      </w:tr>
      <w:tr w:rsidR="000A0840" w:rsidRPr="00C801D5" w14:paraId="7135D5B9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232C5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Stenotrophomonas maltophilia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29B1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(2.16)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48DE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16E2D1F3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51A8F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Enterobacter cloacae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8BFA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 (1.23)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C81F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67C5D905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D1C5D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Nocardia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5E16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 (1.85)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4AFB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(1.82)</w:t>
            </w:r>
          </w:p>
        </w:tc>
      </w:tr>
      <w:tr w:rsidR="000A0840" w:rsidRPr="00C801D5" w14:paraId="5C075B2A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370FB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Pseudomonas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210B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32 (9.88)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7496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(7.27)</w:t>
            </w:r>
          </w:p>
        </w:tc>
      </w:tr>
      <w:tr w:rsidR="000A0840" w:rsidRPr="00C801D5" w14:paraId="3AE409CE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1524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Klebsiella pneumoniae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E0A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30 (9.26)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9B7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(6.36)</w:t>
            </w:r>
          </w:p>
        </w:tc>
      </w:tr>
      <w:tr w:rsidR="000A0840" w:rsidRPr="00C801D5" w14:paraId="6A8A6277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8EFD0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Acinetobacter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4DF7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 (8.95)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CECE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 (9.09)</w:t>
            </w:r>
          </w:p>
        </w:tc>
      </w:tr>
      <w:tr w:rsidR="000A0840" w:rsidRPr="00C801D5" w14:paraId="71B168D2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60A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Enterococcus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9807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(0.93)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2819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05095472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F35A1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Cytomegalovirus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9265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89(27.47)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0FB6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59 (53.64)</w:t>
            </w:r>
          </w:p>
        </w:tc>
      </w:tr>
      <w:tr w:rsidR="000A0840" w:rsidRPr="00C801D5" w14:paraId="08AC3868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94B8A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Influenza A 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3DAD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33(10.19)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ECDD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(2.73)</w:t>
            </w:r>
          </w:p>
        </w:tc>
      </w:tr>
      <w:tr w:rsidR="000A0840" w:rsidRPr="00C801D5" w14:paraId="3103AF7F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CAC32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Influenza B 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6DFC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(2.47)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347B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(2.73)</w:t>
            </w:r>
          </w:p>
        </w:tc>
      </w:tr>
      <w:tr w:rsidR="000A0840" w:rsidRPr="00C801D5" w14:paraId="0B5D64AC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05773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Respiratory syncytial 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7DF7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36(11.11)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3FE3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56FC1DCC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BCD4A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Adenovirus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F54B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(0.62)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1642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 (0.00)</w:t>
            </w:r>
          </w:p>
        </w:tc>
      </w:tr>
      <w:tr w:rsidR="000A0840" w:rsidRPr="00C801D5" w14:paraId="7D17EB1D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FF357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Parainfluenza 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712B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 (5.25)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4F21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(0.91)</w:t>
            </w:r>
          </w:p>
        </w:tc>
      </w:tr>
      <w:tr w:rsidR="000A0840" w:rsidRPr="00C801D5" w14:paraId="1C9BB3C9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3AF6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Herpes simplex virus type 1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D8DB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(0.31)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16F6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(1.82)</w:t>
            </w:r>
          </w:p>
        </w:tc>
      </w:tr>
      <w:tr w:rsidR="000A0840" w:rsidRPr="00C801D5" w14:paraId="11C59873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CF90B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Epstein-Barr 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AD85D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 (6.48)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B388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 (14.55)</w:t>
            </w:r>
          </w:p>
        </w:tc>
      </w:tr>
      <w:tr w:rsidR="000A0840" w:rsidRPr="00C801D5" w14:paraId="6AA39673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626BA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Rhinovirus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9B3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(0.93)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676AC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(1.82)</w:t>
            </w:r>
          </w:p>
        </w:tc>
      </w:tr>
      <w:tr w:rsidR="000A0840" w:rsidRPr="00C801D5" w14:paraId="0D1D0A7B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F9E42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Mycoplasma pneumoniae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713B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(0.31)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BD66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(1.82)</w:t>
            </w:r>
          </w:p>
        </w:tc>
      </w:tr>
      <w:tr w:rsidR="000A0840" w:rsidRPr="00C801D5" w14:paraId="5936F672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7DB17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Aspergillus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CC2F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44(13.58)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1689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 (10.91)</w:t>
            </w:r>
          </w:p>
        </w:tc>
      </w:tr>
      <w:tr w:rsidR="000A0840" w:rsidRPr="00C801D5" w14:paraId="46F89E3D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96216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Cryptococcus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4A45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(0.62)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12F8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 (0.00)</w:t>
            </w:r>
          </w:p>
        </w:tc>
      </w:tr>
      <w:tr w:rsidR="000A0840" w:rsidRPr="00C801D5" w14:paraId="5DE05B5C" w14:textId="77777777" w:rsidTr="00890CD6">
        <w:trPr>
          <w:trHeight w:hRule="exact" w:val="397"/>
        </w:trPr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B6858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Mycobacterium tuberculosis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EDE2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(2.16)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E0E8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 (0.00)</w:t>
            </w:r>
          </w:p>
        </w:tc>
      </w:tr>
    </w:tbl>
    <w:p w14:paraId="031DBE1B" w14:textId="77777777" w:rsidR="000A0840" w:rsidRPr="00C801D5" w:rsidRDefault="000A0840" w:rsidP="00A5350A">
      <w:pPr>
        <w:widowControl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C801D5">
        <w:rPr>
          <w:rFonts w:ascii="Arial" w:hAnsi="Arial" w:cs="Arial"/>
          <w:color w:val="000000"/>
          <w:sz w:val="20"/>
          <w:szCs w:val="20"/>
        </w:rPr>
        <w:br w:type="page"/>
      </w:r>
    </w:p>
    <w:p w14:paraId="2712B194" w14:textId="77777777" w:rsidR="000A0840" w:rsidRPr="00C801D5" w:rsidRDefault="000A0840" w:rsidP="00A5350A">
      <w:pPr>
        <w:widowControl/>
        <w:spacing w:afterLines="50" w:after="156" w:line="36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C801D5">
        <w:rPr>
          <w:rStyle w:val="fontstyle01"/>
          <w:rFonts w:ascii="Arial" w:hAnsi="Arial" w:cs="Arial"/>
          <w:sz w:val="20"/>
          <w:szCs w:val="20"/>
        </w:rPr>
        <w:lastRenderedPageBreak/>
        <w:t>Supplementary</w:t>
      </w:r>
      <w:r w:rsidRPr="00C801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1D5">
        <w:rPr>
          <w:rFonts w:ascii="Arial" w:eastAsia="SimSun" w:hAnsi="Arial" w:cs="Arial"/>
          <w:b/>
          <w:color w:val="000000"/>
          <w:kern w:val="0"/>
          <w:sz w:val="20"/>
          <w:szCs w:val="20"/>
        </w:rPr>
        <w:t>Table 2</w:t>
      </w:r>
      <w:r w:rsidRPr="00C801D5">
        <w:rPr>
          <w:rFonts w:ascii="Arial" w:eastAsia="SimSun" w:hAnsi="Arial" w:cs="Arial"/>
          <w:color w:val="000000"/>
          <w:kern w:val="0"/>
          <w:sz w:val="20"/>
          <w:szCs w:val="20"/>
        </w:rPr>
        <w:t>. Clinical Variables among Patients in the Validation Group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3701"/>
        <w:gridCol w:w="2268"/>
        <w:gridCol w:w="2551"/>
      </w:tblGrid>
      <w:tr w:rsidR="000A0840" w:rsidRPr="00C801D5" w14:paraId="28DB78AF" w14:textId="77777777" w:rsidTr="00A5350A">
        <w:trPr>
          <w:trHeight w:hRule="exact" w:val="517"/>
        </w:trPr>
        <w:tc>
          <w:tcPr>
            <w:tcW w:w="3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335536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Variables</w:t>
            </w:r>
            <w:r w:rsidR="00C86D4C"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[mean ± SD or No. (%)]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8A5F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Without PJP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330F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With PJP</w:t>
            </w:r>
          </w:p>
        </w:tc>
      </w:tr>
      <w:tr w:rsidR="000A0840" w:rsidRPr="00C801D5" w14:paraId="5A6E1A20" w14:textId="77777777" w:rsidTr="00A5350A">
        <w:trPr>
          <w:trHeight w:hRule="exact" w:val="538"/>
        </w:trPr>
        <w:tc>
          <w:tcPr>
            <w:tcW w:w="3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6B1A78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459E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(n=79)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9E2C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(n=40)</w:t>
            </w:r>
          </w:p>
        </w:tc>
      </w:tr>
      <w:tr w:rsidR="000A0840" w:rsidRPr="00C801D5" w14:paraId="2A39D31A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D270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FE70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49.86 ± 18.49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DDD9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49.45 ± 13.69</w:t>
            </w:r>
          </w:p>
        </w:tc>
      </w:tr>
      <w:tr w:rsidR="000A0840" w:rsidRPr="00C801D5" w14:paraId="1ADD532D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549B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Lymphocytes count, ×10</w:t>
            </w: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E6EB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2.10 ± 4.07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A22F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0.81 ± 1.11</w:t>
            </w:r>
          </w:p>
        </w:tc>
      </w:tr>
      <w:tr w:rsidR="000A0840" w:rsidRPr="00C801D5" w14:paraId="13C9AE8B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CA437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Fever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494A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 (27.85)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830EC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 (50.00)</w:t>
            </w:r>
          </w:p>
        </w:tc>
      </w:tr>
      <w:tr w:rsidR="000A0840" w:rsidRPr="00C801D5" w14:paraId="56B08006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9D80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Dry cough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21E2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 (18.99)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A7C5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 (27.50)</w:t>
            </w:r>
          </w:p>
        </w:tc>
      </w:tr>
      <w:tr w:rsidR="000A0840" w:rsidRPr="00C801D5" w14:paraId="6E1BAB12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C5A65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Respiratory failure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4A3F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(1.27)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31B5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 (45.00)</w:t>
            </w:r>
          </w:p>
        </w:tc>
      </w:tr>
      <w:tr w:rsidR="000A0840" w:rsidRPr="00C801D5" w14:paraId="34A727A4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EB7AB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GGO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8E4C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 (18.99)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D6EF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27 (67.50)</w:t>
            </w:r>
          </w:p>
        </w:tc>
      </w:tr>
      <w:tr w:rsidR="000A0840" w:rsidRPr="00C801D5" w14:paraId="33D6B2E8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8889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Steroid therapy (≥1 year)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D8DD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 (50.63)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F0F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(20.00)</w:t>
            </w:r>
          </w:p>
        </w:tc>
      </w:tr>
      <w:tr w:rsidR="000A0840" w:rsidRPr="00C801D5" w14:paraId="50622C68" w14:textId="77777777" w:rsidTr="00C86D4C">
        <w:trPr>
          <w:trHeight w:hRule="exact" w:val="397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A4832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Immunosuppressive agents therapy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07EC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28 (35.44)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9D7A1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 (65.00)</w:t>
            </w:r>
          </w:p>
        </w:tc>
      </w:tr>
    </w:tbl>
    <w:p w14:paraId="614E8060" w14:textId="77777777" w:rsidR="000A0840" w:rsidRPr="00C801D5" w:rsidRDefault="000A0840" w:rsidP="00A5350A">
      <w:pPr>
        <w:spacing w:beforeLines="50" w:before="156"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Fonts w:ascii="Arial" w:hAnsi="Arial" w:cs="Arial"/>
          <w:color w:val="000000"/>
          <w:sz w:val="20"/>
          <w:szCs w:val="20"/>
        </w:rPr>
        <w:t>GGO, Ground-glass opacity.</w:t>
      </w:r>
    </w:p>
    <w:p w14:paraId="1B9FC09D" w14:textId="77777777" w:rsidR="000A0840" w:rsidRPr="00C801D5" w:rsidRDefault="000A0840" w:rsidP="00A5350A">
      <w:pPr>
        <w:widowControl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C801D5">
        <w:rPr>
          <w:rFonts w:ascii="Arial" w:hAnsi="Arial" w:cs="Arial"/>
          <w:color w:val="000000"/>
          <w:sz w:val="20"/>
          <w:szCs w:val="20"/>
        </w:rPr>
        <w:br w:type="page"/>
      </w:r>
    </w:p>
    <w:p w14:paraId="5AAD036D" w14:textId="77777777" w:rsidR="000A0840" w:rsidRPr="00C801D5" w:rsidRDefault="000A0840" w:rsidP="00A5350A">
      <w:pPr>
        <w:spacing w:afterLines="50" w:after="156"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Style w:val="fontstyle01"/>
          <w:rFonts w:ascii="Arial" w:hAnsi="Arial" w:cs="Arial"/>
          <w:sz w:val="20"/>
          <w:szCs w:val="20"/>
        </w:rPr>
        <w:lastRenderedPageBreak/>
        <w:t>Supplementary</w:t>
      </w:r>
      <w:r w:rsidRPr="00C801D5">
        <w:rPr>
          <w:rFonts w:ascii="Arial" w:hAnsi="Arial" w:cs="Arial"/>
          <w:color w:val="000000"/>
          <w:sz w:val="20"/>
          <w:szCs w:val="20"/>
        </w:rPr>
        <w:t xml:space="preserve"> </w:t>
      </w:r>
      <w:r w:rsidRPr="00C801D5">
        <w:rPr>
          <w:rFonts w:ascii="Arial" w:hAnsi="Arial" w:cs="Arial"/>
          <w:b/>
          <w:color w:val="000000"/>
          <w:sz w:val="20"/>
          <w:szCs w:val="20"/>
        </w:rPr>
        <w:t>Table 3</w:t>
      </w:r>
      <w:r w:rsidRPr="00C801D5">
        <w:rPr>
          <w:rFonts w:ascii="Arial" w:hAnsi="Arial" w:cs="Arial"/>
          <w:color w:val="000000"/>
          <w:sz w:val="20"/>
          <w:szCs w:val="20"/>
        </w:rPr>
        <w:t>. Clinical Characteristics in the Development and Validation Group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3652"/>
        <w:gridCol w:w="1985"/>
        <w:gridCol w:w="1842"/>
        <w:gridCol w:w="1276"/>
      </w:tblGrid>
      <w:tr w:rsidR="000A0840" w:rsidRPr="00C801D5" w14:paraId="413CAB4F" w14:textId="77777777" w:rsidTr="00C86D4C">
        <w:trPr>
          <w:trHeight w:val="624"/>
        </w:trPr>
        <w:tc>
          <w:tcPr>
            <w:tcW w:w="365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6955DF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Variables</w:t>
            </w:r>
            <w:r w:rsidR="00C86D4C"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[mean ± SD or No. (%)]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102DB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Development</w:t>
            </w:r>
          </w:p>
          <w:p w14:paraId="65B6C04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Group (n=434)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FBA5A2" w14:textId="77777777" w:rsidR="000A0840" w:rsidRPr="00C801D5" w:rsidRDefault="00C86D4C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Validation Group </w:t>
            </w:r>
            <w:r w:rsidR="000A0840"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(n=119)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0E0E0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i/>
                <w:color w:val="000000"/>
                <w:kern w:val="0"/>
                <w:sz w:val="20"/>
                <w:szCs w:val="20"/>
              </w:rPr>
              <w:t>P</w:t>
            </w: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0A0840" w:rsidRPr="00C801D5" w14:paraId="788ECB09" w14:textId="77777777" w:rsidTr="00C86D4C">
        <w:trPr>
          <w:trHeight w:val="624"/>
        </w:trPr>
        <w:tc>
          <w:tcPr>
            <w:tcW w:w="365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F84D934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68D821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DC5BE1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61B837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A0840" w:rsidRPr="00C801D5" w14:paraId="03C7E74C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00691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8AA8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57.28 ± 14.78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33D0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49.72 ± 16.97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85D8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0A0840" w:rsidRPr="00C801D5" w14:paraId="58441A01" w14:textId="77777777" w:rsidTr="00C86D4C">
        <w:trPr>
          <w:trHeight w:val="32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10263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Lymphocytes count, ×10</w:t>
            </w: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9</w:t>
            </w: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/L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5572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1.05 ± 0.86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D15B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1.67 ± 3.43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6B6E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0.614</w:t>
            </w:r>
          </w:p>
        </w:tc>
      </w:tr>
      <w:tr w:rsidR="000A0840" w:rsidRPr="00C801D5" w14:paraId="6ACF5B79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80E3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Fever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B6D3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344 (79.26)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9AE4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 (35.29)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F7E5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0A0840" w:rsidRPr="00C801D5" w14:paraId="1C5025BB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518CF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Dry cough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58DB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84 (19.35)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BC5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 (21.85)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53B4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0.546</w:t>
            </w:r>
          </w:p>
        </w:tc>
      </w:tr>
      <w:tr w:rsidR="000A0840" w:rsidRPr="00C801D5" w14:paraId="4440FD0F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4320D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Respiratory failure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102A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224 (51.61)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E8F2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 (15.97)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0C5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0A0840" w:rsidRPr="00C801D5" w14:paraId="77EBE5E6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8FCAC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GGO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20C4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275 (63.36)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CF52D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 (35.29)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697D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0A0840" w:rsidRPr="00C801D5" w14:paraId="099FB725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F9DBF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Steroid therapy (≥1 year)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36AB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143 (32.95)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1255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 (40.34)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2BCB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0.133</w:t>
            </w:r>
          </w:p>
        </w:tc>
      </w:tr>
      <w:tr w:rsidR="000A0840" w:rsidRPr="00C801D5" w14:paraId="376F014A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1AC0E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Immunosuppressive agents therapy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275F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202 (46.54)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47F9D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54 (45.38)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07FA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0.821</w:t>
            </w:r>
          </w:p>
        </w:tc>
      </w:tr>
      <w:tr w:rsidR="000A0840" w:rsidRPr="00C801D5" w14:paraId="3E1BE09F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14DDF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COPD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5439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 (8.53)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FFBE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(2.52)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E89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0.025</w:t>
            </w:r>
          </w:p>
        </w:tc>
      </w:tr>
      <w:tr w:rsidR="000A0840" w:rsidRPr="00C801D5" w14:paraId="3E6E3ED9" w14:textId="77777777" w:rsidTr="00C86D4C">
        <w:trPr>
          <w:trHeight w:val="28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50AD4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D436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61 (14.06)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F9ED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 (39.50)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D381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0A0840" w:rsidRPr="00C801D5" w14:paraId="31E91E43" w14:textId="77777777" w:rsidTr="00C86D4C">
        <w:trPr>
          <w:trHeight w:val="299"/>
        </w:trPr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66DD8E9" w14:textId="77777777" w:rsidR="000A0840" w:rsidRPr="00C801D5" w:rsidRDefault="000A0840" w:rsidP="00A5350A">
            <w:pPr>
              <w:widowControl/>
              <w:spacing w:line="360" w:lineRule="auto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PJP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27207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110 (25.35)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15231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 (33.61)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4EFE31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0.072</w:t>
            </w:r>
          </w:p>
        </w:tc>
      </w:tr>
    </w:tbl>
    <w:p w14:paraId="573ACFDF" w14:textId="77777777" w:rsidR="000A0840" w:rsidRPr="00C801D5" w:rsidRDefault="000A0840" w:rsidP="00A5350A">
      <w:pPr>
        <w:widowControl/>
        <w:spacing w:beforeLines="50" w:before="156" w:line="360" w:lineRule="auto"/>
        <w:rPr>
          <w:rFonts w:ascii="Arial" w:eastAsia="SimSun" w:hAnsi="Arial" w:cs="Arial"/>
          <w:color w:val="000000"/>
          <w:sz w:val="20"/>
          <w:szCs w:val="20"/>
        </w:rPr>
      </w:pPr>
      <w:r w:rsidRPr="00C801D5">
        <w:rPr>
          <w:rFonts w:ascii="Arial" w:eastAsia="SimSun" w:hAnsi="Arial" w:cs="Arial"/>
          <w:color w:val="000000"/>
          <w:sz w:val="20"/>
          <w:szCs w:val="20"/>
        </w:rPr>
        <w:t xml:space="preserve">GGO, </w:t>
      </w:r>
      <w:r w:rsidRPr="00C801D5">
        <w:rPr>
          <w:rFonts w:ascii="Arial" w:hAnsi="Arial" w:cs="Arial"/>
          <w:color w:val="000000"/>
          <w:sz w:val="20"/>
          <w:szCs w:val="20"/>
        </w:rPr>
        <w:t>Ground-glass opacity;</w:t>
      </w:r>
      <w:r w:rsidRPr="00C801D5">
        <w:rPr>
          <w:rFonts w:ascii="Arial" w:eastAsia="SimSun" w:hAnsi="Arial" w:cs="Arial"/>
          <w:color w:val="000000"/>
          <w:sz w:val="20"/>
          <w:szCs w:val="20"/>
        </w:rPr>
        <w:t xml:space="preserve"> </w:t>
      </w:r>
      <w:r w:rsidRPr="00C801D5">
        <w:rPr>
          <w:rFonts w:ascii="Arial" w:eastAsia="SimSun" w:hAnsi="Arial" w:cs="Arial"/>
          <w:color w:val="000000"/>
          <w:kern w:val="0"/>
          <w:sz w:val="20"/>
          <w:szCs w:val="20"/>
        </w:rPr>
        <w:t>COPD, chronic obstructive pulmonary disease; NS,</w:t>
      </w:r>
      <w:r w:rsidRPr="00C801D5">
        <w:rPr>
          <w:rStyle w:val="Emphasis"/>
          <w:rFonts w:ascii="Arial" w:hAnsi="Arial" w:cs="Arial"/>
          <w:color w:val="000000"/>
          <w:sz w:val="20"/>
          <w:szCs w:val="20"/>
        </w:rPr>
        <w:t xml:space="preserve"> </w:t>
      </w:r>
      <w:r w:rsidRPr="00C801D5">
        <w:rPr>
          <w:rFonts w:ascii="Arial" w:eastAsia="SimSun" w:hAnsi="Arial" w:cs="Arial"/>
          <w:color w:val="000000"/>
          <w:kern w:val="0"/>
          <w:sz w:val="20"/>
          <w:szCs w:val="20"/>
        </w:rPr>
        <w:t xml:space="preserve">nephrotic syndrome; </w:t>
      </w:r>
      <w:r w:rsidRPr="00C801D5">
        <w:rPr>
          <w:rFonts w:ascii="Arial" w:eastAsia="SimSun" w:hAnsi="Arial" w:cs="Arial"/>
          <w:color w:val="000000"/>
          <w:sz w:val="20"/>
          <w:szCs w:val="20"/>
        </w:rPr>
        <w:t>PJP,</w:t>
      </w:r>
      <w:r w:rsidRPr="00C801D5">
        <w:rPr>
          <w:rFonts w:ascii="Arial" w:hAnsi="Arial" w:cs="Arial"/>
          <w:i/>
          <w:color w:val="000000"/>
          <w:sz w:val="20"/>
          <w:szCs w:val="20"/>
        </w:rPr>
        <w:t xml:space="preserve"> Pneumocystis jirovecii</w:t>
      </w:r>
      <w:r w:rsidRPr="00C801D5">
        <w:rPr>
          <w:rFonts w:ascii="Arial" w:hAnsi="Arial" w:cs="Arial"/>
          <w:color w:val="000000"/>
          <w:sz w:val="20"/>
          <w:szCs w:val="20"/>
        </w:rPr>
        <w:t xml:space="preserve"> pneumonia</w:t>
      </w:r>
      <w:r w:rsidRPr="00C801D5">
        <w:rPr>
          <w:rFonts w:ascii="Arial" w:eastAsia="SimSun" w:hAnsi="Arial" w:cs="Arial"/>
          <w:color w:val="000000"/>
          <w:sz w:val="20"/>
          <w:szCs w:val="20"/>
        </w:rPr>
        <w:t>.</w:t>
      </w:r>
    </w:p>
    <w:p w14:paraId="06458E8F" w14:textId="77777777" w:rsidR="000A0840" w:rsidRPr="00C801D5" w:rsidRDefault="000A0840" w:rsidP="00A5350A">
      <w:pPr>
        <w:widowControl/>
        <w:spacing w:line="360" w:lineRule="auto"/>
        <w:jc w:val="left"/>
        <w:rPr>
          <w:rFonts w:ascii="Arial" w:eastAsia="SimSun" w:hAnsi="Arial" w:cs="Arial"/>
          <w:color w:val="000000"/>
          <w:kern w:val="0"/>
          <w:sz w:val="20"/>
          <w:szCs w:val="20"/>
        </w:rPr>
      </w:pPr>
      <w:r w:rsidRPr="00C801D5">
        <w:rPr>
          <w:rFonts w:ascii="Arial" w:eastAsia="SimSun" w:hAnsi="Arial" w:cs="Arial"/>
          <w:color w:val="000000"/>
          <w:kern w:val="0"/>
          <w:sz w:val="20"/>
          <w:szCs w:val="20"/>
        </w:rPr>
        <w:br w:type="page"/>
      </w:r>
    </w:p>
    <w:p w14:paraId="357AB0AF" w14:textId="77777777" w:rsidR="000A0840" w:rsidRPr="00C801D5" w:rsidRDefault="000A0840" w:rsidP="00A5350A">
      <w:pPr>
        <w:spacing w:afterLines="50" w:after="156"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Style w:val="fontstyle01"/>
          <w:rFonts w:ascii="Arial" w:hAnsi="Arial" w:cs="Arial"/>
          <w:sz w:val="20"/>
          <w:szCs w:val="20"/>
        </w:rPr>
        <w:lastRenderedPageBreak/>
        <w:t>Supplementary</w:t>
      </w:r>
      <w:r w:rsidRPr="00C801D5">
        <w:rPr>
          <w:rFonts w:ascii="Arial" w:hAnsi="Arial" w:cs="Arial"/>
          <w:color w:val="000000"/>
          <w:sz w:val="20"/>
          <w:szCs w:val="20"/>
        </w:rPr>
        <w:t xml:space="preserve"> </w:t>
      </w:r>
      <w:r w:rsidR="00A5350A" w:rsidRPr="00C801D5">
        <w:rPr>
          <w:rFonts w:ascii="Arial" w:hAnsi="Arial" w:cs="Arial"/>
          <w:b/>
          <w:color w:val="000000"/>
          <w:sz w:val="20"/>
          <w:szCs w:val="20"/>
        </w:rPr>
        <w:t>Table 4</w:t>
      </w:r>
      <w:r w:rsidRPr="00C801D5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Pr="00C801D5">
        <w:rPr>
          <w:rFonts w:ascii="Arial" w:hAnsi="Arial" w:cs="Arial"/>
          <w:color w:val="000000"/>
          <w:sz w:val="20"/>
          <w:szCs w:val="20"/>
        </w:rPr>
        <w:t>Classification Accuracy at Different Probability Cut-off Points for the PJP Diagnostic Model</w:t>
      </w:r>
    </w:p>
    <w:tbl>
      <w:tblPr>
        <w:tblW w:w="9087" w:type="dxa"/>
        <w:tblLook w:val="04A0" w:firstRow="1" w:lastRow="0" w:firstColumn="1" w:lastColumn="0" w:noHBand="0" w:noVBand="1"/>
      </w:tblPr>
      <w:tblGrid>
        <w:gridCol w:w="1270"/>
        <w:gridCol w:w="1243"/>
        <w:gridCol w:w="1256"/>
        <w:gridCol w:w="1208"/>
        <w:gridCol w:w="1134"/>
        <w:gridCol w:w="1275"/>
        <w:gridCol w:w="1701"/>
      </w:tblGrid>
      <w:tr w:rsidR="000A0840" w:rsidRPr="00C801D5" w14:paraId="304C86C7" w14:textId="77777777" w:rsidTr="00A5350A">
        <w:trPr>
          <w:trHeight w:hRule="exact" w:val="905"/>
        </w:trPr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D8EDE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Probability Threshold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2BD04C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Sensitivity (%)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E2C67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Specificity (%)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E5327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PPV</w:t>
            </w:r>
          </w:p>
          <w:p w14:paraId="63CE4B5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2CF3FC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NPV</w:t>
            </w:r>
          </w:p>
          <w:p w14:paraId="6399114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(%)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4E5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Likelihood Ratio +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179D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Likelihood Ratio -</w:t>
            </w:r>
          </w:p>
        </w:tc>
      </w:tr>
      <w:tr w:rsidR="000A0840" w:rsidRPr="00C801D5" w14:paraId="00E7C29A" w14:textId="77777777" w:rsidTr="00890CD6">
        <w:trPr>
          <w:trHeight w:hRule="exact" w:val="39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3DF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≥10%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4CCA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93.64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BE4A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43.21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0D90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2B81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95.24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CF5F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4D3A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0.15</w:t>
            </w:r>
          </w:p>
        </w:tc>
      </w:tr>
      <w:tr w:rsidR="000A0840" w:rsidRPr="00C801D5" w14:paraId="3846A52D" w14:textId="77777777" w:rsidTr="00890CD6">
        <w:trPr>
          <w:trHeight w:hRule="exact" w:val="39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12BC4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≥30%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8E34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73.63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427BB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77.47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5245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F538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89.64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33D0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9F69D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0.34</w:t>
            </w:r>
          </w:p>
        </w:tc>
      </w:tr>
      <w:tr w:rsidR="000A0840" w:rsidRPr="00C801D5" w14:paraId="49445489" w14:textId="77777777" w:rsidTr="00890CD6">
        <w:trPr>
          <w:trHeight w:hRule="exact" w:val="39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B756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≥50%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3EA4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40.91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E806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92.56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1B401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3857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4373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5.52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2508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0.64</w:t>
            </w:r>
          </w:p>
        </w:tc>
      </w:tr>
      <w:tr w:rsidR="000A0840" w:rsidRPr="00C801D5" w14:paraId="4D084CBD" w14:textId="77777777" w:rsidTr="00890CD6">
        <w:trPr>
          <w:trHeight w:hRule="exact" w:val="397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BE130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≥70%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ACAFA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12.73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998C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99.07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81BAF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AE44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76.98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4AAF3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EEB5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0.88</w:t>
            </w:r>
          </w:p>
        </w:tc>
      </w:tr>
      <w:tr w:rsidR="000A0840" w:rsidRPr="00C801D5" w14:paraId="20FBFB9B" w14:textId="77777777" w:rsidTr="00890CD6">
        <w:trPr>
          <w:trHeight w:hRule="exact" w:val="397"/>
        </w:trPr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74D576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≥90%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DF1CC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1.82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A20875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2B592E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090A09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D2CA52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Inf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A87777" w14:textId="77777777" w:rsidR="000A0840" w:rsidRPr="00C801D5" w:rsidRDefault="000A0840" w:rsidP="00A5350A">
            <w:pPr>
              <w:widowControl/>
              <w:spacing w:line="36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C801D5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0.98</w:t>
            </w:r>
          </w:p>
        </w:tc>
      </w:tr>
    </w:tbl>
    <w:p w14:paraId="7DF02805" w14:textId="77777777" w:rsidR="009A2F8D" w:rsidRPr="00C801D5" w:rsidRDefault="000A0840" w:rsidP="00A5350A">
      <w:pPr>
        <w:spacing w:beforeLines="50" w:before="156"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Fonts w:ascii="Arial" w:hAnsi="Arial" w:cs="Arial"/>
          <w:color w:val="000000"/>
          <w:sz w:val="20"/>
          <w:szCs w:val="20"/>
        </w:rPr>
        <w:t>PPV, Positive predictive value; NPV, Negative predictive value.</w:t>
      </w:r>
    </w:p>
    <w:p w14:paraId="013C494C" w14:textId="77777777" w:rsidR="009A2F8D" w:rsidRPr="00C801D5" w:rsidRDefault="009A2F8D" w:rsidP="00A5350A">
      <w:pPr>
        <w:widowControl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C801D5">
        <w:rPr>
          <w:rFonts w:ascii="Arial" w:hAnsi="Arial" w:cs="Arial"/>
          <w:color w:val="000000"/>
          <w:sz w:val="20"/>
          <w:szCs w:val="20"/>
        </w:rPr>
        <w:br w:type="page"/>
      </w:r>
    </w:p>
    <w:p w14:paraId="00D4974B" w14:textId="77777777" w:rsidR="00822A4F" w:rsidRPr="00C801D5" w:rsidRDefault="009A2F8D" w:rsidP="00A5350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Style w:val="fontstyle01"/>
          <w:rFonts w:ascii="Arial" w:hAnsi="Arial" w:cs="Arial"/>
          <w:sz w:val="20"/>
          <w:szCs w:val="20"/>
        </w:rPr>
        <w:lastRenderedPageBreak/>
        <w:t>Supplementary</w:t>
      </w:r>
      <w:r w:rsidRPr="00C801D5">
        <w:rPr>
          <w:rFonts w:ascii="Arial" w:hAnsi="Arial" w:cs="Arial"/>
          <w:b/>
          <w:color w:val="000000"/>
          <w:sz w:val="20"/>
          <w:szCs w:val="20"/>
        </w:rPr>
        <w:t xml:space="preserve"> Figure 1. Profile plots from the LASSO model.</w:t>
      </w:r>
      <w:r w:rsidRPr="00C801D5">
        <w:rPr>
          <w:rFonts w:ascii="Arial" w:hAnsi="Arial" w:cs="Arial"/>
          <w:color w:val="000000"/>
          <w:sz w:val="20"/>
          <w:szCs w:val="20"/>
        </w:rPr>
        <w:t xml:space="preserve"> (A) LASSO coefficient profiles of the 82 baseline features. (B) Tuning of parameter (λ) selection in the LASSO model using 10-fold cross-validation. Lambda.1se (log) [largest value of lambda such that error is within 1 standard error of the minimum]: 0.0484 (-3.0293).</w:t>
      </w:r>
    </w:p>
    <w:p w14:paraId="76BCD1F0" w14:textId="613706B8" w:rsidR="00A866F7" w:rsidRPr="00C801D5" w:rsidRDefault="00A509D2" w:rsidP="00A5350A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C801D5">
        <w:rPr>
          <w:rFonts w:ascii="Arial" w:hAnsi="Arial" w:cs="Arial"/>
          <w:color w:val="000000"/>
          <w:sz w:val="20"/>
          <w:szCs w:val="20"/>
        </w:rPr>
        <w:drawing>
          <wp:inline distT="0" distB="0" distL="0" distR="0" wp14:anchorId="5B29640E" wp14:editId="34209669">
            <wp:extent cx="4762500" cy="2200275"/>
            <wp:effectExtent l="0" t="0" r="0" b="9525"/>
            <wp:docPr id="4" name="图片 4" descr="E:\投稿\20221111金凤-燕海英\20221123-燕海英-投稿-Infection and drug resistance\2022-12-30-修稿-2023-01-11-修回\2023-01-11-修回\Figures\Revised 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投稿\20221111金凤-燕海英\20221123-燕海英-投稿-Infection and drug resistance\2022-12-30-修稿-2023-01-11-修回\2023-01-11-修回\Figures\Revised 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66F7" w:rsidRPr="00C801D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2E0E" w14:textId="77777777" w:rsidR="00990303" w:rsidRDefault="00990303" w:rsidP="00C86D4C">
      <w:r>
        <w:separator/>
      </w:r>
    </w:p>
  </w:endnote>
  <w:endnote w:type="continuationSeparator" w:id="0">
    <w:p w14:paraId="0C797363" w14:textId="77777777" w:rsidR="00990303" w:rsidRDefault="00990303" w:rsidP="00C8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410E" w14:textId="063C59D7" w:rsidR="00DE7161" w:rsidRDefault="00DE71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4F49F2" wp14:editId="3009610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7e7c4ea39c7d4f990f773cb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AD3014" w14:textId="308D04A9" w:rsidR="00DE7161" w:rsidRPr="00DE7161" w:rsidRDefault="00DE7161" w:rsidP="00DE7161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E716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4F49F2" id="_x0000_t202" coordsize="21600,21600" o:spt="202" path="m,l,21600r21600,l21600,xe">
              <v:stroke joinstyle="miter"/>
              <v:path gradientshapeok="t" o:connecttype="rect"/>
            </v:shapetype>
            <v:shape id="MSIPCM7e7c4ea39c7d4f990f773cb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69AD3014" w14:textId="308D04A9" w:rsidR="00DE7161" w:rsidRPr="00DE7161" w:rsidRDefault="00DE7161" w:rsidP="00DE7161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E716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905B0" w14:textId="77777777" w:rsidR="00990303" w:rsidRDefault="00990303" w:rsidP="00C86D4C">
      <w:r>
        <w:separator/>
      </w:r>
    </w:p>
  </w:footnote>
  <w:footnote w:type="continuationSeparator" w:id="0">
    <w:p w14:paraId="03BC6D95" w14:textId="77777777" w:rsidR="00990303" w:rsidRDefault="00990303" w:rsidP="00C8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840"/>
    <w:rsid w:val="000A0840"/>
    <w:rsid w:val="00161CF5"/>
    <w:rsid w:val="00201B8B"/>
    <w:rsid w:val="003A1148"/>
    <w:rsid w:val="00450FAB"/>
    <w:rsid w:val="00822A4F"/>
    <w:rsid w:val="00990303"/>
    <w:rsid w:val="009A2F8D"/>
    <w:rsid w:val="00A509D2"/>
    <w:rsid w:val="00A5350A"/>
    <w:rsid w:val="00A866F7"/>
    <w:rsid w:val="00C801D5"/>
    <w:rsid w:val="00C86D4C"/>
    <w:rsid w:val="00DE7161"/>
    <w:rsid w:val="00F2659B"/>
    <w:rsid w:val="00F67329"/>
    <w:rsid w:val="00F92615"/>
    <w:rsid w:val="00FD3FA4"/>
    <w:rsid w:val="00FE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AA702F"/>
  <w15:docId w15:val="{AAD0D0A2-C3CF-4217-A62E-E8088DA4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84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A0840"/>
    <w:rPr>
      <w:i/>
      <w:iCs/>
    </w:rPr>
  </w:style>
  <w:style w:type="character" w:customStyle="1" w:styleId="fontstyle01">
    <w:name w:val="fontstyle01"/>
    <w:basedOn w:val="DefaultParagraphFont"/>
    <w:qFormat/>
    <w:rsid w:val="000A0840"/>
    <w:rPr>
      <w:rFonts w:ascii="Arial-BoldMT" w:hAnsi="Arial-BoldMT" w:hint="default"/>
      <w:b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8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6D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6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6D4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6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F7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2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6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李文姣</dc:creator>
  <cp:lastModifiedBy>Thadani, Lavina</cp:lastModifiedBy>
  <cp:revision>3</cp:revision>
  <dcterms:created xsi:type="dcterms:W3CDTF">2023-01-13T02:00:00Z</dcterms:created>
  <dcterms:modified xsi:type="dcterms:W3CDTF">2023-01-13T02:00:00Z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2023-01-13T02:00:30Z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06448417-1f28-4f9e-bee2-b17f8b60cb40</vt:lpwstr>
  </property>
  <property fmtid="{D5CDD505-2E9C-101B-9397-08002B2CF9AE}" pid="8" name="MSIP_Label_2bbab825-a111-45e4-86a1-18cee0005896_ContentBits">
    <vt:lpwstr>2</vt:lpwstr>
  </property>
</Properties>
</file>