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B6CA3" w14:textId="77777777" w:rsidR="006F456B" w:rsidRPr="006F456B" w:rsidRDefault="006F456B" w:rsidP="006F456B">
      <w:pPr>
        <w:spacing w:line="480" w:lineRule="auto"/>
        <w:jc w:val="left"/>
        <w:rPr>
          <w:rFonts w:ascii="Times New Roman" w:eastAsia="宋体" w:hAnsi="Times New Roman" w:cs="Times New Roman"/>
          <w:b/>
          <w:sz w:val="32"/>
          <w:szCs w:val="24"/>
        </w:rPr>
      </w:pPr>
      <w:r w:rsidRPr="006F456B">
        <w:rPr>
          <w:rFonts w:ascii="Times New Roman" w:eastAsia="宋体" w:hAnsi="Times New Roman" w:cs="Times New Roman"/>
          <w:b/>
          <w:sz w:val="32"/>
          <w:szCs w:val="24"/>
        </w:rPr>
        <w:t xml:space="preserve">Supplementary </w:t>
      </w:r>
    </w:p>
    <w:p w14:paraId="257372DF" w14:textId="77777777" w:rsidR="006F456B" w:rsidRPr="006F456B" w:rsidRDefault="006F456B" w:rsidP="006F456B">
      <w:pPr>
        <w:spacing w:line="480" w:lineRule="auto"/>
        <w:rPr>
          <w:rFonts w:ascii="Times New Roman" w:eastAsia="宋体" w:hAnsi="Times New Roman" w:cs="Times New Roman"/>
          <w:sz w:val="24"/>
          <w:szCs w:val="24"/>
        </w:rPr>
      </w:pPr>
    </w:p>
    <w:p w14:paraId="590A9DB1" w14:textId="77777777" w:rsidR="006F456B" w:rsidRPr="006F456B" w:rsidRDefault="006F456B" w:rsidP="006F456B">
      <w:pPr>
        <w:spacing w:line="480" w:lineRule="auto"/>
        <w:jc w:val="left"/>
        <w:rPr>
          <w:rFonts w:ascii="Times New Roman" w:eastAsia="宋体" w:hAnsi="Times New Roman" w:cs="Times New Roman"/>
          <w:b/>
          <w:sz w:val="24"/>
          <w:szCs w:val="24"/>
        </w:rPr>
      </w:pPr>
      <w:r w:rsidRPr="006F456B">
        <w:rPr>
          <w:rFonts w:ascii="Times New Roman" w:eastAsia="宋体" w:hAnsi="Times New Roman" w:cs="Times New Roman"/>
          <w:b/>
          <w:sz w:val="24"/>
          <w:szCs w:val="24"/>
        </w:rPr>
        <w:t>Appendix 1</w:t>
      </w:r>
    </w:p>
    <w:p w14:paraId="0750707D" w14:textId="77777777" w:rsidR="006F456B" w:rsidRPr="006F456B" w:rsidRDefault="006F456B" w:rsidP="006F456B">
      <w:pPr>
        <w:spacing w:line="480" w:lineRule="auto"/>
        <w:jc w:val="left"/>
        <w:rPr>
          <w:rFonts w:ascii="Times New Roman" w:eastAsia="宋体" w:hAnsi="Times New Roman" w:cs="Times New Roman"/>
          <w:sz w:val="24"/>
          <w:szCs w:val="24"/>
        </w:rPr>
      </w:pPr>
      <w:r w:rsidRPr="006F456B">
        <w:rPr>
          <w:rFonts w:ascii="Times New Roman" w:eastAsia="宋体" w:hAnsi="Times New Roman" w:cs="Times New Roman"/>
          <w:sz w:val="24"/>
          <w:szCs w:val="24"/>
        </w:rPr>
        <w:t xml:space="preserve">Rad-score = </w:t>
      </w:r>
      <w:r w:rsidRPr="006F456B">
        <w:rPr>
          <w:rFonts w:ascii="Times New Roman" w:eastAsia="宋体" w:hAnsi="Times New Roman" w:cs="Times New Roman" w:hint="eastAsia"/>
          <w:bCs/>
          <w:sz w:val="24"/>
          <w:szCs w:val="24"/>
        </w:rPr>
        <w:t>0.2683616</w:t>
      </w:r>
      <w:r w:rsidRPr="006F456B">
        <w:rPr>
          <w:rFonts w:ascii="Times New Roman" w:eastAsia="宋体" w:hAnsi="Times New Roman" w:cs="Times New Roman"/>
          <w:sz w:val="24"/>
          <w:szCs w:val="24"/>
        </w:rPr>
        <w:t>-</w:t>
      </w:r>
      <w:r w:rsidRPr="006F456B">
        <w:rPr>
          <w:rFonts w:ascii="Times New Roman" w:eastAsia="宋体" w:hAnsi="Times New Roman" w:cs="Times New Roman"/>
          <w:bCs/>
          <w:sz w:val="24"/>
          <w:szCs w:val="24"/>
        </w:rPr>
        <w:t>0.007303793×original_gldm_HighGrayLevelEmphasis</w:t>
      </w:r>
    </w:p>
    <w:p w14:paraId="33F80F14" w14:textId="77777777" w:rsidR="006F456B" w:rsidRPr="006F456B" w:rsidRDefault="006F456B" w:rsidP="006F456B">
      <w:pPr>
        <w:spacing w:line="480" w:lineRule="auto"/>
        <w:ind w:firstLineChars="500" w:firstLine="1200"/>
        <w:jc w:val="left"/>
        <w:rPr>
          <w:rFonts w:ascii="Times New Roman" w:eastAsia="宋体" w:hAnsi="Times New Roman" w:cs="Times New Roman"/>
          <w:sz w:val="24"/>
          <w:szCs w:val="24"/>
        </w:rPr>
      </w:pPr>
      <w:r w:rsidRPr="006F456B">
        <w:rPr>
          <w:rFonts w:ascii="Times New Roman" w:eastAsia="宋体" w:hAnsi="Times New Roman" w:cs="Times New Roman"/>
          <w:bCs/>
          <w:sz w:val="24"/>
          <w:szCs w:val="24"/>
        </w:rPr>
        <w:t>-0.019798136×gradient_glcm_JointEnergy</w:t>
      </w:r>
    </w:p>
    <w:p w14:paraId="4E67376D" w14:textId="77777777" w:rsidR="006F456B" w:rsidRPr="006F456B" w:rsidRDefault="006F456B" w:rsidP="006F456B">
      <w:pPr>
        <w:spacing w:line="480" w:lineRule="auto"/>
        <w:ind w:firstLineChars="500" w:firstLine="1200"/>
        <w:jc w:val="left"/>
        <w:rPr>
          <w:rFonts w:ascii="Times New Roman" w:eastAsia="宋体" w:hAnsi="Times New Roman" w:cs="Times New Roman"/>
          <w:sz w:val="24"/>
          <w:szCs w:val="24"/>
        </w:rPr>
      </w:pPr>
      <w:r w:rsidRPr="006F456B">
        <w:rPr>
          <w:rFonts w:ascii="Times New Roman" w:eastAsia="宋体" w:hAnsi="Times New Roman" w:cs="Times New Roman"/>
          <w:bCs/>
          <w:sz w:val="24"/>
          <w:szCs w:val="24"/>
        </w:rPr>
        <w:t>-0.005929206×logarithm_glrlm_LowGrayLevelRunEmphasis</w:t>
      </w:r>
    </w:p>
    <w:p w14:paraId="68C61D2C" w14:textId="77777777" w:rsidR="006F456B" w:rsidRPr="006F456B" w:rsidRDefault="006F456B" w:rsidP="006F456B">
      <w:pPr>
        <w:spacing w:line="480" w:lineRule="auto"/>
        <w:ind w:firstLineChars="500" w:firstLine="1200"/>
        <w:jc w:val="left"/>
        <w:rPr>
          <w:rFonts w:ascii="Times New Roman" w:eastAsia="宋体" w:hAnsi="Times New Roman" w:cs="Times New Roman"/>
          <w:sz w:val="24"/>
          <w:szCs w:val="24"/>
        </w:rPr>
      </w:pPr>
      <w:r w:rsidRPr="006F456B">
        <w:rPr>
          <w:rFonts w:ascii="Times New Roman" w:eastAsia="宋体" w:hAnsi="Times New Roman" w:cs="Times New Roman"/>
          <w:bCs/>
          <w:sz w:val="24"/>
          <w:szCs w:val="24"/>
        </w:rPr>
        <w:t>-0.001563209×square_ngtdm_Complexity</w:t>
      </w:r>
    </w:p>
    <w:p w14:paraId="135A1341" w14:textId="77777777" w:rsidR="006F456B" w:rsidRPr="006F456B" w:rsidRDefault="006F456B" w:rsidP="006F456B">
      <w:pPr>
        <w:spacing w:line="480" w:lineRule="auto"/>
        <w:ind w:firstLineChars="500" w:firstLine="1200"/>
        <w:jc w:val="left"/>
        <w:rPr>
          <w:rFonts w:ascii="Times New Roman" w:eastAsia="宋体" w:hAnsi="Times New Roman" w:cs="Times New Roman"/>
          <w:sz w:val="24"/>
          <w:szCs w:val="24"/>
        </w:rPr>
      </w:pPr>
      <w:r w:rsidRPr="006F456B">
        <w:rPr>
          <w:rFonts w:ascii="Times New Roman" w:eastAsia="宋体" w:hAnsi="Times New Roman" w:cs="Times New Roman"/>
          <w:bCs/>
          <w:sz w:val="24"/>
          <w:szCs w:val="24"/>
        </w:rPr>
        <w:t>-0.030593146×squareroot_firstorder_Entropy</w:t>
      </w:r>
    </w:p>
    <w:p w14:paraId="01A1582B" w14:textId="77777777" w:rsidR="006F456B" w:rsidRPr="006F456B" w:rsidRDefault="006F456B" w:rsidP="006F456B">
      <w:pPr>
        <w:spacing w:line="480" w:lineRule="auto"/>
        <w:ind w:firstLineChars="500" w:firstLine="1200"/>
        <w:jc w:val="left"/>
        <w:rPr>
          <w:rFonts w:ascii="Times New Roman" w:eastAsia="宋体" w:hAnsi="Times New Roman" w:cs="Times New Roman"/>
          <w:sz w:val="24"/>
          <w:szCs w:val="24"/>
        </w:rPr>
      </w:pPr>
      <w:r w:rsidRPr="006F456B">
        <w:rPr>
          <w:rFonts w:ascii="Times New Roman" w:eastAsia="宋体" w:hAnsi="Times New Roman" w:cs="Times New Roman"/>
          <w:bCs/>
          <w:sz w:val="24"/>
          <w:szCs w:val="24"/>
        </w:rPr>
        <w:t>-0.004176788×squareroot_firstorder_Median</w:t>
      </w:r>
    </w:p>
    <w:p w14:paraId="25C01BE6" w14:textId="77777777" w:rsidR="006F456B" w:rsidRPr="006F456B" w:rsidRDefault="006F456B" w:rsidP="006F456B">
      <w:pPr>
        <w:spacing w:line="480" w:lineRule="auto"/>
        <w:ind w:firstLineChars="500" w:firstLine="1200"/>
        <w:jc w:val="left"/>
        <w:rPr>
          <w:rFonts w:ascii="Times New Roman" w:eastAsia="宋体" w:hAnsi="Times New Roman" w:cs="Times New Roman"/>
          <w:sz w:val="24"/>
          <w:szCs w:val="24"/>
        </w:rPr>
      </w:pPr>
      <w:r w:rsidRPr="006F456B">
        <w:rPr>
          <w:rFonts w:ascii="Times New Roman" w:eastAsia="宋体" w:hAnsi="Times New Roman" w:cs="Times New Roman"/>
          <w:sz w:val="24"/>
          <w:szCs w:val="24"/>
        </w:rPr>
        <w:t>+</w:t>
      </w:r>
      <w:r w:rsidRPr="006F456B">
        <w:rPr>
          <w:rFonts w:ascii="Times New Roman" w:eastAsia="宋体" w:hAnsi="Times New Roman" w:cs="Times New Roman"/>
          <w:bCs/>
          <w:sz w:val="24"/>
          <w:szCs w:val="24"/>
        </w:rPr>
        <w:t>0.002425937×wavelet.LHH_gldm_HighGrayLevelEmphasis</w:t>
      </w:r>
    </w:p>
    <w:p w14:paraId="55FB1BD3" w14:textId="77777777" w:rsidR="006F456B" w:rsidRPr="006F456B" w:rsidRDefault="006F456B" w:rsidP="006F456B">
      <w:pPr>
        <w:widowControl/>
        <w:jc w:val="left"/>
        <w:rPr>
          <w:rFonts w:ascii="Times New Roman" w:eastAsia="宋体" w:hAnsi="Times New Roman" w:cs="Times New Roman"/>
          <w:sz w:val="24"/>
          <w:szCs w:val="24"/>
        </w:rPr>
      </w:pPr>
      <w:r w:rsidRPr="006F456B">
        <w:rPr>
          <w:rFonts w:ascii="Times New Roman" w:eastAsia="宋体" w:hAnsi="Times New Roman" w:cs="Times New Roman"/>
          <w:sz w:val="24"/>
          <w:szCs w:val="24"/>
        </w:rPr>
        <w:br w:type="page"/>
      </w:r>
    </w:p>
    <w:p w14:paraId="1D6747C2" w14:textId="77777777" w:rsidR="006F456B" w:rsidRPr="006F456B" w:rsidRDefault="006F456B" w:rsidP="006F456B">
      <w:pPr>
        <w:spacing w:line="480" w:lineRule="auto"/>
        <w:rPr>
          <w:rFonts w:ascii="Times New Roman" w:eastAsia="宋体" w:hAnsi="Times New Roman" w:cs="Times New Roman"/>
          <w:sz w:val="24"/>
          <w:szCs w:val="24"/>
        </w:rPr>
      </w:pPr>
      <w:r w:rsidRPr="006F456B">
        <w:rPr>
          <w:rFonts w:ascii="Times New Roman" w:eastAsia="宋体" w:hAnsi="Times New Roman" w:cs="Times New Roman"/>
          <w:noProof/>
          <w:sz w:val="24"/>
          <w:szCs w:val="24"/>
        </w:rPr>
        <w:lastRenderedPageBreak/>
        <w:drawing>
          <wp:inline distT="0" distB="0" distL="0" distR="0" wp14:anchorId="1A9D3627" wp14:editId="1C3340B9">
            <wp:extent cx="4649776" cy="2711116"/>
            <wp:effectExtent l="0" t="0" r="0" b="0"/>
            <wp:docPr id="17" name="图片 17" descr="C:\SCI单子\李宁2\提交材料\Figures\Figure 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CI单子\李宁2\提交材料\Figures\Figure S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49704" cy="2711074"/>
                    </a:xfrm>
                    <a:prstGeom prst="rect">
                      <a:avLst/>
                    </a:prstGeom>
                    <a:noFill/>
                    <a:ln>
                      <a:noFill/>
                    </a:ln>
                  </pic:spPr>
                </pic:pic>
              </a:graphicData>
            </a:graphic>
          </wp:inline>
        </w:drawing>
      </w:r>
    </w:p>
    <w:p w14:paraId="1E388E08" w14:textId="77777777" w:rsidR="006F456B" w:rsidRPr="006F456B" w:rsidRDefault="006F456B" w:rsidP="006F456B">
      <w:pPr>
        <w:spacing w:line="480" w:lineRule="auto"/>
        <w:rPr>
          <w:rFonts w:ascii="Times New Roman" w:eastAsia="宋体" w:hAnsi="Times New Roman" w:cs="Times New Roman"/>
          <w:sz w:val="24"/>
          <w:szCs w:val="24"/>
        </w:rPr>
      </w:pPr>
      <w:r w:rsidRPr="006F456B">
        <w:rPr>
          <w:rFonts w:ascii="Times New Roman" w:eastAsia="宋体" w:hAnsi="Times New Roman" w:cs="Times New Roman"/>
          <w:b/>
          <w:sz w:val="24"/>
          <w:szCs w:val="24"/>
        </w:rPr>
        <w:t>Figure S1</w:t>
      </w:r>
      <w:r w:rsidRPr="006F456B">
        <w:rPr>
          <w:rFonts w:ascii="Times New Roman" w:eastAsia="宋体" w:hAnsi="Times New Roman" w:cs="Times New Roman"/>
          <w:sz w:val="24"/>
          <w:szCs w:val="24"/>
        </w:rPr>
        <w:t xml:space="preserve">. Extracted radiomics features used in the study. These features include the combination of different feature classes and image types, and the combination of different feature classes and decompositions after wavelet transform. Wavelet transform applies all possible combinations of high-pass (H) or low-pass (L) filters (LLH, LHL, LHH, HLL, HLH, HHL, HHH, LLL), resulting in 8 decompositions. GLCM: gray-level co-occurrence matrix, GLDM: gray-level dependence matrix, GLRLM: gray-level run length matrix, GLSZM: gray-level size zone matrix, NGTDM: </w:t>
      </w:r>
      <w:proofErr w:type="spellStart"/>
      <w:r w:rsidRPr="006F456B">
        <w:rPr>
          <w:rFonts w:ascii="Times New Roman" w:eastAsia="宋体" w:hAnsi="Times New Roman" w:cs="Times New Roman"/>
          <w:sz w:val="24"/>
          <w:szCs w:val="24"/>
        </w:rPr>
        <w:t>neighbouring</w:t>
      </w:r>
      <w:proofErr w:type="spellEnd"/>
      <w:r w:rsidRPr="006F456B">
        <w:rPr>
          <w:rFonts w:ascii="Times New Roman" w:eastAsia="宋体" w:hAnsi="Times New Roman" w:cs="Times New Roman"/>
          <w:sz w:val="24"/>
          <w:szCs w:val="24"/>
        </w:rPr>
        <w:t xml:space="preserve"> grey tone difference matrix.</w:t>
      </w:r>
    </w:p>
    <w:p w14:paraId="7AAD975A" w14:textId="77777777" w:rsidR="006F456B" w:rsidRPr="006F456B" w:rsidRDefault="006F456B" w:rsidP="006F456B">
      <w:pPr>
        <w:widowControl/>
        <w:jc w:val="left"/>
        <w:rPr>
          <w:rFonts w:ascii="Times New Roman" w:eastAsia="宋体" w:hAnsi="Times New Roman" w:cs="Times New Roman"/>
          <w:sz w:val="24"/>
          <w:szCs w:val="24"/>
        </w:rPr>
      </w:pPr>
      <w:r w:rsidRPr="006F456B">
        <w:rPr>
          <w:rFonts w:ascii="Times New Roman" w:eastAsia="宋体" w:hAnsi="Times New Roman" w:cs="Times New Roman"/>
          <w:sz w:val="24"/>
          <w:szCs w:val="24"/>
        </w:rPr>
        <w:br w:type="page"/>
      </w:r>
    </w:p>
    <w:p w14:paraId="70945EB7" w14:textId="77777777" w:rsidR="006F456B" w:rsidRPr="006F456B" w:rsidRDefault="006F456B" w:rsidP="006F456B">
      <w:pPr>
        <w:spacing w:line="480" w:lineRule="auto"/>
        <w:rPr>
          <w:rFonts w:ascii="Times New Roman" w:eastAsia="宋体" w:hAnsi="Times New Roman" w:cs="Times New Roman"/>
          <w:sz w:val="24"/>
          <w:szCs w:val="24"/>
        </w:rPr>
      </w:pPr>
      <w:r w:rsidRPr="006F456B">
        <w:rPr>
          <w:rFonts w:ascii="Times New Roman" w:eastAsia="宋体" w:hAnsi="Times New Roman" w:cs="Times New Roman"/>
          <w:b/>
          <w:sz w:val="24"/>
          <w:szCs w:val="24"/>
        </w:rPr>
        <w:lastRenderedPageBreak/>
        <w:t>Table S1.</w:t>
      </w:r>
      <w:r w:rsidRPr="006F456B">
        <w:rPr>
          <w:rFonts w:ascii="Times New Roman" w:eastAsia="宋体" w:hAnsi="Times New Roman" w:cs="Times New Roman"/>
          <w:sz w:val="24"/>
          <w:szCs w:val="24"/>
        </w:rPr>
        <w:t xml:space="preserve"> Comparisons of the preoperative clinicopathologic characteristics and rad-scores between the training and validation cohorts.</w:t>
      </w:r>
    </w:p>
    <w:tbl>
      <w:tblPr>
        <w:tblW w:w="9832" w:type="dxa"/>
        <w:tblInd w:w="-763" w:type="dxa"/>
        <w:tblLayout w:type="fixed"/>
        <w:tblLook w:val="04A0" w:firstRow="1" w:lastRow="0" w:firstColumn="1" w:lastColumn="0" w:noHBand="0" w:noVBand="1"/>
      </w:tblPr>
      <w:tblGrid>
        <w:gridCol w:w="3403"/>
        <w:gridCol w:w="1559"/>
        <w:gridCol w:w="1985"/>
        <w:gridCol w:w="1998"/>
        <w:gridCol w:w="887"/>
      </w:tblGrid>
      <w:tr w:rsidR="006F456B" w:rsidRPr="006F456B" w14:paraId="787A045C" w14:textId="77777777" w:rsidTr="00617A54">
        <w:trPr>
          <w:trHeight w:val="375"/>
        </w:trPr>
        <w:tc>
          <w:tcPr>
            <w:tcW w:w="4962" w:type="dxa"/>
            <w:gridSpan w:val="2"/>
            <w:tcBorders>
              <w:top w:val="single" w:sz="12" w:space="0" w:color="000000"/>
              <w:left w:val="nil"/>
              <w:bottom w:val="single" w:sz="8" w:space="0" w:color="000000"/>
              <w:right w:val="nil"/>
            </w:tcBorders>
            <w:shd w:val="clear" w:color="auto" w:fill="auto"/>
            <w:noWrap/>
            <w:vAlign w:val="center"/>
            <w:hideMark/>
          </w:tcPr>
          <w:p w14:paraId="0702789D"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Variable</w:t>
            </w:r>
          </w:p>
        </w:tc>
        <w:tc>
          <w:tcPr>
            <w:tcW w:w="1985" w:type="dxa"/>
            <w:tcBorders>
              <w:top w:val="single" w:sz="12" w:space="0" w:color="000000"/>
              <w:left w:val="nil"/>
              <w:bottom w:val="single" w:sz="8" w:space="0" w:color="000000"/>
              <w:right w:val="nil"/>
            </w:tcBorders>
            <w:shd w:val="clear" w:color="auto" w:fill="auto"/>
            <w:noWrap/>
            <w:vAlign w:val="center"/>
            <w:hideMark/>
          </w:tcPr>
          <w:p w14:paraId="04D9C255"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Training cohort (n=354)</w:t>
            </w:r>
          </w:p>
        </w:tc>
        <w:tc>
          <w:tcPr>
            <w:tcW w:w="1998" w:type="dxa"/>
            <w:tcBorders>
              <w:top w:val="single" w:sz="12" w:space="0" w:color="000000"/>
              <w:left w:val="nil"/>
              <w:bottom w:val="single" w:sz="8" w:space="0" w:color="000000"/>
              <w:right w:val="nil"/>
            </w:tcBorders>
            <w:shd w:val="clear" w:color="auto" w:fill="auto"/>
            <w:noWrap/>
            <w:vAlign w:val="center"/>
            <w:hideMark/>
          </w:tcPr>
          <w:p w14:paraId="3100D933"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Validation cohort (n=163)</w:t>
            </w:r>
          </w:p>
        </w:tc>
        <w:tc>
          <w:tcPr>
            <w:tcW w:w="887" w:type="dxa"/>
            <w:tcBorders>
              <w:top w:val="single" w:sz="12" w:space="0" w:color="000000"/>
              <w:left w:val="nil"/>
              <w:bottom w:val="single" w:sz="8" w:space="0" w:color="000000"/>
              <w:right w:val="nil"/>
            </w:tcBorders>
            <w:shd w:val="clear" w:color="auto" w:fill="auto"/>
            <w:noWrap/>
            <w:vAlign w:val="center"/>
            <w:hideMark/>
          </w:tcPr>
          <w:p w14:paraId="0899345A" w14:textId="77777777" w:rsidR="006F456B" w:rsidRPr="006F456B" w:rsidRDefault="006F456B" w:rsidP="006F456B">
            <w:pPr>
              <w:widowControl/>
              <w:spacing w:line="480" w:lineRule="auto"/>
              <w:jc w:val="center"/>
              <w:rPr>
                <w:rFonts w:ascii="Times New Roman" w:eastAsia="宋体" w:hAnsi="Times New Roman" w:cs="Times New Roman"/>
                <w:i/>
                <w:iCs/>
                <w:kern w:val="0"/>
                <w:sz w:val="24"/>
                <w:szCs w:val="24"/>
              </w:rPr>
            </w:pPr>
            <w:r w:rsidRPr="006F456B">
              <w:rPr>
                <w:rFonts w:ascii="Times New Roman" w:eastAsia="宋体" w:hAnsi="Times New Roman" w:cs="Times New Roman"/>
                <w:i/>
                <w:iCs/>
                <w:kern w:val="0"/>
                <w:sz w:val="24"/>
                <w:szCs w:val="24"/>
              </w:rPr>
              <w:t>P</w:t>
            </w:r>
            <w:r w:rsidRPr="006F456B">
              <w:rPr>
                <w:rFonts w:ascii="Times New Roman" w:eastAsia="宋体" w:hAnsi="Times New Roman" w:cs="Times New Roman"/>
                <w:kern w:val="0"/>
                <w:sz w:val="24"/>
                <w:szCs w:val="24"/>
              </w:rPr>
              <w:t xml:space="preserve"> value</w:t>
            </w:r>
          </w:p>
        </w:tc>
      </w:tr>
      <w:tr w:rsidR="006F456B" w:rsidRPr="006F456B" w14:paraId="34628693" w14:textId="77777777" w:rsidTr="00617A54">
        <w:trPr>
          <w:trHeight w:val="360"/>
        </w:trPr>
        <w:tc>
          <w:tcPr>
            <w:tcW w:w="4962" w:type="dxa"/>
            <w:gridSpan w:val="2"/>
            <w:tcBorders>
              <w:top w:val="nil"/>
              <w:left w:val="nil"/>
              <w:bottom w:val="nil"/>
              <w:right w:val="nil"/>
            </w:tcBorders>
            <w:shd w:val="clear" w:color="auto" w:fill="auto"/>
            <w:noWrap/>
            <w:vAlign w:val="center"/>
            <w:hideMark/>
          </w:tcPr>
          <w:p w14:paraId="7C0628F1"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Age, year</w:t>
            </w:r>
          </w:p>
        </w:tc>
        <w:tc>
          <w:tcPr>
            <w:tcW w:w="1985" w:type="dxa"/>
            <w:tcBorders>
              <w:top w:val="nil"/>
              <w:left w:val="nil"/>
              <w:bottom w:val="nil"/>
              <w:right w:val="nil"/>
            </w:tcBorders>
            <w:shd w:val="clear" w:color="auto" w:fill="auto"/>
            <w:noWrap/>
            <w:vAlign w:val="center"/>
            <w:hideMark/>
          </w:tcPr>
          <w:p w14:paraId="135D9892"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48.7±8.0</w:t>
            </w:r>
          </w:p>
        </w:tc>
        <w:tc>
          <w:tcPr>
            <w:tcW w:w="1998" w:type="dxa"/>
            <w:tcBorders>
              <w:top w:val="nil"/>
              <w:left w:val="nil"/>
              <w:bottom w:val="nil"/>
              <w:right w:val="nil"/>
            </w:tcBorders>
            <w:shd w:val="clear" w:color="auto" w:fill="auto"/>
            <w:noWrap/>
            <w:vAlign w:val="center"/>
            <w:hideMark/>
          </w:tcPr>
          <w:p w14:paraId="08B2C5A0"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49.6±8.4</w:t>
            </w:r>
          </w:p>
        </w:tc>
        <w:tc>
          <w:tcPr>
            <w:tcW w:w="887" w:type="dxa"/>
            <w:tcBorders>
              <w:top w:val="nil"/>
              <w:left w:val="nil"/>
              <w:bottom w:val="nil"/>
              <w:right w:val="nil"/>
            </w:tcBorders>
            <w:shd w:val="clear" w:color="auto" w:fill="auto"/>
            <w:noWrap/>
            <w:vAlign w:val="center"/>
            <w:hideMark/>
          </w:tcPr>
          <w:p w14:paraId="4D544186"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0.241</w:t>
            </w:r>
            <w:r w:rsidRPr="006F456B">
              <w:rPr>
                <w:rFonts w:ascii="Times New Roman" w:eastAsia="宋体" w:hAnsi="Times New Roman" w:cs="Times New Roman"/>
                <w:kern w:val="0"/>
                <w:sz w:val="24"/>
                <w:szCs w:val="24"/>
                <w:vertAlign w:val="superscript"/>
              </w:rPr>
              <w:t>*</w:t>
            </w:r>
          </w:p>
        </w:tc>
      </w:tr>
      <w:tr w:rsidR="006F456B" w:rsidRPr="006F456B" w14:paraId="741B01D2" w14:textId="77777777" w:rsidTr="00617A54">
        <w:trPr>
          <w:trHeight w:val="403"/>
        </w:trPr>
        <w:tc>
          <w:tcPr>
            <w:tcW w:w="3403" w:type="dxa"/>
            <w:vMerge w:val="restart"/>
            <w:tcBorders>
              <w:top w:val="nil"/>
              <w:left w:val="nil"/>
              <w:bottom w:val="nil"/>
              <w:right w:val="nil"/>
            </w:tcBorders>
            <w:shd w:val="clear" w:color="auto" w:fill="auto"/>
            <w:vAlign w:val="center"/>
            <w:hideMark/>
          </w:tcPr>
          <w:p w14:paraId="42D18786"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 xml:space="preserve">BC family history, </w:t>
            </w:r>
            <w:proofErr w:type="gramStart"/>
            <w:r w:rsidRPr="006F456B">
              <w:rPr>
                <w:rFonts w:ascii="Times New Roman" w:eastAsia="宋体" w:hAnsi="Times New Roman" w:cs="Times New Roman"/>
                <w:kern w:val="0"/>
                <w:sz w:val="24"/>
                <w:szCs w:val="24"/>
              </w:rPr>
              <w:t>n(</w:t>
            </w:r>
            <w:proofErr w:type="gramEnd"/>
            <w:r w:rsidRPr="006F456B">
              <w:rPr>
                <w:rFonts w:ascii="Times New Roman" w:eastAsia="宋体" w:hAnsi="Times New Roman" w:cs="Times New Roman"/>
                <w:kern w:val="0"/>
                <w:sz w:val="24"/>
                <w:szCs w:val="24"/>
              </w:rPr>
              <w:t>%)</w:t>
            </w:r>
          </w:p>
        </w:tc>
        <w:tc>
          <w:tcPr>
            <w:tcW w:w="1559" w:type="dxa"/>
            <w:tcBorders>
              <w:top w:val="nil"/>
              <w:left w:val="nil"/>
              <w:bottom w:val="nil"/>
              <w:right w:val="nil"/>
            </w:tcBorders>
            <w:shd w:val="clear" w:color="auto" w:fill="auto"/>
            <w:noWrap/>
            <w:vAlign w:val="center"/>
            <w:hideMark/>
          </w:tcPr>
          <w:p w14:paraId="7B48FC83"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No</w:t>
            </w:r>
          </w:p>
        </w:tc>
        <w:tc>
          <w:tcPr>
            <w:tcW w:w="1985" w:type="dxa"/>
            <w:tcBorders>
              <w:top w:val="nil"/>
              <w:left w:val="nil"/>
              <w:bottom w:val="nil"/>
              <w:right w:val="nil"/>
            </w:tcBorders>
            <w:shd w:val="clear" w:color="auto" w:fill="auto"/>
            <w:noWrap/>
            <w:vAlign w:val="center"/>
            <w:hideMark/>
          </w:tcPr>
          <w:p w14:paraId="3A0C2FD1"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346 (97.7%)</w:t>
            </w:r>
          </w:p>
        </w:tc>
        <w:tc>
          <w:tcPr>
            <w:tcW w:w="1998" w:type="dxa"/>
            <w:tcBorders>
              <w:top w:val="nil"/>
              <w:left w:val="nil"/>
              <w:bottom w:val="nil"/>
              <w:right w:val="nil"/>
            </w:tcBorders>
            <w:shd w:val="clear" w:color="auto" w:fill="auto"/>
            <w:noWrap/>
            <w:vAlign w:val="center"/>
            <w:hideMark/>
          </w:tcPr>
          <w:p w14:paraId="00933315"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158 (97.5%)</w:t>
            </w:r>
          </w:p>
        </w:tc>
        <w:tc>
          <w:tcPr>
            <w:tcW w:w="887" w:type="dxa"/>
            <w:vMerge w:val="restart"/>
            <w:tcBorders>
              <w:top w:val="nil"/>
              <w:left w:val="nil"/>
              <w:bottom w:val="nil"/>
              <w:right w:val="nil"/>
            </w:tcBorders>
            <w:shd w:val="clear" w:color="auto" w:fill="auto"/>
            <w:noWrap/>
            <w:vAlign w:val="center"/>
            <w:hideMark/>
          </w:tcPr>
          <w:p w14:paraId="2A1B4B0D"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0.892</w:t>
            </w:r>
            <w:r w:rsidRPr="006F456B">
              <w:rPr>
                <w:rFonts w:ascii="Times New Roman" w:eastAsia="宋体" w:hAnsi="Times New Roman" w:cs="Times New Roman"/>
                <w:bCs/>
                <w:sz w:val="24"/>
                <w:szCs w:val="24"/>
                <w:vertAlign w:val="superscript"/>
              </w:rPr>
              <w:t>$</w:t>
            </w:r>
          </w:p>
        </w:tc>
      </w:tr>
      <w:tr w:rsidR="006F456B" w:rsidRPr="006F456B" w14:paraId="29C6FEED" w14:textId="77777777" w:rsidTr="00617A54">
        <w:trPr>
          <w:trHeight w:val="360"/>
        </w:trPr>
        <w:tc>
          <w:tcPr>
            <w:tcW w:w="3403" w:type="dxa"/>
            <w:vMerge/>
            <w:tcBorders>
              <w:top w:val="nil"/>
              <w:left w:val="nil"/>
              <w:bottom w:val="nil"/>
              <w:right w:val="nil"/>
            </w:tcBorders>
            <w:vAlign w:val="center"/>
            <w:hideMark/>
          </w:tcPr>
          <w:p w14:paraId="4B21C14C"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p>
        </w:tc>
        <w:tc>
          <w:tcPr>
            <w:tcW w:w="1559" w:type="dxa"/>
            <w:tcBorders>
              <w:top w:val="nil"/>
              <w:left w:val="nil"/>
              <w:bottom w:val="nil"/>
              <w:right w:val="nil"/>
            </w:tcBorders>
            <w:shd w:val="clear" w:color="auto" w:fill="auto"/>
            <w:noWrap/>
            <w:vAlign w:val="center"/>
            <w:hideMark/>
          </w:tcPr>
          <w:p w14:paraId="69016755"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Yes</w:t>
            </w:r>
          </w:p>
        </w:tc>
        <w:tc>
          <w:tcPr>
            <w:tcW w:w="1985" w:type="dxa"/>
            <w:tcBorders>
              <w:top w:val="nil"/>
              <w:left w:val="nil"/>
              <w:bottom w:val="nil"/>
              <w:right w:val="nil"/>
            </w:tcBorders>
            <w:shd w:val="clear" w:color="auto" w:fill="auto"/>
            <w:noWrap/>
            <w:vAlign w:val="center"/>
            <w:hideMark/>
          </w:tcPr>
          <w:p w14:paraId="75E62934"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8 (2.3%)</w:t>
            </w:r>
          </w:p>
        </w:tc>
        <w:tc>
          <w:tcPr>
            <w:tcW w:w="1998" w:type="dxa"/>
            <w:tcBorders>
              <w:top w:val="nil"/>
              <w:left w:val="nil"/>
              <w:bottom w:val="nil"/>
              <w:right w:val="nil"/>
            </w:tcBorders>
            <w:shd w:val="clear" w:color="auto" w:fill="auto"/>
            <w:noWrap/>
            <w:vAlign w:val="center"/>
            <w:hideMark/>
          </w:tcPr>
          <w:p w14:paraId="19C79D5D"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4 (2.5%)</w:t>
            </w:r>
          </w:p>
        </w:tc>
        <w:tc>
          <w:tcPr>
            <w:tcW w:w="887" w:type="dxa"/>
            <w:vMerge/>
            <w:tcBorders>
              <w:top w:val="nil"/>
              <w:left w:val="nil"/>
              <w:bottom w:val="nil"/>
              <w:right w:val="nil"/>
            </w:tcBorders>
            <w:vAlign w:val="center"/>
            <w:hideMark/>
          </w:tcPr>
          <w:p w14:paraId="19ECBACD" w14:textId="77777777" w:rsidR="006F456B" w:rsidRPr="006F456B" w:rsidRDefault="006F456B" w:rsidP="006F456B">
            <w:pPr>
              <w:widowControl/>
              <w:spacing w:line="480" w:lineRule="auto"/>
              <w:jc w:val="left"/>
              <w:rPr>
                <w:rFonts w:ascii="Times New Roman" w:eastAsia="宋体" w:hAnsi="Times New Roman" w:cs="Times New Roman"/>
                <w:kern w:val="0"/>
                <w:sz w:val="24"/>
                <w:szCs w:val="24"/>
              </w:rPr>
            </w:pPr>
          </w:p>
        </w:tc>
      </w:tr>
      <w:tr w:rsidR="006F456B" w:rsidRPr="006F456B" w14:paraId="286EE8C1" w14:textId="77777777" w:rsidTr="00617A54">
        <w:trPr>
          <w:trHeight w:val="315"/>
        </w:trPr>
        <w:tc>
          <w:tcPr>
            <w:tcW w:w="4962" w:type="dxa"/>
            <w:gridSpan w:val="2"/>
            <w:tcBorders>
              <w:top w:val="nil"/>
              <w:left w:val="nil"/>
              <w:bottom w:val="nil"/>
              <w:right w:val="nil"/>
            </w:tcBorders>
            <w:shd w:val="clear" w:color="auto" w:fill="auto"/>
            <w:noWrap/>
            <w:vAlign w:val="center"/>
            <w:hideMark/>
          </w:tcPr>
          <w:p w14:paraId="522E8344" w14:textId="77777777" w:rsidR="006F456B" w:rsidRPr="006F456B" w:rsidRDefault="006F456B" w:rsidP="006F456B">
            <w:pPr>
              <w:widowControl/>
              <w:spacing w:line="480" w:lineRule="auto"/>
              <w:jc w:val="center"/>
              <w:rPr>
                <w:rFonts w:ascii="Times New Roman" w:eastAsia="宋体" w:hAnsi="Times New Roman" w:cs="Times New Roman"/>
                <w:bCs/>
                <w:kern w:val="0"/>
                <w:sz w:val="24"/>
                <w:szCs w:val="24"/>
              </w:rPr>
            </w:pPr>
            <w:r w:rsidRPr="006F456B">
              <w:rPr>
                <w:rFonts w:ascii="Times New Roman" w:eastAsia="宋体" w:hAnsi="Times New Roman" w:cs="Times New Roman"/>
                <w:bCs/>
                <w:kern w:val="0"/>
                <w:sz w:val="24"/>
                <w:szCs w:val="24"/>
              </w:rPr>
              <w:t>Tumor size, cm</w:t>
            </w:r>
          </w:p>
        </w:tc>
        <w:tc>
          <w:tcPr>
            <w:tcW w:w="1985" w:type="dxa"/>
            <w:tcBorders>
              <w:top w:val="nil"/>
              <w:left w:val="nil"/>
              <w:bottom w:val="nil"/>
              <w:right w:val="nil"/>
            </w:tcBorders>
            <w:shd w:val="clear" w:color="auto" w:fill="auto"/>
            <w:noWrap/>
            <w:vAlign w:val="center"/>
            <w:hideMark/>
          </w:tcPr>
          <w:p w14:paraId="5D6EB83E"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2.37 (1.79-3.07)</w:t>
            </w:r>
          </w:p>
        </w:tc>
        <w:tc>
          <w:tcPr>
            <w:tcW w:w="1998" w:type="dxa"/>
            <w:tcBorders>
              <w:top w:val="nil"/>
              <w:left w:val="nil"/>
              <w:bottom w:val="nil"/>
              <w:right w:val="nil"/>
            </w:tcBorders>
            <w:shd w:val="clear" w:color="auto" w:fill="auto"/>
            <w:noWrap/>
            <w:vAlign w:val="center"/>
            <w:hideMark/>
          </w:tcPr>
          <w:p w14:paraId="7B9F1BFB"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2.48 (1.72-3.11)</w:t>
            </w:r>
          </w:p>
        </w:tc>
        <w:tc>
          <w:tcPr>
            <w:tcW w:w="887" w:type="dxa"/>
            <w:tcBorders>
              <w:top w:val="nil"/>
              <w:left w:val="nil"/>
              <w:bottom w:val="nil"/>
              <w:right w:val="nil"/>
            </w:tcBorders>
            <w:shd w:val="clear" w:color="auto" w:fill="auto"/>
            <w:noWrap/>
            <w:vAlign w:val="center"/>
            <w:hideMark/>
          </w:tcPr>
          <w:p w14:paraId="220156E2"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0.172</w:t>
            </w:r>
            <w:r w:rsidRPr="006F456B">
              <w:rPr>
                <w:rFonts w:ascii="Times New Roman" w:eastAsia="宋体" w:hAnsi="Times New Roman" w:cs="Times New Roman"/>
                <w:bCs/>
                <w:sz w:val="24"/>
                <w:szCs w:val="24"/>
                <w:vertAlign w:val="superscript"/>
              </w:rPr>
              <w:t>#</w:t>
            </w:r>
          </w:p>
        </w:tc>
      </w:tr>
      <w:tr w:rsidR="006F456B" w:rsidRPr="006F456B" w14:paraId="7A6DC198" w14:textId="77777777" w:rsidTr="00617A54">
        <w:trPr>
          <w:trHeight w:val="315"/>
        </w:trPr>
        <w:tc>
          <w:tcPr>
            <w:tcW w:w="3403" w:type="dxa"/>
            <w:vMerge w:val="restart"/>
            <w:tcBorders>
              <w:top w:val="nil"/>
              <w:left w:val="nil"/>
              <w:bottom w:val="nil"/>
              <w:right w:val="nil"/>
            </w:tcBorders>
            <w:shd w:val="clear" w:color="auto" w:fill="auto"/>
            <w:vAlign w:val="center"/>
            <w:hideMark/>
          </w:tcPr>
          <w:p w14:paraId="41E406FC" w14:textId="77777777" w:rsidR="006F456B" w:rsidRPr="006F456B" w:rsidRDefault="006F456B" w:rsidP="006F456B">
            <w:pPr>
              <w:widowControl/>
              <w:spacing w:line="480" w:lineRule="auto"/>
              <w:jc w:val="center"/>
              <w:rPr>
                <w:rFonts w:ascii="Times New Roman" w:eastAsia="宋体" w:hAnsi="Times New Roman" w:cs="Times New Roman"/>
                <w:bCs/>
                <w:kern w:val="0"/>
                <w:sz w:val="24"/>
                <w:szCs w:val="24"/>
              </w:rPr>
            </w:pPr>
            <w:r w:rsidRPr="006F456B">
              <w:rPr>
                <w:rFonts w:ascii="Times New Roman" w:eastAsia="宋体" w:hAnsi="Times New Roman" w:cs="Times New Roman"/>
                <w:bCs/>
                <w:kern w:val="0"/>
                <w:sz w:val="24"/>
                <w:szCs w:val="24"/>
              </w:rPr>
              <w:t xml:space="preserve">Clinical T stage, </w:t>
            </w:r>
            <w:proofErr w:type="gramStart"/>
            <w:r w:rsidRPr="006F456B">
              <w:rPr>
                <w:rFonts w:ascii="Times New Roman" w:eastAsia="宋体" w:hAnsi="Times New Roman" w:cs="Times New Roman"/>
                <w:bCs/>
                <w:kern w:val="0"/>
                <w:sz w:val="24"/>
                <w:szCs w:val="24"/>
              </w:rPr>
              <w:t>n(</w:t>
            </w:r>
            <w:proofErr w:type="gramEnd"/>
            <w:r w:rsidRPr="006F456B">
              <w:rPr>
                <w:rFonts w:ascii="Times New Roman" w:eastAsia="宋体" w:hAnsi="Times New Roman" w:cs="Times New Roman"/>
                <w:bCs/>
                <w:kern w:val="0"/>
                <w:sz w:val="24"/>
                <w:szCs w:val="24"/>
              </w:rPr>
              <w:t>%)</w:t>
            </w:r>
          </w:p>
        </w:tc>
        <w:tc>
          <w:tcPr>
            <w:tcW w:w="1559" w:type="dxa"/>
            <w:tcBorders>
              <w:top w:val="nil"/>
              <w:left w:val="nil"/>
              <w:bottom w:val="nil"/>
              <w:right w:val="nil"/>
            </w:tcBorders>
            <w:shd w:val="clear" w:color="auto" w:fill="auto"/>
            <w:noWrap/>
            <w:vAlign w:val="center"/>
            <w:hideMark/>
          </w:tcPr>
          <w:p w14:paraId="63ECC757"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cT1</w:t>
            </w:r>
          </w:p>
        </w:tc>
        <w:tc>
          <w:tcPr>
            <w:tcW w:w="1985" w:type="dxa"/>
            <w:tcBorders>
              <w:top w:val="nil"/>
              <w:left w:val="nil"/>
              <w:bottom w:val="nil"/>
              <w:right w:val="nil"/>
            </w:tcBorders>
            <w:shd w:val="clear" w:color="auto" w:fill="auto"/>
            <w:noWrap/>
            <w:vAlign w:val="center"/>
            <w:hideMark/>
          </w:tcPr>
          <w:p w14:paraId="0DA82DA0"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113 (31.9%)</w:t>
            </w:r>
          </w:p>
        </w:tc>
        <w:tc>
          <w:tcPr>
            <w:tcW w:w="1998" w:type="dxa"/>
            <w:tcBorders>
              <w:top w:val="nil"/>
              <w:left w:val="nil"/>
              <w:bottom w:val="nil"/>
              <w:right w:val="nil"/>
            </w:tcBorders>
            <w:shd w:val="clear" w:color="auto" w:fill="auto"/>
            <w:noWrap/>
            <w:vAlign w:val="center"/>
            <w:hideMark/>
          </w:tcPr>
          <w:p w14:paraId="07EAFE83"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60 (36.8%)</w:t>
            </w:r>
          </w:p>
        </w:tc>
        <w:tc>
          <w:tcPr>
            <w:tcW w:w="887" w:type="dxa"/>
            <w:vMerge w:val="restart"/>
            <w:tcBorders>
              <w:top w:val="nil"/>
              <w:left w:val="nil"/>
              <w:bottom w:val="nil"/>
              <w:right w:val="nil"/>
            </w:tcBorders>
            <w:shd w:val="clear" w:color="auto" w:fill="auto"/>
            <w:noWrap/>
            <w:vAlign w:val="center"/>
            <w:hideMark/>
          </w:tcPr>
          <w:p w14:paraId="5D32A195"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0.274</w:t>
            </w:r>
            <w:r w:rsidRPr="006F456B">
              <w:rPr>
                <w:rFonts w:ascii="Times New Roman" w:eastAsia="宋体" w:hAnsi="Times New Roman" w:cs="Times New Roman"/>
                <w:bCs/>
                <w:sz w:val="24"/>
                <w:szCs w:val="24"/>
                <w:vertAlign w:val="superscript"/>
              </w:rPr>
              <w:t>$</w:t>
            </w:r>
          </w:p>
        </w:tc>
      </w:tr>
      <w:tr w:rsidR="006F456B" w:rsidRPr="006F456B" w14:paraId="3D51BCE4" w14:textId="77777777" w:rsidTr="00617A54">
        <w:trPr>
          <w:trHeight w:val="315"/>
        </w:trPr>
        <w:tc>
          <w:tcPr>
            <w:tcW w:w="3403" w:type="dxa"/>
            <w:vMerge/>
            <w:tcBorders>
              <w:top w:val="nil"/>
              <w:left w:val="nil"/>
              <w:bottom w:val="nil"/>
              <w:right w:val="nil"/>
            </w:tcBorders>
            <w:vAlign w:val="center"/>
            <w:hideMark/>
          </w:tcPr>
          <w:p w14:paraId="5FA8D6B5" w14:textId="77777777" w:rsidR="006F456B" w:rsidRPr="006F456B" w:rsidRDefault="006F456B" w:rsidP="006F456B">
            <w:pPr>
              <w:widowControl/>
              <w:spacing w:line="480" w:lineRule="auto"/>
              <w:jc w:val="center"/>
              <w:rPr>
                <w:rFonts w:ascii="Times New Roman" w:eastAsia="宋体" w:hAnsi="Times New Roman" w:cs="Times New Roman"/>
                <w:bCs/>
                <w:kern w:val="0"/>
                <w:sz w:val="24"/>
                <w:szCs w:val="24"/>
              </w:rPr>
            </w:pPr>
          </w:p>
        </w:tc>
        <w:tc>
          <w:tcPr>
            <w:tcW w:w="1559" w:type="dxa"/>
            <w:tcBorders>
              <w:top w:val="nil"/>
              <w:left w:val="nil"/>
              <w:bottom w:val="nil"/>
              <w:right w:val="nil"/>
            </w:tcBorders>
            <w:shd w:val="clear" w:color="auto" w:fill="auto"/>
            <w:noWrap/>
            <w:vAlign w:val="center"/>
            <w:hideMark/>
          </w:tcPr>
          <w:p w14:paraId="6B41CC92"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cT2</w:t>
            </w:r>
          </w:p>
        </w:tc>
        <w:tc>
          <w:tcPr>
            <w:tcW w:w="1985" w:type="dxa"/>
            <w:tcBorders>
              <w:top w:val="nil"/>
              <w:left w:val="nil"/>
              <w:bottom w:val="nil"/>
              <w:right w:val="nil"/>
            </w:tcBorders>
            <w:shd w:val="clear" w:color="auto" w:fill="auto"/>
            <w:noWrap/>
            <w:vAlign w:val="center"/>
            <w:hideMark/>
          </w:tcPr>
          <w:p w14:paraId="5651EFAE"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241 (68.1%)</w:t>
            </w:r>
          </w:p>
        </w:tc>
        <w:tc>
          <w:tcPr>
            <w:tcW w:w="1998" w:type="dxa"/>
            <w:tcBorders>
              <w:top w:val="nil"/>
              <w:left w:val="nil"/>
              <w:bottom w:val="nil"/>
              <w:right w:val="nil"/>
            </w:tcBorders>
            <w:shd w:val="clear" w:color="auto" w:fill="auto"/>
            <w:noWrap/>
            <w:vAlign w:val="center"/>
            <w:hideMark/>
          </w:tcPr>
          <w:p w14:paraId="2064BCC1"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103 (63.2%)</w:t>
            </w:r>
          </w:p>
        </w:tc>
        <w:tc>
          <w:tcPr>
            <w:tcW w:w="887" w:type="dxa"/>
            <w:vMerge/>
            <w:tcBorders>
              <w:top w:val="nil"/>
              <w:left w:val="nil"/>
              <w:bottom w:val="nil"/>
              <w:right w:val="nil"/>
            </w:tcBorders>
            <w:vAlign w:val="center"/>
            <w:hideMark/>
          </w:tcPr>
          <w:p w14:paraId="53AA0A15" w14:textId="77777777" w:rsidR="006F456B" w:rsidRPr="006F456B" w:rsidRDefault="006F456B" w:rsidP="006F456B">
            <w:pPr>
              <w:widowControl/>
              <w:spacing w:line="480" w:lineRule="auto"/>
              <w:jc w:val="left"/>
              <w:rPr>
                <w:rFonts w:ascii="Times New Roman" w:eastAsia="宋体" w:hAnsi="Times New Roman" w:cs="Times New Roman"/>
                <w:kern w:val="0"/>
                <w:sz w:val="24"/>
                <w:szCs w:val="24"/>
              </w:rPr>
            </w:pPr>
          </w:p>
        </w:tc>
      </w:tr>
      <w:tr w:rsidR="006F456B" w:rsidRPr="006F456B" w14:paraId="7700057E" w14:textId="77777777" w:rsidTr="00617A54">
        <w:trPr>
          <w:trHeight w:val="315"/>
        </w:trPr>
        <w:tc>
          <w:tcPr>
            <w:tcW w:w="3403" w:type="dxa"/>
            <w:vMerge w:val="restart"/>
            <w:tcBorders>
              <w:top w:val="nil"/>
              <w:left w:val="nil"/>
              <w:bottom w:val="nil"/>
              <w:right w:val="nil"/>
            </w:tcBorders>
            <w:shd w:val="clear" w:color="auto" w:fill="auto"/>
            <w:vAlign w:val="center"/>
            <w:hideMark/>
          </w:tcPr>
          <w:p w14:paraId="03C85AF0" w14:textId="77777777" w:rsidR="006F456B" w:rsidRPr="006F456B" w:rsidRDefault="006F456B" w:rsidP="006F456B">
            <w:pPr>
              <w:widowControl/>
              <w:spacing w:line="480" w:lineRule="auto"/>
              <w:jc w:val="center"/>
              <w:rPr>
                <w:rFonts w:ascii="Times New Roman" w:eastAsia="宋体" w:hAnsi="Times New Roman" w:cs="Times New Roman"/>
                <w:bCs/>
                <w:kern w:val="0"/>
                <w:sz w:val="24"/>
                <w:szCs w:val="24"/>
              </w:rPr>
            </w:pPr>
            <w:r w:rsidRPr="006F456B">
              <w:rPr>
                <w:rFonts w:ascii="Times New Roman" w:eastAsia="宋体" w:hAnsi="Times New Roman" w:cs="Times New Roman"/>
                <w:bCs/>
                <w:kern w:val="0"/>
                <w:sz w:val="24"/>
                <w:szCs w:val="24"/>
              </w:rPr>
              <w:t xml:space="preserve">US-reported LN status, </w:t>
            </w:r>
            <w:proofErr w:type="gramStart"/>
            <w:r w:rsidRPr="006F456B">
              <w:rPr>
                <w:rFonts w:ascii="Times New Roman" w:eastAsia="宋体" w:hAnsi="Times New Roman" w:cs="Times New Roman"/>
                <w:bCs/>
                <w:kern w:val="0"/>
                <w:sz w:val="24"/>
                <w:szCs w:val="24"/>
              </w:rPr>
              <w:t>n(</w:t>
            </w:r>
            <w:proofErr w:type="gramEnd"/>
            <w:r w:rsidRPr="006F456B">
              <w:rPr>
                <w:rFonts w:ascii="Times New Roman" w:eastAsia="宋体" w:hAnsi="Times New Roman" w:cs="Times New Roman"/>
                <w:bCs/>
                <w:kern w:val="0"/>
                <w:sz w:val="24"/>
                <w:szCs w:val="24"/>
              </w:rPr>
              <w:t>%)</w:t>
            </w:r>
          </w:p>
        </w:tc>
        <w:tc>
          <w:tcPr>
            <w:tcW w:w="1559" w:type="dxa"/>
            <w:tcBorders>
              <w:top w:val="nil"/>
              <w:left w:val="nil"/>
              <w:bottom w:val="nil"/>
              <w:right w:val="nil"/>
            </w:tcBorders>
            <w:shd w:val="clear" w:color="auto" w:fill="auto"/>
            <w:noWrap/>
            <w:vAlign w:val="center"/>
            <w:hideMark/>
          </w:tcPr>
          <w:p w14:paraId="38555013"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Negative</w:t>
            </w:r>
          </w:p>
        </w:tc>
        <w:tc>
          <w:tcPr>
            <w:tcW w:w="1985" w:type="dxa"/>
            <w:tcBorders>
              <w:top w:val="nil"/>
              <w:left w:val="nil"/>
              <w:bottom w:val="nil"/>
              <w:right w:val="nil"/>
            </w:tcBorders>
            <w:shd w:val="clear" w:color="auto" w:fill="auto"/>
            <w:noWrap/>
            <w:vAlign w:val="center"/>
            <w:hideMark/>
          </w:tcPr>
          <w:p w14:paraId="3BEDCD28"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254 (71.8%)</w:t>
            </w:r>
          </w:p>
        </w:tc>
        <w:tc>
          <w:tcPr>
            <w:tcW w:w="1998" w:type="dxa"/>
            <w:tcBorders>
              <w:top w:val="nil"/>
              <w:left w:val="nil"/>
              <w:bottom w:val="nil"/>
              <w:right w:val="nil"/>
            </w:tcBorders>
            <w:shd w:val="clear" w:color="auto" w:fill="auto"/>
            <w:noWrap/>
            <w:vAlign w:val="center"/>
            <w:hideMark/>
          </w:tcPr>
          <w:p w14:paraId="2CE452B8"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115 (70.6%)</w:t>
            </w:r>
          </w:p>
        </w:tc>
        <w:tc>
          <w:tcPr>
            <w:tcW w:w="887" w:type="dxa"/>
            <w:vMerge w:val="restart"/>
            <w:tcBorders>
              <w:top w:val="nil"/>
              <w:left w:val="nil"/>
              <w:bottom w:val="nil"/>
              <w:right w:val="nil"/>
            </w:tcBorders>
            <w:shd w:val="clear" w:color="auto" w:fill="auto"/>
            <w:noWrap/>
            <w:vAlign w:val="center"/>
            <w:hideMark/>
          </w:tcPr>
          <w:p w14:paraId="4E4638DB"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0.779</w:t>
            </w:r>
            <w:r w:rsidRPr="006F456B">
              <w:rPr>
                <w:rFonts w:ascii="Times New Roman" w:eastAsia="宋体" w:hAnsi="Times New Roman" w:cs="Times New Roman"/>
                <w:bCs/>
                <w:sz w:val="24"/>
                <w:szCs w:val="24"/>
                <w:vertAlign w:val="superscript"/>
              </w:rPr>
              <w:t>$</w:t>
            </w:r>
          </w:p>
        </w:tc>
      </w:tr>
      <w:tr w:rsidR="006F456B" w:rsidRPr="006F456B" w14:paraId="5D1AF045" w14:textId="77777777" w:rsidTr="00617A54">
        <w:trPr>
          <w:trHeight w:val="360"/>
        </w:trPr>
        <w:tc>
          <w:tcPr>
            <w:tcW w:w="3403" w:type="dxa"/>
            <w:vMerge/>
            <w:tcBorders>
              <w:top w:val="nil"/>
              <w:left w:val="nil"/>
              <w:bottom w:val="nil"/>
              <w:right w:val="nil"/>
            </w:tcBorders>
            <w:vAlign w:val="center"/>
            <w:hideMark/>
          </w:tcPr>
          <w:p w14:paraId="56DFAE1B" w14:textId="77777777" w:rsidR="006F456B" w:rsidRPr="006F456B" w:rsidRDefault="006F456B" w:rsidP="006F456B">
            <w:pPr>
              <w:widowControl/>
              <w:spacing w:line="480" w:lineRule="auto"/>
              <w:jc w:val="center"/>
              <w:rPr>
                <w:rFonts w:ascii="Times New Roman" w:eastAsia="宋体" w:hAnsi="Times New Roman" w:cs="Times New Roman"/>
                <w:bCs/>
                <w:kern w:val="0"/>
                <w:sz w:val="24"/>
                <w:szCs w:val="24"/>
              </w:rPr>
            </w:pPr>
          </w:p>
        </w:tc>
        <w:tc>
          <w:tcPr>
            <w:tcW w:w="1559" w:type="dxa"/>
            <w:tcBorders>
              <w:top w:val="nil"/>
              <w:left w:val="nil"/>
              <w:bottom w:val="nil"/>
              <w:right w:val="nil"/>
            </w:tcBorders>
            <w:shd w:val="clear" w:color="auto" w:fill="auto"/>
            <w:noWrap/>
            <w:vAlign w:val="center"/>
            <w:hideMark/>
          </w:tcPr>
          <w:p w14:paraId="5E271B0C"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Positive</w:t>
            </w:r>
          </w:p>
        </w:tc>
        <w:tc>
          <w:tcPr>
            <w:tcW w:w="1985" w:type="dxa"/>
            <w:tcBorders>
              <w:top w:val="nil"/>
              <w:left w:val="nil"/>
              <w:bottom w:val="nil"/>
              <w:right w:val="nil"/>
            </w:tcBorders>
            <w:shd w:val="clear" w:color="auto" w:fill="auto"/>
            <w:noWrap/>
            <w:vAlign w:val="center"/>
            <w:hideMark/>
          </w:tcPr>
          <w:p w14:paraId="1D458203"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100 (28.2%)</w:t>
            </w:r>
          </w:p>
        </w:tc>
        <w:tc>
          <w:tcPr>
            <w:tcW w:w="1998" w:type="dxa"/>
            <w:tcBorders>
              <w:top w:val="nil"/>
              <w:left w:val="nil"/>
              <w:bottom w:val="nil"/>
              <w:right w:val="nil"/>
            </w:tcBorders>
            <w:shd w:val="clear" w:color="auto" w:fill="auto"/>
            <w:noWrap/>
            <w:vAlign w:val="center"/>
            <w:hideMark/>
          </w:tcPr>
          <w:p w14:paraId="0E998116"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48 (29.4%)</w:t>
            </w:r>
          </w:p>
        </w:tc>
        <w:tc>
          <w:tcPr>
            <w:tcW w:w="887" w:type="dxa"/>
            <w:vMerge/>
            <w:tcBorders>
              <w:top w:val="nil"/>
              <w:left w:val="nil"/>
              <w:bottom w:val="nil"/>
              <w:right w:val="nil"/>
            </w:tcBorders>
            <w:vAlign w:val="center"/>
            <w:hideMark/>
          </w:tcPr>
          <w:p w14:paraId="31F9F439" w14:textId="77777777" w:rsidR="006F456B" w:rsidRPr="006F456B" w:rsidRDefault="006F456B" w:rsidP="006F456B">
            <w:pPr>
              <w:widowControl/>
              <w:spacing w:line="480" w:lineRule="auto"/>
              <w:jc w:val="left"/>
              <w:rPr>
                <w:rFonts w:ascii="Times New Roman" w:eastAsia="宋体" w:hAnsi="Times New Roman" w:cs="Times New Roman"/>
                <w:kern w:val="0"/>
                <w:sz w:val="24"/>
                <w:szCs w:val="24"/>
              </w:rPr>
            </w:pPr>
          </w:p>
        </w:tc>
      </w:tr>
      <w:tr w:rsidR="006F456B" w:rsidRPr="006F456B" w14:paraId="667425F7" w14:textId="77777777" w:rsidTr="00617A54">
        <w:trPr>
          <w:trHeight w:val="360"/>
        </w:trPr>
        <w:tc>
          <w:tcPr>
            <w:tcW w:w="3403" w:type="dxa"/>
            <w:vMerge w:val="restart"/>
            <w:tcBorders>
              <w:top w:val="nil"/>
              <w:left w:val="nil"/>
              <w:bottom w:val="nil"/>
              <w:right w:val="nil"/>
            </w:tcBorders>
            <w:shd w:val="clear" w:color="auto" w:fill="auto"/>
            <w:vAlign w:val="center"/>
            <w:hideMark/>
          </w:tcPr>
          <w:p w14:paraId="6D805E6E" w14:textId="77777777" w:rsidR="006F456B" w:rsidRPr="006F456B" w:rsidRDefault="006F456B" w:rsidP="006F456B">
            <w:pPr>
              <w:widowControl/>
              <w:spacing w:line="480" w:lineRule="auto"/>
              <w:jc w:val="center"/>
              <w:rPr>
                <w:rFonts w:ascii="Times New Roman" w:eastAsia="宋体" w:hAnsi="Times New Roman" w:cs="Times New Roman"/>
                <w:bCs/>
                <w:kern w:val="0"/>
                <w:sz w:val="24"/>
                <w:szCs w:val="24"/>
              </w:rPr>
            </w:pPr>
            <w:r w:rsidRPr="006F456B">
              <w:rPr>
                <w:rFonts w:ascii="Times New Roman" w:eastAsia="宋体" w:hAnsi="Times New Roman" w:cs="Times New Roman"/>
                <w:bCs/>
                <w:kern w:val="0"/>
                <w:sz w:val="24"/>
                <w:szCs w:val="24"/>
              </w:rPr>
              <w:t xml:space="preserve">ABUS retraction phenomenon, </w:t>
            </w:r>
            <w:proofErr w:type="gramStart"/>
            <w:r w:rsidRPr="006F456B">
              <w:rPr>
                <w:rFonts w:ascii="Times New Roman" w:eastAsia="宋体" w:hAnsi="Times New Roman" w:cs="Times New Roman"/>
                <w:bCs/>
                <w:kern w:val="0"/>
                <w:sz w:val="24"/>
                <w:szCs w:val="24"/>
              </w:rPr>
              <w:t>n(</w:t>
            </w:r>
            <w:proofErr w:type="gramEnd"/>
            <w:r w:rsidRPr="006F456B">
              <w:rPr>
                <w:rFonts w:ascii="Times New Roman" w:eastAsia="宋体" w:hAnsi="Times New Roman" w:cs="Times New Roman"/>
                <w:bCs/>
                <w:kern w:val="0"/>
                <w:sz w:val="24"/>
                <w:szCs w:val="24"/>
              </w:rPr>
              <w:t>%)</w:t>
            </w:r>
          </w:p>
        </w:tc>
        <w:tc>
          <w:tcPr>
            <w:tcW w:w="1559" w:type="dxa"/>
            <w:tcBorders>
              <w:top w:val="nil"/>
              <w:left w:val="nil"/>
              <w:bottom w:val="nil"/>
              <w:right w:val="nil"/>
            </w:tcBorders>
            <w:shd w:val="clear" w:color="auto" w:fill="auto"/>
            <w:noWrap/>
            <w:vAlign w:val="center"/>
            <w:hideMark/>
          </w:tcPr>
          <w:p w14:paraId="70B39A38"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Negative</w:t>
            </w:r>
          </w:p>
        </w:tc>
        <w:tc>
          <w:tcPr>
            <w:tcW w:w="1985" w:type="dxa"/>
            <w:tcBorders>
              <w:top w:val="nil"/>
              <w:left w:val="nil"/>
              <w:bottom w:val="nil"/>
              <w:right w:val="nil"/>
            </w:tcBorders>
            <w:shd w:val="clear" w:color="auto" w:fill="auto"/>
            <w:noWrap/>
            <w:vAlign w:val="center"/>
            <w:hideMark/>
          </w:tcPr>
          <w:p w14:paraId="353044B7"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256 (72.3%)</w:t>
            </w:r>
          </w:p>
        </w:tc>
        <w:tc>
          <w:tcPr>
            <w:tcW w:w="1998" w:type="dxa"/>
            <w:tcBorders>
              <w:top w:val="nil"/>
              <w:left w:val="nil"/>
              <w:bottom w:val="nil"/>
              <w:right w:val="nil"/>
            </w:tcBorders>
            <w:shd w:val="clear" w:color="auto" w:fill="auto"/>
            <w:noWrap/>
            <w:vAlign w:val="center"/>
            <w:hideMark/>
          </w:tcPr>
          <w:p w14:paraId="17C8E963"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111 (68.1%)</w:t>
            </w:r>
          </w:p>
        </w:tc>
        <w:tc>
          <w:tcPr>
            <w:tcW w:w="887" w:type="dxa"/>
            <w:vMerge w:val="restart"/>
            <w:tcBorders>
              <w:top w:val="nil"/>
              <w:left w:val="nil"/>
              <w:bottom w:val="nil"/>
              <w:right w:val="nil"/>
            </w:tcBorders>
            <w:shd w:val="clear" w:color="auto" w:fill="auto"/>
            <w:noWrap/>
            <w:vAlign w:val="center"/>
            <w:hideMark/>
          </w:tcPr>
          <w:p w14:paraId="11AE4AB1"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0.326</w:t>
            </w:r>
            <w:r w:rsidRPr="006F456B">
              <w:rPr>
                <w:rFonts w:ascii="Times New Roman" w:eastAsia="宋体" w:hAnsi="Times New Roman" w:cs="Times New Roman"/>
                <w:bCs/>
                <w:sz w:val="24"/>
                <w:szCs w:val="24"/>
                <w:vertAlign w:val="superscript"/>
              </w:rPr>
              <w:t>$</w:t>
            </w:r>
          </w:p>
        </w:tc>
      </w:tr>
      <w:tr w:rsidR="006F456B" w:rsidRPr="006F456B" w14:paraId="692483AF" w14:textId="77777777" w:rsidTr="00617A54">
        <w:trPr>
          <w:trHeight w:val="360"/>
        </w:trPr>
        <w:tc>
          <w:tcPr>
            <w:tcW w:w="3403" w:type="dxa"/>
            <w:vMerge/>
            <w:tcBorders>
              <w:top w:val="nil"/>
              <w:left w:val="nil"/>
              <w:bottom w:val="nil"/>
              <w:right w:val="nil"/>
            </w:tcBorders>
            <w:vAlign w:val="center"/>
            <w:hideMark/>
          </w:tcPr>
          <w:p w14:paraId="10E16161" w14:textId="77777777" w:rsidR="006F456B" w:rsidRPr="006F456B" w:rsidRDefault="006F456B" w:rsidP="006F456B">
            <w:pPr>
              <w:widowControl/>
              <w:spacing w:line="480" w:lineRule="auto"/>
              <w:jc w:val="center"/>
              <w:rPr>
                <w:rFonts w:ascii="Times New Roman" w:eastAsia="宋体" w:hAnsi="Times New Roman" w:cs="Times New Roman"/>
                <w:bCs/>
                <w:kern w:val="0"/>
                <w:sz w:val="24"/>
                <w:szCs w:val="24"/>
              </w:rPr>
            </w:pPr>
          </w:p>
        </w:tc>
        <w:tc>
          <w:tcPr>
            <w:tcW w:w="1559" w:type="dxa"/>
            <w:tcBorders>
              <w:top w:val="nil"/>
              <w:left w:val="nil"/>
              <w:bottom w:val="nil"/>
              <w:right w:val="nil"/>
            </w:tcBorders>
            <w:shd w:val="clear" w:color="auto" w:fill="auto"/>
            <w:noWrap/>
            <w:vAlign w:val="center"/>
            <w:hideMark/>
          </w:tcPr>
          <w:p w14:paraId="31618840"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Positive</w:t>
            </w:r>
          </w:p>
        </w:tc>
        <w:tc>
          <w:tcPr>
            <w:tcW w:w="1985" w:type="dxa"/>
            <w:tcBorders>
              <w:top w:val="nil"/>
              <w:left w:val="nil"/>
              <w:bottom w:val="nil"/>
              <w:right w:val="nil"/>
            </w:tcBorders>
            <w:shd w:val="clear" w:color="auto" w:fill="auto"/>
            <w:noWrap/>
            <w:vAlign w:val="center"/>
            <w:hideMark/>
          </w:tcPr>
          <w:p w14:paraId="05B4DA11"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98 (27.7%)</w:t>
            </w:r>
          </w:p>
        </w:tc>
        <w:tc>
          <w:tcPr>
            <w:tcW w:w="1998" w:type="dxa"/>
            <w:tcBorders>
              <w:top w:val="nil"/>
              <w:left w:val="nil"/>
              <w:bottom w:val="nil"/>
              <w:right w:val="nil"/>
            </w:tcBorders>
            <w:shd w:val="clear" w:color="auto" w:fill="auto"/>
            <w:noWrap/>
            <w:vAlign w:val="center"/>
            <w:hideMark/>
          </w:tcPr>
          <w:p w14:paraId="061E775A"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52 (31.9%)</w:t>
            </w:r>
          </w:p>
        </w:tc>
        <w:tc>
          <w:tcPr>
            <w:tcW w:w="887" w:type="dxa"/>
            <w:vMerge/>
            <w:tcBorders>
              <w:top w:val="nil"/>
              <w:left w:val="nil"/>
              <w:bottom w:val="nil"/>
              <w:right w:val="nil"/>
            </w:tcBorders>
            <w:vAlign w:val="center"/>
            <w:hideMark/>
          </w:tcPr>
          <w:p w14:paraId="59D55B83" w14:textId="77777777" w:rsidR="006F456B" w:rsidRPr="006F456B" w:rsidRDefault="006F456B" w:rsidP="006F456B">
            <w:pPr>
              <w:widowControl/>
              <w:spacing w:line="480" w:lineRule="auto"/>
              <w:jc w:val="left"/>
              <w:rPr>
                <w:rFonts w:ascii="Times New Roman" w:eastAsia="宋体" w:hAnsi="Times New Roman" w:cs="Times New Roman"/>
                <w:kern w:val="0"/>
                <w:sz w:val="24"/>
                <w:szCs w:val="24"/>
              </w:rPr>
            </w:pPr>
          </w:p>
        </w:tc>
      </w:tr>
      <w:tr w:rsidR="006F456B" w:rsidRPr="006F456B" w14:paraId="6EB85F16" w14:textId="77777777" w:rsidTr="00617A54">
        <w:trPr>
          <w:trHeight w:val="315"/>
        </w:trPr>
        <w:tc>
          <w:tcPr>
            <w:tcW w:w="3403" w:type="dxa"/>
            <w:vMerge w:val="restart"/>
            <w:tcBorders>
              <w:top w:val="nil"/>
              <w:left w:val="nil"/>
              <w:bottom w:val="nil"/>
              <w:right w:val="nil"/>
            </w:tcBorders>
            <w:shd w:val="clear" w:color="auto" w:fill="auto"/>
            <w:vAlign w:val="center"/>
            <w:hideMark/>
          </w:tcPr>
          <w:p w14:paraId="38DCBB46"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 xml:space="preserve">Histologic type, </w:t>
            </w:r>
            <w:proofErr w:type="gramStart"/>
            <w:r w:rsidRPr="006F456B">
              <w:rPr>
                <w:rFonts w:ascii="Times New Roman" w:eastAsia="宋体" w:hAnsi="Times New Roman" w:cs="Times New Roman"/>
                <w:kern w:val="0"/>
                <w:sz w:val="24"/>
                <w:szCs w:val="24"/>
              </w:rPr>
              <w:t>n(</w:t>
            </w:r>
            <w:proofErr w:type="gramEnd"/>
            <w:r w:rsidRPr="006F456B">
              <w:rPr>
                <w:rFonts w:ascii="Times New Roman" w:eastAsia="宋体" w:hAnsi="Times New Roman" w:cs="Times New Roman"/>
                <w:kern w:val="0"/>
                <w:sz w:val="24"/>
                <w:szCs w:val="24"/>
              </w:rPr>
              <w:t>%)</w:t>
            </w:r>
          </w:p>
        </w:tc>
        <w:tc>
          <w:tcPr>
            <w:tcW w:w="1559" w:type="dxa"/>
            <w:tcBorders>
              <w:top w:val="nil"/>
              <w:left w:val="nil"/>
              <w:bottom w:val="nil"/>
              <w:right w:val="nil"/>
            </w:tcBorders>
            <w:shd w:val="clear" w:color="auto" w:fill="auto"/>
            <w:noWrap/>
            <w:vAlign w:val="center"/>
            <w:hideMark/>
          </w:tcPr>
          <w:p w14:paraId="07093916"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IDC</w:t>
            </w:r>
          </w:p>
        </w:tc>
        <w:tc>
          <w:tcPr>
            <w:tcW w:w="1985" w:type="dxa"/>
            <w:tcBorders>
              <w:top w:val="nil"/>
              <w:left w:val="nil"/>
              <w:bottom w:val="nil"/>
              <w:right w:val="nil"/>
            </w:tcBorders>
            <w:shd w:val="clear" w:color="auto" w:fill="auto"/>
            <w:noWrap/>
            <w:vAlign w:val="center"/>
            <w:hideMark/>
          </w:tcPr>
          <w:p w14:paraId="07DFAD81"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306 (86.4%)</w:t>
            </w:r>
          </w:p>
        </w:tc>
        <w:tc>
          <w:tcPr>
            <w:tcW w:w="1998" w:type="dxa"/>
            <w:tcBorders>
              <w:top w:val="nil"/>
              <w:left w:val="nil"/>
              <w:bottom w:val="nil"/>
              <w:right w:val="nil"/>
            </w:tcBorders>
            <w:shd w:val="clear" w:color="auto" w:fill="auto"/>
            <w:noWrap/>
            <w:vAlign w:val="center"/>
            <w:hideMark/>
          </w:tcPr>
          <w:p w14:paraId="2B0FDD4B"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148 (26.8%)</w:t>
            </w:r>
          </w:p>
        </w:tc>
        <w:tc>
          <w:tcPr>
            <w:tcW w:w="887" w:type="dxa"/>
            <w:vMerge w:val="restart"/>
            <w:tcBorders>
              <w:top w:val="nil"/>
              <w:left w:val="nil"/>
              <w:bottom w:val="nil"/>
              <w:right w:val="nil"/>
            </w:tcBorders>
            <w:shd w:val="clear" w:color="auto" w:fill="auto"/>
            <w:noWrap/>
            <w:vAlign w:val="center"/>
            <w:hideMark/>
          </w:tcPr>
          <w:p w14:paraId="1AA95F43"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0.334</w:t>
            </w:r>
            <w:r w:rsidRPr="006F456B">
              <w:rPr>
                <w:rFonts w:ascii="Times New Roman" w:eastAsia="宋体" w:hAnsi="Times New Roman" w:cs="Times New Roman"/>
                <w:bCs/>
                <w:sz w:val="24"/>
                <w:szCs w:val="24"/>
                <w:vertAlign w:val="superscript"/>
              </w:rPr>
              <w:t>$</w:t>
            </w:r>
          </w:p>
        </w:tc>
      </w:tr>
      <w:tr w:rsidR="006F456B" w:rsidRPr="006F456B" w14:paraId="331119CC" w14:textId="77777777" w:rsidTr="00617A54">
        <w:trPr>
          <w:trHeight w:val="315"/>
        </w:trPr>
        <w:tc>
          <w:tcPr>
            <w:tcW w:w="3403" w:type="dxa"/>
            <w:vMerge/>
            <w:tcBorders>
              <w:top w:val="nil"/>
              <w:left w:val="nil"/>
              <w:bottom w:val="nil"/>
              <w:right w:val="nil"/>
            </w:tcBorders>
            <w:vAlign w:val="center"/>
            <w:hideMark/>
          </w:tcPr>
          <w:p w14:paraId="3224AF5A"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p>
        </w:tc>
        <w:tc>
          <w:tcPr>
            <w:tcW w:w="1559" w:type="dxa"/>
            <w:tcBorders>
              <w:top w:val="nil"/>
              <w:left w:val="nil"/>
              <w:bottom w:val="nil"/>
              <w:right w:val="nil"/>
            </w:tcBorders>
            <w:shd w:val="clear" w:color="auto" w:fill="auto"/>
            <w:noWrap/>
            <w:vAlign w:val="center"/>
            <w:hideMark/>
          </w:tcPr>
          <w:p w14:paraId="4467D9F3"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ILC or mixed</w:t>
            </w:r>
          </w:p>
        </w:tc>
        <w:tc>
          <w:tcPr>
            <w:tcW w:w="1985" w:type="dxa"/>
            <w:tcBorders>
              <w:top w:val="nil"/>
              <w:left w:val="nil"/>
              <w:bottom w:val="nil"/>
              <w:right w:val="nil"/>
            </w:tcBorders>
            <w:shd w:val="clear" w:color="auto" w:fill="auto"/>
            <w:noWrap/>
            <w:vAlign w:val="center"/>
            <w:hideMark/>
          </w:tcPr>
          <w:p w14:paraId="5F211957"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41 (11.6%)</w:t>
            </w:r>
          </w:p>
        </w:tc>
        <w:tc>
          <w:tcPr>
            <w:tcW w:w="1998" w:type="dxa"/>
            <w:tcBorders>
              <w:top w:val="nil"/>
              <w:left w:val="nil"/>
              <w:bottom w:val="nil"/>
              <w:right w:val="nil"/>
            </w:tcBorders>
            <w:shd w:val="clear" w:color="auto" w:fill="auto"/>
            <w:noWrap/>
            <w:vAlign w:val="center"/>
            <w:hideMark/>
          </w:tcPr>
          <w:p w14:paraId="13D6052F"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12 (26.8%)</w:t>
            </w:r>
          </w:p>
        </w:tc>
        <w:tc>
          <w:tcPr>
            <w:tcW w:w="887" w:type="dxa"/>
            <w:vMerge/>
            <w:tcBorders>
              <w:top w:val="nil"/>
              <w:left w:val="nil"/>
              <w:bottom w:val="nil"/>
              <w:right w:val="nil"/>
            </w:tcBorders>
            <w:vAlign w:val="center"/>
            <w:hideMark/>
          </w:tcPr>
          <w:p w14:paraId="1491A91A" w14:textId="77777777" w:rsidR="006F456B" w:rsidRPr="006F456B" w:rsidRDefault="006F456B" w:rsidP="006F456B">
            <w:pPr>
              <w:widowControl/>
              <w:spacing w:line="480" w:lineRule="auto"/>
              <w:jc w:val="left"/>
              <w:rPr>
                <w:rFonts w:ascii="Times New Roman" w:eastAsia="宋体" w:hAnsi="Times New Roman" w:cs="Times New Roman"/>
                <w:kern w:val="0"/>
                <w:sz w:val="24"/>
                <w:szCs w:val="24"/>
              </w:rPr>
            </w:pPr>
          </w:p>
        </w:tc>
      </w:tr>
      <w:tr w:rsidR="006F456B" w:rsidRPr="006F456B" w14:paraId="4C8ECDC0" w14:textId="77777777" w:rsidTr="00617A54">
        <w:trPr>
          <w:trHeight w:val="315"/>
        </w:trPr>
        <w:tc>
          <w:tcPr>
            <w:tcW w:w="3403" w:type="dxa"/>
            <w:vMerge/>
            <w:tcBorders>
              <w:top w:val="nil"/>
              <w:left w:val="nil"/>
              <w:bottom w:val="nil"/>
              <w:right w:val="nil"/>
            </w:tcBorders>
            <w:vAlign w:val="center"/>
            <w:hideMark/>
          </w:tcPr>
          <w:p w14:paraId="3217684C"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p>
        </w:tc>
        <w:tc>
          <w:tcPr>
            <w:tcW w:w="1559" w:type="dxa"/>
            <w:tcBorders>
              <w:top w:val="nil"/>
              <w:left w:val="nil"/>
              <w:bottom w:val="nil"/>
              <w:right w:val="nil"/>
            </w:tcBorders>
            <w:shd w:val="clear" w:color="auto" w:fill="auto"/>
            <w:noWrap/>
            <w:vAlign w:val="center"/>
            <w:hideMark/>
          </w:tcPr>
          <w:p w14:paraId="4709067F"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Other</w:t>
            </w:r>
          </w:p>
        </w:tc>
        <w:tc>
          <w:tcPr>
            <w:tcW w:w="1985" w:type="dxa"/>
            <w:tcBorders>
              <w:top w:val="nil"/>
              <w:left w:val="nil"/>
              <w:bottom w:val="nil"/>
              <w:right w:val="nil"/>
            </w:tcBorders>
            <w:shd w:val="clear" w:color="auto" w:fill="auto"/>
            <w:noWrap/>
            <w:vAlign w:val="center"/>
            <w:hideMark/>
          </w:tcPr>
          <w:p w14:paraId="404B1CA4"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7 (26.8%)</w:t>
            </w:r>
          </w:p>
        </w:tc>
        <w:tc>
          <w:tcPr>
            <w:tcW w:w="1998" w:type="dxa"/>
            <w:tcBorders>
              <w:top w:val="nil"/>
              <w:left w:val="nil"/>
              <w:bottom w:val="nil"/>
              <w:right w:val="nil"/>
            </w:tcBorders>
            <w:shd w:val="clear" w:color="auto" w:fill="auto"/>
            <w:noWrap/>
            <w:vAlign w:val="center"/>
            <w:hideMark/>
          </w:tcPr>
          <w:p w14:paraId="1C9685A3"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3 (26.8%)</w:t>
            </w:r>
          </w:p>
        </w:tc>
        <w:tc>
          <w:tcPr>
            <w:tcW w:w="887" w:type="dxa"/>
            <w:vMerge/>
            <w:tcBorders>
              <w:top w:val="nil"/>
              <w:left w:val="nil"/>
              <w:bottom w:val="nil"/>
              <w:right w:val="nil"/>
            </w:tcBorders>
            <w:vAlign w:val="center"/>
            <w:hideMark/>
          </w:tcPr>
          <w:p w14:paraId="559191AF" w14:textId="77777777" w:rsidR="006F456B" w:rsidRPr="006F456B" w:rsidRDefault="006F456B" w:rsidP="006F456B">
            <w:pPr>
              <w:widowControl/>
              <w:spacing w:line="480" w:lineRule="auto"/>
              <w:jc w:val="left"/>
              <w:rPr>
                <w:rFonts w:ascii="Times New Roman" w:eastAsia="宋体" w:hAnsi="Times New Roman" w:cs="Times New Roman"/>
                <w:kern w:val="0"/>
                <w:sz w:val="24"/>
                <w:szCs w:val="24"/>
              </w:rPr>
            </w:pPr>
          </w:p>
        </w:tc>
      </w:tr>
      <w:tr w:rsidR="006F456B" w:rsidRPr="006F456B" w14:paraId="25998E18" w14:textId="77777777" w:rsidTr="00617A54">
        <w:trPr>
          <w:trHeight w:val="360"/>
        </w:trPr>
        <w:tc>
          <w:tcPr>
            <w:tcW w:w="3403" w:type="dxa"/>
            <w:vMerge w:val="restart"/>
            <w:tcBorders>
              <w:top w:val="nil"/>
              <w:left w:val="nil"/>
              <w:bottom w:val="nil"/>
              <w:right w:val="nil"/>
            </w:tcBorders>
            <w:shd w:val="clear" w:color="auto" w:fill="auto"/>
            <w:vAlign w:val="center"/>
            <w:hideMark/>
          </w:tcPr>
          <w:p w14:paraId="1D781D29"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 xml:space="preserve">ER, </w:t>
            </w:r>
            <w:proofErr w:type="gramStart"/>
            <w:r w:rsidRPr="006F456B">
              <w:rPr>
                <w:rFonts w:ascii="Times New Roman" w:eastAsia="宋体" w:hAnsi="Times New Roman" w:cs="Times New Roman"/>
                <w:kern w:val="0"/>
                <w:sz w:val="24"/>
                <w:szCs w:val="24"/>
              </w:rPr>
              <w:t>n(</w:t>
            </w:r>
            <w:proofErr w:type="gramEnd"/>
            <w:r w:rsidRPr="006F456B">
              <w:rPr>
                <w:rFonts w:ascii="Times New Roman" w:eastAsia="宋体" w:hAnsi="Times New Roman" w:cs="Times New Roman"/>
                <w:kern w:val="0"/>
                <w:sz w:val="24"/>
                <w:szCs w:val="24"/>
              </w:rPr>
              <w:t>%)</w:t>
            </w:r>
          </w:p>
        </w:tc>
        <w:tc>
          <w:tcPr>
            <w:tcW w:w="1559" w:type="dxa"/>
            <w:tcBorders>
              <w:top w:val="nil"/>
              <w:left w:val="nil"/>
              <w:bottom w:val="nil"/>
              <w:right w:val="nil"/>
            </w:tcBorders>
            <w:shd w:val="clear" w:color="auto" w:fill="auto"/>
            <w:noWrap/>
            <w:vAlign w:val="center"/>
            <w:hideMark/>
          </w:tcPr>
          <w:p w14:paraId="240382A4"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Negative</w:t>
            </w:r>
          </w:p>
        </w:tc>
        <w:tc>
          <w:tcPr>
            <w:tcW w:w="1985" w:type="dxa"/>
            <w:tcBorders>
              <w:top w:val="nil"/>
              <w:left w:val="nil"/>
              <w:bottom w:val="nil"/>
              <w:right w:val="nil"/>
            </w:tcBorders>
            <w:shd w:val="clear" w:color="auto" w:fill="auto"/>
            <w:noWrap/>
            <w:vAlign w:val="center"/>
            <w:hideMark/>
          </w:tcPr>
          <w:p w14:paraId="35B791C4"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61 (17.2%)</w:t>
            </w:r>
          </w:p>
        </w:tc>
        <w:tc>
          <w:tcPr>
            <w:tcW w:w="1998" w:type="dxa"/>
            <w:tcBorders>
              <w:top w:val="nil"/>
              <w:left w:val="nil"/>
              <w:bottom w:val="nil"/>
              <w:right w:val="nil"/>
            </w:tcBorders>
            <w:shd w:val="clear" w:color="auto" w:fill="auto"/>
            <w:noWrap/>
            <w:vAlign w:val="center"/>
            <w:hideMark/>
          </w:tcPr>
          <w:p w14:paraId="5E5FCAEB"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38 (23.3%)</w:t>
            </w:r>
          </w:p>
        </w:tc>
        <w:tc>
          <w:tcPr>
            <w:tcW w:w="887" w:type="dxa"/>
            <w:vMerge w:val="restart"/>
            <w:tcBorders>
              <w:top w:val="nil"/>
              <w:left w:val="nil"/>
              <w:bottom w:val="nil"/>
              <w:right w:val="nil"/>
            </w:tcBorders>
            <w:shd w:val="clear" w:color="auto" w:fill="auto"/>
            <w:noWrap/>
            <w:vAlign w:val="center"/>
            <w:hideMark/>
          </w:tcPr>
          <w:p w14:paraId="1BF8747D"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0.103</w:t>
            </w:r>
            <w:r w:rsidRPr="006F456B">
              <w:rPr>
                <w:rFonts w:ascii="Times New Roman" w:eastAsia="宋体" w:hAnsi="Times New Roman" w:cs="Times New Roman"/>
                <w:bCs/>
                <w:sz w:val="24"/>
                <w:szCs w:val="24"/>
                <w:vertAlign w:val="superscript"/>
              </w:rPr>
              <w:t>$</w:t>
            </w:r>
          </w:p>
        </w:tc>
      </w:tr>
      <w:tr w:rsidR="006F456B" w:rsidRPr="006F456B" w14:paraId="0DECA667" w14:textId="77777777" w:rsidTr="00617A54">
        <w:trPr>
          <w:trHeight w:val="360"/>
        </w:trPr>
        <w:tc>
          <w:tcPr>
            <w:tcW w:w="3403" w:type="dxa"/>
            <w:vMerge/>
            <w:tcBorders>
              <w:top w:val="nil"/>
              <w:left w:val="nil"/>
              <w:bottom w:val="nil"/>
              <w:right w:val="nil"/>
            </w:tcBorders>
            <w:vAlign w:val="center"/>
            <w:hideMark/>
          </w:tcPr>
          <w:p w14:paraId="0EECE86B"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p>
        </w:tc>
        <w:tc>
          <w:tcPr>
            <w:tcW w:w="1559" w:type="dxa"/>
            <w:tcBorders>
              <w:top w:val="nil"/>
              <w:left w:val="nil"/>
              <w:bottom w:val="nil"/>
              <w:right w:val="nil"/>
            </w:tcBorders>
            <w:shd w:val="clear" w:color="auto" w:fill="auto"/>
            <w:noWrap/>
            <w:vAlign w:val="center"/>
            <w:hideMark/>
          </w:tcPr>
          <w:p w14:paraId="319CFF1A"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Positive</w:t>
            </w:r>
          </w:p>
        </w:tc>
        <w:tc>
          <w:tcPr>
            <w:tcW w:w="1985" w:type="dxa"/>
            <w:tcBorders>
              <w:top w:val="nil"/>
              <w:left w:val="nil"/>
              <w:bottom w:val="nil"/>
              <w:right w:val="nil"/>
            </w:tcBorders>
            <w:shd w:val="clear" w:color="auto" w:fill="auto"/>
            <w:noWrap/>
            <w:vAlign w:val="center"/>
            <w:hideMark/>
          </w:tcPr>
          <w:p w14:paraId="6EF3650E"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293 (82.8%)</w:t>
            </w:r>
          </w:p>
        </w:tc>
        <w:tc>
          <w:tcPr>
            <w:tcW w:w="1998" w:type="dxa"/>
            <w:tcBorders>
              <w:top w:val="nil"/>
              <w:left w:val="nil"/>
              <w:bottom w:val="nil"/>
              <w:right w:val="nil"/>
            </w:tcBorders>
            <w:shd w:val="clear" w:color="auto" w:fill="auto"/>
            <w:noWrap/>
            <w:vAlign w:val="center"/>
            <w:hideMark/>
          </w:tcPr>
          <w:p w14:paraId="0A78B769"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125 (76.7%)</w:t>
            </w:r>
          </w:p>
        </w:tc>
        <w:tc>
          <w:tcPr>
            <w:tcW w:w="887" w:type="dxa"/>
            <w:vMerge/>
            <w:tcBorders>
              <w:top w:val="nil"/>
              <w:left w:val="nil"/>
              <w:bottom w:val="nil"/>
              <w:right w:val="nil"/>
            </w:tcBorders>
            <w:vAlign w:val="center"/>
            <w:hideMark/>
          </w:tcPr>
          <w:p w14:paraId="5420EB38" w14:textId="77777777" w:rsidR="006F456B" w:rsidRPr="006F456B" w:rsidRDefault="006F456B" w:rsidP="006F456B">
            <w:pPr>
              <w:widowControl/>
              <w:spacing w:line="480" w:lineRule="auto"/>
              <w:jc w:val="left"/>
              <w:rPr>
                <w:rFonts w:ascii="Times New Roman" w:eastAsia="宋体" w:hAnsi="Times New Roman" w:cs="Times New Roman"/>
                <w:kern w:val="0"/>
                <w:sz w:val="24"/>
                <w:szCs w:val="24"/>
              </w:rPr>
            </w:pPr>
          </w:p>
        </w:tc>
      </w:tr>
      <w:tr w:rsidR="006F456B" w:rsidRPr="006F456B" w14:paraId="0807E4D6" w14:textId="77777777" w:rsidTr="00617A54">
        <w:trPr>
          <w:trHeight w:val="312"/>
        </w:trPr>
        <w:tc>
          <w:tcPr>
            <w:tcW w:w="3403" w:type="dxa"/>
            <w:vMerge w:val="restart"/>
            <w:tcBorders>
              <w:top w:val="nil"/>
              <w:left w:val="nil"/>
              <w:bottom w:val="nil"/>
              <w:right w:val="nil"/>
            </w:tcBorders>
            <w:shd w:val="clear" w:color="auto" w:fill="auto"/>
            <w:vAlign w:val="center"/>
            <w:hideMark/>
          </w:tcPr>
          <w:p w14:paraId="4AB875D7"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 xml:space="preserve">PR, </w:t>
            </w:r>
            <w:proofErr w:type="gramStart"/>
            <w:r w:rsidRPr="006F456B">
              <w:rPr>
                <w:rFonts w:ascii="Times New Roman" w:eastAsia="宋体" w:hAnsi="Times New Roman" w:cs="Times New Roman"/>
                <w:kern w:val="0"/>
                <w:sz w:val="24"/>
                <w:szCs w:val="24"/>
              </w:rPr>
              <w:t>n(</w:t>
            </w:r>
            <w:proofErr w:type="gramEnd"/>
            <w:r w:rsidRPr="006F456B">
              <w:rPr>
                <w:rFonts w:ascii="Times New Roman" w:eastAsia="宋体" w:hAnsi="Times New Roman" w:cs="Times New Roman"/>
                <w:kern w:val="0"/>
                <w:sz w:val="24"/>
                <w:szCs w:val="24"/>
              </w:rPr>
              <w:t>%)</w:t>
            </w:r>
          </w:p>
        </w:tc>
        <w:tc>
          <w:tcPr>
            <w:tcW w:w="1559" w:type="dxa"/>
            <w:tcBorders>
              <w:top w:val="nil"/>
              <w:left w:val="nil"/>
              <w:bottom w:val="nil"/>
              <w:right w:val="nil"/>
            </w:tcBorders>
            <w:shd w:val="clear" w:color="auto" w:fill="auto"/>
            <w:noWrap/>
            <w:vAlign w:val="center"/>
            <w:hideMark/>
          </w:tcPr>
          <w:p w14:paraId="218D8A54"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Negative</w:t>
            </w:r>
          </w:p>
        </w:tc>
        <w:tc>
          <w:tcPr>
            <w:tcW w:w="1985" w:type="dxa"/>
            <w:tcBorders>
              <w:top w:val="nil"/>
              <w:left w:val="nil"/>
              <w:bottom w:val="nil"/>
              <w:right w:val="nil"/>
            </w:tcBorders>
            <w:shd w:val="clear" w:color="auto" w:fill="auto"/>
            <w:noWrap/>
            <w:vAlign w:val="center"/>
            <w:hideMark/>
          </w:tcPr>
          <w:p w14:paraId="4E008E75"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103 (29.1%)</w:t>
            </w:r>
          </w:p>
        </w:tc>
        <w:tc>
          <w:tcPr>
            <w:tcW w:w="1998" w:type="dxa"/>
            <w:tcBorders>
              <w:top w:val="nil"/>
              <w:left w:val="nil"/>
              <w:bottom w:val="nil"/>
              <w:right w:val="nil"/>
            </w:tcBorders>
            <w:shd w:val="clear" w:color="auto" w:fill="auto"/>
            <w:noWrap/>
            <w:vAlign w:val="center"/>
            <w:hideMark/>
          </w:tcPr>
          <w:p w14:paraId="06660576"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42 (25.8%)</w:t>
            </w:r>
          </w:p>
        </w:tc>
        <w:tc>
          <w:tcPr>
            <w:tcW w:w="887" w:type="dxa"/>
            <w:vMerge w:val="restart"/>
            <w:tcBorders>
              <w:top w:val="nil"/>
              <w:left w:val="nil"/>
              <w:bottom w:val="nil"/>
              <w:right w:val="nil"/>
            </w:tcBorders>
            <w:shd w:val="clear" w:color="auto" w:fill="auto"/>
            <w:noWrap/>
            <w:vAlign w:val="center"/>
            <w:hideMark/>
          </w:tcPr>
          <w:p w14:paraId="12EC2303"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0.434</w:t>
            </w:r>
            <w:r w:rsidRPr="006F456B">
              <w:rPr>
                <w:rFonts w:ascii="Times New Roman" w:eastAsia="宋体" w:hAnsi="Times New Roman" w:cs="Times New Roman"/>
                <w:bCs/>
                <w:sz w:val="24"/>
                <w:szCs w:val="24"/>
                <w:vertAlign w:val="superscript"/>
              </w:rPr>
              <w:t>$</w:t>
            </w:r>
          </w:p>
        </w:tc>
      </w:tr>
      <w:tr w:rsidR="006F456B" w:rsidRPr="006F456B" w14:paraId="23CF4A77" w14:textId="77777777" w:rsidTr="00617A54">
        <w:trPr>
          <w:trHeight w:val="312"/>
        </w:trPr>
        <w:tc>
          <w:tcPr>
            <w:tcW w:w="3403" w:type="dxa"/>
            <w:vMerge/>
            <w:tcBorders>
              <w:top w:val="nil"/>
              <w:left w:val="nil"/>
              <w:bottom w:val="nil"/>
              <w:right w:val="nil"/>
            </w:tcBorders>
            <w:vAlign w:val="center"/>
            <w:hideMark/>
          </w:tcPr>
          <w:p w14:paraId="31E2A8CE"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p>
        </w:tc>
        <w:tc>
          <w:tcPr>
            <w:tcW w:w="1559" w:type="dxa"/>
            <w:tcBorders>
              <w:top w:val="nil"/>
              <w:left w:val="nil"/>
              <w:bottom w:val="nil"/>
              <w:right w:val="nil"/>
            </w:tcBorders>
            <w:shd w:val="clear" w:color="auto" w:fill="auto"/>
            <w:noWrap/>
            <w:vAlign w:val="center"/>
            <w:hideMark/>
          </w:tcPr>
          <w:p w14:paraId="5F72B01D"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Positive</w:t>
            </w:r>
          </w:p>
        </w:tc>
        <w:tc>
          <w:tcPr>
            <w:tcW w:w="1985" w:type="dxa"/>
            <w:tcBorders>
              <w:top w:val="nil"/>
              <w:left w:val="nil"/>
              <w:bottom w:val="nil"/>
              <w:right w:val="nil"/>
            </w:tcBorders>
            <w:shd w:val="clear" w:color="auto" w:fill="auto"/>
            <w:noWrap/>
            <w:vAlign w:val="center"/>
            <w:hideMark/>
          </w:tcPr>
          <w:p w14:paraId="4DDB3B1A"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251 (70.9%)</w:t>
            </w:r>
          </w:p>
        </w:tc>
        <w:tc>
          <w:tcPr>
            <w:tcW w:w="1998" w:type="dxa"/>
            <w:tcBorders>
              <w:top w:val="nil"/>
              <w:left w:val="nil"/>
              <w:bottom w:val="nil"/>
              <w:right w:val="nil"/>
            </w:tcBorders>
            <w:shd w:val="clear" w:color="auto" w:fill="auto"/>
            <w:noWrap/>
            <w:vAlign w:val="center"/>
            <w:hideMark/>
          </w:tcPr>
          <w:p w14:paraId="6E7723DE"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121 (74.2%)</w:t>
            </w:r>
          </w:p>
        </w:tc>
        <w:tc>
          <w:tcPr>
            <w:tcW w:w="887" w:type="dxa"/>
            <w:vMerge/>
            <w:tcBorders>
              <w:top w:val="nil"/>
              <w:left w:val="nil"/>
              <w:bottom w:val="nil"/>
              <w:right w:val="nil"/>
            </w:tcBorders>
            <w:vAlign w:val="center"/>
            <w:hideMark/>
          </w:tcPr>
          <w:p w14:paraId="6BA7EA2A" w14:textId="77777777" w:rsidR="006F456B" w:rsidRPr="006F456B" w:rsidRDefault="006F456B" w:rsidP="006F456B">
            <w:pPr>
              <w:widowControl/>
              <w:spacing w:line="480" w:lineRule="auto"/>
              <w:jc w:val="left"/>
              <w:rPr>
                <w:rFonts w:ascii="Times New Roman" w:eastAsia="宋体" w:hAnsi="Times New Roman" w:cs="Times New Roman"/>
                <w:kern w:val="0"/>
                <w:sz w:val="24"/>
                <w:szCs w:val="24"/>
              </w:rPr>
            </w:pPr>
          </w:p>
        </w:tc>
      </w:tr>
      <w:tr w:rsidR="006F456B" w:rsidRPr="006F456B" w14:paraId="6D77B57F" w14:textId="77777777" w:rsidTr="00617A54">
        <w:trPr>
          <w:trHeight w:val="312"/>
        </w:trPr>
        <w:tc>
          <w:tcPr>
            <w:tcW w:w="3403" w:type="dxa"/>
            <w:vMerge w:val="restart"/>
            <w:tcBorders>
              <w:top w:val="nil"/>
              <w:left w:val="nil"/>
              <w:bottom w:val="nil"/>
              <w:right w:val="nil"/>
            </w:tcBorders>
            <w:shd w:val="clear" w:color="auto" w:fill="auto"/>
            <w:vAlign w:val="center"/>
            <w:hideMark/>
          </w:tcPr>
          <w:p w14:paraId="62687EC9"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 xml:space="preserve">HER-2, </w:t>
            </w:r>
            <w:proofErr w:type="gramStart"/>
            <w:r w:rsidRPr="006F456B">
              <w:rPr>
                <w:rFonts w:ascii="Times New Roman" w:eastAsia="宋体" w:hAnsi="Times New Roman" w:cs="Times New Roman"/>
                <w:kern w:val="0"/>
                <w:sz w:val="24"/>
                <w:szCs w:val="24"/>
              </w:rPr>
              <w:t>n(</w:t>
            </w:r>
            <w:proofErr w:type="gramEnd"/>
            <w:r w:rsidRPr="006F456B">
              <w:rPr>
                <w:rFonts w:ascii="Times New Roman" w:eastAsia="宋体" w:hAnsi="Times New Roman" w:cs="Times New Roman"/>
                <w:kern w:val="0"/>
                <w:sz w:val="24"/>
                <w:szCs w:val="24"/>
              </w:rPr>
              <w:t>%)</w:t>
            </w:r>
          </w:p>
        </w:tc>
        <w:tc>
          <w:tcPr>
            <w:tcW w:w="1559" w:type="dxa"/>
            <w:tcBorders>
              <w:top w:val="nil"/>
              <w:left w:val="nil"/>
              <w:bottom w:val="nil"/>
              <w:right w:val="nil"/>
            </w:tcBorders>
            <w:shd w:val="clear" w:color="auto" w:fill="auto"/>
            <w:noWrap/>
            <w:vAlign w:val="center"/>
            <w:hideMark/>
          </w:tcPr>
          <w:p w14:paraId="5DD4D0C4"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Negative</w:t>
            </w:r>
          </w:p>
        </w:tc>
        <w:tc>
          <w:tcPr>
            <w:tcW w:w="1985" w:type="dxa"/>
            <w:tcBorders>
              <w:top w:val="nil"/>
              <w:left w:val="nil"/>
              <w:bottom w:val="nil"/>
              <w:right w:val="nil"/>
            </w:tcBorders>
            <w:shd w:val="clear" w:color="auto" w:fill="auto"/>
            <w:noWrap/>
            <w:vAlign w:val="center"/>
            <w:hideMark/>
          </w:tcPr>
          <w:p w14:paraId="4859D0AF"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324 (91.5%)</w:t>
            </w:r>
          </w:p>
        </w:tc>
        <w:tc>
          <w:tcPr>
            <w:tcW w:w="1998" w:type="dxa"/>
            <w:tcBorders>
              <w:top w:val="nil"/>
              <w:left w:val="nil"/>
              <w:bottom w:val="nil"/>
              <w:right w:val="nil"/>
            </w:tcBorders>
            <w:shd w:val="clear" w:color="auto" w:fill="auto"/>
            <w:noWrap/>
            <w:vAlign w:val="center"/>
            <w:hideMark/>
          </w:tcPr>
          <w:p w14:paraId="38A7AF7A"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143 (87.7%)</w:t>
            </w:r>
          </w:p>
        </w:tc>
        <w:tc>
          <w:tcPr>
            <w:tcW w:w="887" w:type="dxa"/>
            <w:vMerge w:val="restart"/>
            <w:tcBorders>
              <w:top w:val="nil"/>
              <w:left w:val="nil"/>
              <w:bottom w:val="nil"/>
              <w:right w:val="nil"/>
            </w:tcBorders>
            <w:shd w:val="clear" w:color="auto" w:fill="auto"/>
            <w:noWrap/>
            <w:vAlign w:val="center"/>
            <w:hideMark/>
          </w:tcPr>
          <w:p w14:paraId="1403B65C"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0.175</w:t>
            </w:r>
            <w:r w:rsidRPr="006F456B">
              <w:rPr>
                <w:rFonts w:ascii="Times New Roman" w:eastAsia="宋体" w:hAnsi="Times New Roman" w:cs="Times New Roman"/>
                <w:bCs/>
                <w:sz w:val="24"/>
                <w:szCs w:val="24"/>
                <w:vertAlign w:val="superscript"/>
              </w:rPr>
              <w:t>$</w:t>
            </w:r>
          </w:p>
        </w:tc>
      </w:tr>
      <w:tr w:rsidR="006F456B" w:rsidRPr="006F456B" w14:paraId="004436C8" w14:textId="77777777" w:rsidTr="00617A54">
        <w:trPr>
          <w:trHeight w:val="312"/>
        </w:trPr>
        <w:tc>
          <w:tcPr>
            <w:tcW w:w="3403" w:type="dxa"/>
            <w:vMerge/>
            <w:tcBorders>
              <w:top w:val="nil"/>
              <w:left w:val="nil"/>
              <w:bottom w:val="nil"/>
              <w:right w:val="nil"/>
            </w:tcBorders>
            <w:vAlign w:val="center"/>
            <w:hideMark/>
          </w:tcPr>
          <w:p w14:paraId="247AAD51"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p>
        </w:tc>
        <w:tc>
          <w:tcPr>
            <w:tcW w:w="1559" w:type="dxa"/>
            <w:tcBorders>
              <w:top w:val="nil"/>
              <w:left w:val="nil"/>
              <w:bottom w:val="nil"/>
              <w:right w:val="nil"/>
            </w:tcBorders>
            <w:shd w:val="clear" w:color="auto" w:fill="auto"/>
            <w:noWrap/>
            <w:vAlign w:val="center"/>
            <w:hideMark/>
          </w:tcPr>
          <w:p w14:paraId="1157D0B9"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Positive</w:t>
            </w:r>
          </w:p>
        </w:tc>
        <w:tc>
          <w:tcPr>
            <w:tcW w:w="1985" w:type="dxa"/>
            <w:tcBorders>
              <w:top w:val="nil"/>
              <w:left w:val="nil"/>
              <w:bottom w:val="nil"/>
              <w:right w:val="nil"/>
            </w:tcBorders>
            <w:shd w:val="clear" w:color="auto" w:fill="auto"/>
            <w:noWrap/>
            <w:vAlign w:val="center"/>
            <w:hideMark/>
          </w:tcPr>
          <w:p w14:paraId="70EF09F1"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30 (8.5%)</w:t>
            </w:r>
          </w:p>
        </w:tc>
        <w:tc>
          <w:tcPr>
            <w:tcW w:w="1998" w:type="dxa"/>
            <w:tcBorders>
              <w:top w:val="nil"/>
              <w:left w:val="nil"/>
              <w:bottom w:val="nil"/>
              <w:right w:val="nil"/>
            </w:tcBorders>
            <w:shd w:val="clear" w:color="auto" w:fill="auto"/>
            <w:noWrap/>
            <w:vAlign w:val="center"/>
            <w:hideMark/>
          </w:tcPr>
          <w:p w14:paraId="1D5D605C"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20 (12.3%)</w:t>
            </w:r>
          </w:p>
        </w:tc>
        <w:tc>
          <w:tcPr>
            <w:tcW w:w="887" w:type="dxa"/>
            <w:vMerge/>
            <w:tcBorders>
              <w:top w:val="nil"/>
              <w:left w:val="nil"/>
              <w:bottom w:val="nil"/>
              <w:right w:val="nil"/>
            </w:tcBorders>
            <w:vAlign w:val="center"/>
            <w:hideMark/>
          </w:tcPr>
          <w:p w14:paraId="22465C00" w14:textId="77777777" w:rsidR="006F456B" w:rsidRPr="006F456B" w:rsidRDefault="006F456B" w:rsidP="006F456B">
            <w:pPr>
              <w:widowControl/>
              <w:spacing w:line="480" w:lineRule="auto"/>
              <w:jc w:val="left"/>
              <w:rPr>
                <w:rFonts w:ascii="Times New Roman" w:eastAsia="宋体" w:hAnsi="Times New Roman" w:cs="Times New Roman"/>
                <w:kern w:val="0"/>
                <w:sz w:val="24"/>
                <w:szCs w:val="24"/>
              </w:rPr>
            </w:pPr>
          </w:p>
        </w:tc>
      </w:tr>
      <w:tr w:rsidR="006F456B" w:rsidRPr="006F456B" w14:paraId="1DE0D234" w14:textId="77777777" w:rsidTr="00617A54">
        <w:trPr>
          <w:trHeight w:val="312"/>
        </w:trPr>
        <w:tc>
          <w:tcPr>
            <w:tcW w:w="3403" w:type="dxa"/>
            <w:vMerge w:val="restart"/>
            <w:tcBorders>
              <w:top w:val="nil"/>
              <w:left w:val="nil"/>
              <w:bottom w:val="nil"/>
              <w:right w:val="nil"/>
            </w:tcBorders>
            <w:shd w:val="clear" w:color="auto" w:fill="auto"/>
            <w:vAlign w:val="center"/>
            <w:hideMark/>
          </w:tcPr>
          <w:p w14:paraId="53F654C5"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 xml:space="preserve">Ki-67 status, </w:t>
            </w:r>
            <w:proofErr w:type="gramStart"/>
            <w:r w:rsidRPr="006F456B">
              <w:rPr>
                <w:rFonts w:ascii="Times New Roman" w:eastAsia="宋体" w:hAnsi="Times New Roman" w:cs="Times New Roman"/>
                <w:kern w:val="0"/>
                <w:sz w:val="24"/>
                <w:szCs w:val="24"/>
              </w:rPr>
              <w:t>n(</w:t>
            </w:r>
            <w:proofErr w:type="gramEnd"/>
            <w:r w:rsidRPr="006F456B">
              <w:rPr>
                <w:rFonts w:ascii="Times New Roman" w:eastAsia="宋体" w:hAnsi="Times New Roman" w:cs="Times New Roman"/>
                <w:kern w:val="0"/>
                <w:sz w:val="24"/>
                <w:szCs w:val="24"/>
              </w:rPr>
              <w:t>%)</w:t>
            </w:r>
          </w:p>
        </w:tc>
        <w:tc>
          <w:tcPr>
            <w:tcW w:w="1559" w:type="dxa"/>
            <w:tcBorders>
              <w:top w:val="nil"/>
              <w:left w:val="nil"/>
              <w:bottom w:val="nil"/>
              <w:right w:val="nil"/>
            </w:tcBorders>
            <w:shd w:val="clear" w:color="auto" w:fill="auto"/>
            <w:noWrap/>
            <w:vAlign w:val="center"/>
            <w:hideMark/>
          </w:tcPr>
          <w:p w14:paraId="2C1EF9AA"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Negative (&lt;20%)</w:t>
            </w:r>
          </w:p>
        </w:tc>
        <w:tc>
          <w:tcPr>
            <w:tcW w:w="1985" w:type="dxa"/>
            <w:tcBorders>
              <w:top w:val="nil"/>
              <w:left w:val="nil"/>
              <w:bottom w:val="nil"/>
              <w:right w:val="nil"/>
            </w:tcBorders>
            <w:shd w:val="clear" w:color="auto" w:fill="auto"/>
            <w:noWrap/>
            <w:vAlign w:val="center"/>
            <w:hideMark/>
          </w:tcPr>
          <w:p w14:paraId="3B5CA66E"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91 (25.7%)</w:t>
            </w:r>
          </w:p>
        </w:tc>
        <w:tc>
          <w:tcPr>
            <w:tcW w:w="1998" w:type="dxa"/>
            <w:tcBorders>
              <w:top w:val="nil"/>
              <w:left w:val="nil"/>
              <w:bottom w:val="nil"/>
              <w:right w:val="nil"/>
            </w:tcBorders>
            <w:shd w:val="clear" w:color="auto" w:fill="auto"/>
            <w:noWrap/>
            <w:vAlign w:val="center"/>
            <w:hideMark/>
          </w:tcPr>
          <w:p w14:paraId="6C69A239"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52 (31.9%)</w:t>
            </w:r>
          </w:p>
        </w:tc>
        <w:tc>
          <w:tcPr>
            <w:tcW w:w="887" w:type="dxa"/>
            <w:vMerge w:val="restart"/>
            <w:tcBorders>
              <w:top w:val="nil"/>
              <w:left w:val="nil"/>
              <w:bottom w:val="nil"/>
              <w:right w:val="nil"/>
            </w:tcBorders>
            <w:shd w:val="clear" w:color="auto" w:fill="auto"/>
            <w:noWrap/>
            <w:vAlign w:val="center"/>
            <w:hideMark/>
          </w:tcPr>
          <w:p w14:paraId="2B8163DD"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0.143</w:t>
            </w:r>
            <w:r w:rsidRPr="006F456B">
              <w:rPr>
                <w:rFonts w:ascii="Times New Roman" w:eastAsia="宋体" w:hAnsi="Times New Roman" w:cs="Times New Roman"/>
                <w:bCs/>
                <w:sz w:val="24"/>
                <w:szCs w:val="24"/>
                <w:vertAlign w:val="superscript"/>
              </w:rPr>
              <w:t>$</w:t>
            </w:r>
          </w:p>
        </w:tc>
      </w:tr>
      <w:tr w:rsidR="006F456B" w:rsidRPr="006F456B" w14:paraId="7F6AA6BF" w14:textId="77777777" w:rsidTr="00617A54">
        <w:trPr>
          <w:trHeight w:val="312"/>
        </w:trPr>
        <w:tc>
          <w:tcPr>
            <w:tcW w:w="3403" w:type="dxa"/>
            <w:vMerge/>
            <w:tcBorders>
              <w:top w:val="nil"/>
              <w:left w:val="nil"/>
              <w:bottom w:val="nil"/>
              <w:right w:val="nil"/>
            </w:tcBorders>
            <w:vAlign w:val="center"/>
            <w:hideMark/>
          </w:tcPr>
          <w:p w14:paraId="54ECE237"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p>
        </w:tc>
        <w:tc>
          <w:tcPr>
            <w:tcW w:w="1559" w:type="dxa"/>
            <w:tcBorders>
              <w:top w:val="nil"/>
              <w:left w:val="nil"/>
              <w:bottom w:val="nil"/>
              <w:right w:val="nil"/>
            </w:tcBorders>
            <w:shd w:val="clear" w:color="auto" w:fill="auto"/>
            <w:noWrap/>
            <w:vAlign w:val="center"/>
            <w:hideMark/>
          </w:tcPr>
          <w:p w14:paraId="1EAF4335"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Positive (≥20%)</w:t>
            </w:r>
          </w:p>
        </w:tc>
        <w:tc>
          <w:tcPr>
            <w:tcW w:w="1985" w:type="dxa"/>
            <w:tcBorders>
              <w:top w:val="nil"/>
              <w:left w:val="nil"/>
              <w:bottom w:val="nil"/>
              <w:right w:val="nil"/>
            </w:tcBorders>
            <w:shd w:val="clear" w:color="auto" w:fill="auto"/>
            <w:noWrap/>
            <w:vAlign w:val="center"/>
            <w:hideMark/>
          </w:tcPr>
          <w:p w14:paraId="44B1F8F5"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263 (74.3%)</w:t>
            </w:r>
          </w:p>
        </w:tc>
        <w:tc>
          <w:tcPr>
            <w:tcW w:w="1998" w:type="dxa"/>
            <w:tcBorders>
              <w:top w:val="nil"/>
              <w:left w:val="nil"/>
              <w:bottom w:val="nil"/>
              <w:right w:val="nil"/>
            </w:tcBorders>
            <w:shd w:val="clear" w:color="auto" w:fill="auto"/>
            <w:noWrap/>
            <w:vAlign w:val="center"/>
            <w:hideMark/>
          </w:tcPr>
          <w:p w14:paraId="7AA8AB63"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111 (68.1%)</w:t>
            </w:r>
          </w:p>
        </w:tc>
        <w:tc>
          <w:tcPr>
            <w:tcW w:w="887" w:type="dxa"/>
            <w:vMerge/>
            <w:tcBorders>
              <w:top w:val="nil"/>
              <w:left w:val="nil"/>
              <w:bottom w:val="nil"/>
              <w:right w:val="nil"/>
            </w:tcBorders>
            <w:vAlign w:val="center"/>
            <w:hideMark/>
          </w:tcPr>
          <w:p w14:paraId="33C3F3BF" w14:textId="77777777" w:rsidR="006F456B" w:rsidRPr="006F456B" w:rsidRDefault="006F456B" w:rsidP="006F456B">
            <w:pPr>
              <w:widowControl/>
              <w:spacing w:line="480" w:lineRule="auto"/>
              <w:jc w:val="left"/>
              <w:rPr>
                <w:rFonts w:ascii="Times New Roman" w:eastAsia="宋体" w:hAnsi="Times New Roman" w:cs="Times New Roman"/>
                <w:kern w:val="0"/>
                <w:sz w:val="24"/>
                <w:szCs w:val="24"/>
              </w:rPr>
            </w:pPr>
          </w:p>
        </w:tc>
      </w:tr>
      <w:tr w:rsidR="006F456B" w:rsidRPr="006F456B" w14:paraId="788E46FD" w14:textId="77777777" w:rsidTr="00617A54">
        <w:trPr>
          <w:trHeight w:val="312"/>
        </w:trPr>
        <w:tc>
          <w:tcPr>
            <w:tcW w:w="4962" w:type="dxa"/>
            <w:gridSpan w:val="2"/>
            <w:tcBorders>
              <w:top w:val="nil"/>
              <w:left w:val="nil"/>
              <w:bottom w:val="nil"/>
              <w:right w:val="nil"/>
            </w:tcBorders>
            <w:shd w:val="clear" w:color="auto" w:fill="auto"/>
            <w:noWrap/>
            <w:vAlign w:val="center"/>
            <w:hideMark/>
          </w:tcPr>
          <w:p w14:paraId="398BEEB7" w14:textId="77777777" w:rsidR="006F456B" w:rsidRPr="006F456B" w:rsidRDefault="006F456B" w:rsidP="006F456B">
            <w:pPr>
              <w:widowControl/>
              <w:spacing w:line="480" w:lineRule="auto"/>
              <w:jc w:val="center"/>
              <w:rPr>
                <w:rFonts w:ascii="Times New Roman" w:eastAsia="宋体" w:hAnsi="Times New Roman" w:cs="Times New Roman"/>
                <w:bCs/>
                <w:kern w:val="0"/>
                <w:sz w:val="24"/>
                <w:szCs w:val="24"/>
              </w:rPr>
            </w:pPr>
            <w:r w:rsidRPr="006F456B">
              <w:rPr>
                <w:rFonts w:ascii="Times New Roman" w:eastAsia="宋体" w:hAnsi="Times New Roman" w:cs="Times New Roman"/>
                <w:bCs/>
                <w:kern w:val="0"/>
                <w:sz w:val="24"/>
                <w:szCs w:val="24"/>
              </w:rPr>
              <w:t>Rad-score</w:t>
            </w:r>
          </w:p>
        </w:tc>
        <w:tc>
          <w:tcPr>
            <w:tcW w:w="1985" w:type="dxa"/>
            <w:tcBorders>
              <w:top w:val="nil"/>
              <w:left w:val="nil"/>
              <w:bottom w:val="nil"/>
              <w:right w:val="nil"/>
            </w:tcBorders>
            <w:shd w:val="clear" w:color="auto" w:fill="auto"/>
            <w:noWrap/>
            <w:vAlign w:val="center"/>
            <w:hideMark/>
          </w:tcPr>
          <w:p w14:paraId="4851A9BD"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0.274±0.041</w:t>
            </w:r>
          </w:p>
        </w:tc>
        <w:tc>
          <w:tcPr>
            <w:tcW w:w="1998" w:type="dxa"/>
            <w:tcBorders>
              <w:top w:val="nil"/>
              <w:left w:val="nil"/>
              <w:bottom w:val="nil"/>
              <w:right w:val="nil"/>
            </w:tcBorders>
            <w:shd w:val="clear" w:color="auto" w:fill="auto"/>
            <w:noWrap/>
            <w:vAlign w:val="center"/>
            <w:hideMark/>
          </w:tcPr>
          <w:p w14:paraId="7FE98788"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0.280±0.046</w:t>
            </w:r>
          </w:p>
        </w:tc>
        <w:tc>
          <w:tcPr>
            <w:tcW w:w="887" w:type="dxa"/>
            <w:tcBorders>
              <w:top w:val="nil"/>
              <w:left w:val="nil"/>
              <w:bottom w:val="nil"/>
              <w:right w:val="nil"/>
            </w:tcBorders>
            <w:shd w:val="clear" w:color="auto" w:fill="auto"/>
            <w:noWrap/>
            <w:vAlign w:val="center"/>
            <w:hideMark/>
          </w:tcPr>
          <w:p w14:paraId="3D015E5F" w14:textId="77777777" w:rsidR="006F456B" w:rsidRPr="006F456B" w:rsidRDefault="006F456B" w:rsidP="006F456B">
            <w:pPr>
              <w:widowControl/>
              <w:spacing w:line="480" w:lineRule="auto"/>
              <w:jc w:val="center"/>
              <w:rPr>
                <w:rFonts w:ascii="Times New Roman" w:eastAsia="宋体" w:hAnsi="Times New Roman" w:cs="Times New Roman"/>
                <w:kern w:val="0"/>
                <w:sz w:val="24"/>
                <w:szCs w:val="24"/>
              </w:rPr>
            </w:pPr>
            <w:r w:rsidRPr="006F456B">
              <w:rPr>
                <w:rFonts w:ascii="Times New Roman" w:eastAsia="宋体" w:hAnsi="Times New Roman" w:cs="Times New Roman"/>
                <w:kern w:val="0"/>
                <w:sz w:val="24"/>
                <w:szCs w:val="24"/>
              </w:rPr>
              <w:t>0.115</w:t>
            </w:r>
            <w:r w:rsidRPr="006F456B">
              <w:rPr>
                <w:rFonts w:ascii="Times New Roman" w:eastAsia="宋体" w:hAnsi="Times New Roman" w:cs="Times New Roman"/>
                <w:bCs/>
                <w:sz w:val="24"/>
                <w:szCs w:val="24"/>
                <w:vertAlign w:val="superscript"/>
              </w:rPr>
              <w:t>*</w:t>
            </w:r>
          </w:p>
        </w:tc>
      </w:tr>
    </w:tbl>
    <w:p w14:paraId="05464802" w14:textId="77777777" w:rsidR="006F456B" w:rsidRPr="006F456B" w:rsidRDefault="006F456B" w:rsidP="006F456B">
      <w:pPr>
        <w:spacing w:line="480" w:lineRule="auto"/>
        <w:rPr>
          <w:rFonts w:ascii="Times New Roman" w:eastAsia="宋体" w:hAnsi="Times New Roman" w:cs="Times New Roman"/>
          <w:bCs/>
          <w:sz w:val="24"/>
          <w:szCs w:val="24"/>
        </w:rPr>
      </w:pPr>
      <w:r w:rsidRPr="006F456B">
        <w:rPr>
          <w:rFonts w:ascii="Times New Roman" w:eastAsia="宋体" w:hAnsi="Times New Roman" w:cs="Times New Roman"/>
          <w:sz w:val="24"/>
          <w:szCs w:val="24"/>
        </w:rPr>
        <w:t xml:space="preserve">Variables are expressed as median (interquartile range) if they are not normally distributed. </w:t>
      </w:r>
      <w:r w:rsidRPr="006F456B">
        <w:rPr>
          <w:rFonts w:ascii="Times New Roman" w:eastAsia="宋体" w:hAnsi="Times New Roman" w:cs="Times New Roman"/>
          <w:bCs/>
          <w:sz w:val="24"/>
          <w:szCs w:val="24"/>
          <w:vertAlign w:val="superscript"/>
        </w:rPr>
        <w:t>*</w:t>
      </w:r>
      <w:proofErr w:type="gramStart"/>
      <w:r w:rsidRPr="006F456B">
        <w:rPr>
          <w:rFonts w:ascii="Times New Roman" w:eastAsia="宋体" w:hAnsi="Times New Roman" w:cs="Times New Roman"/>
          <w:bCs/>
          <w:sz w:val="24"/>
          <w:szCs w:val="24"/>
        </w:rPr>
        <w:t>for</w:t>
      </w:r>
      <w:proofErr w:type="gramEnd"/>
      <w:r w:rsidRPr="006F456B">
        <w:rPr>
          <w:rFonts w:ascii="Times New Roman" w:eastAsia="宋体" w:hAnsi="Times New Roman" w:cs="Times New Roman"/>
          <w:bCs/>
          <w:sz w:val="24"/>
          <w:szCs w:val="24"/>
        </w:rPr>
        <w:t xml:space="preserve"> independent sample t-test, </w:t>
      </w:r>
      <w:r w:rsidRPr="006F456B">
        <w:rPr>
          <w:rFonts w:ascii="Times New Roman" w:eastAsia="宋体" w:hAnsi="Times New Roman" w:cs="Times New Roman"/>
          <w:bCs/>
          <w:sz w:val="24"/>
          <w:szCs w:val="24"/>
          <w:vertAlign w:val="superscript"/>
        </w:rPr>
        <w:t>$</w:t>
      </w:r>
      <w:r w:rsidRPr="006F456B">
        <w:rPr>
          <w:rFonts w:ascii="Times New Roman" w:eastAsia="宋体" w:hAnsi="Times New Roman" w:cs="Times New Roman"/>
          <w:bCs/>
          <w:sz w:val="24"/>
          <w:szCs w:val="24"/>
        </w:rPr>
        <w:t xml:space="preserve">for chi-square test, and </w:t>
      </w:r>
      <w:r w:rsidRPr="006F456B">
        <w:rPr>
          <w:rFonts w:ascii="Times New Roman" w:eastAsia="宋体" w:hAnsi="Times New Roman" w:cs="Times New Roman"/>
          <w:bCs/>
          <w:sz w:val="24"/>
          <w:szCs w:val="24"/>
          <w:vertAlign w:val="superscript"/>
        </w:rPr>
        <w:t>#</w:t>
      </w:r>
      <w:r w:rsidRPr="006F456B">
        <w:rPr>
          <w:rFonts w:ascii="Times New Roman" w:eastAsia="宋体" w:hAnsi="Times New Roman" w:cs="Times New Roman"/>
          <w:bCs/>
          <w:sz w:val="24"/>
          <w:szCs w:val="24"/>
        </w:rPr>
        <w:t xml:space="preserve">for Mann-Whitney U test. </w:t>
      </w:r>
      <w:r w:rsidRPr="006F456B">
        <w:rPr>
          <w:rFonts w:ascii="Times New Roman" w:eastAsia="宋体" w:hAnsi="Times New Roman" w:cs="Times New Roman"/>
          <w:bCs/>
          <w:kern w:val="0"/>
          <w:sz w:val="24"/>
          <w:szCs w:val="24"/>
        </w:rPr>
        <w:t xml:space="preserve">US: ultrasound, LN: lymph node, ABUS: automated breast ultrasound system, </w:t>
      </w:r>
      <w:r w:rsidRPr="006F456B">
        <w:rPr>
          <w:rFonts w:ascii="Times New Roman" w:eastAsia="宋体" w:hAnsi="Times New Roman" w:cs="Times New Roman"/>
          <w:kern w:val="0"/>
          <w:sz w:val="24"/>
          <w:szCs w:val="24"/>
        </w:rPr>
        <w:t>ER:</w:t>
      </w:r>
      <w:r w:rsidRPr="006F456B">
        <w:rPr>
          <w:rFonts w:ascii="Times New Roman" w:eastAsia="宋体" w:hAnsi="Times New Roman" w:cs="Times New Roman"/>
          <w:bCs/>
          <w:sz w:val="24"/>
          <w:szCs w:val="24"/>
        </w:rPr>
        <w:t xml:space="preserve"> estrogen receptor,</w:t>
      </w:r>
      <w:r w:rsidRPr="006F456B">
        <w:rPr>
          <w:rFonts w:ascii="Times New Roman" w:eastAsia="宋体" w:hAnsi="Times New Roman" w:cs="Times New Roman"/>
          <w:kern w:val="0"/>
          <w:sz w:val="24"/>
          <w:szCs w:val="24"/>
        </w:rPr>
        <w:t xml:space="preserve"> PR: </w:t>
      </w:r>
      <w:r w:rsidRPr="006F456B">
        <w:rPr>
          <w:rFonts w:ascii="Times New Roman" w:eastAsia="宋体" w:hAnsi="Times New Roman" w:cs="Times New Roman"/>
          <w:bCs/>
          <w:sz w:val="24"/>
          <w:szCs w:val="24"/>
        </w:rPr>
        <w:t>progesterone receptor,</w:t>
      </w:r>
      <w:r w:rsidRPr="006F456B">
        <w:rPr>
          <w:rFonts w:ascii="Times New Roman" w:eastAsia="宋体" w:hAnsi="Times New Roman" w:cs="Times New Roman"/>
          <w:kern w:val="0"/>
          <w:sz w:val="24"/>
          <w:szCs w:val="24"/>
        </w:rPr>
        <w:t xml:space="preserve"> HER-2: </w:t>
      </w:r>
      <w:r w:rsidRPr="006F456B">
        <w:rPr>
          <w:rFonts w:ascii="Times New Roman" w:eastAsia="宋体" w:hAnsi="Times New Roman" w:cs="Times New Roman"/>
          <w:bCs/>
          <w:sz w:val="24"/>
          <w:szCs w:val="24"/>
        </w:rPr>
        <w:t>human epidermal growth factor receptor-2.</w:t>
      </w:r>
    </w:p>
    <w:p w14:paraId="74451E02" w14:textId="77777777" w:rsidR="006F456B" w:rsidRPr="006F456B" w:rsidRDefault="006F456B" w:rsidP="006F456B">
      <w:pPr>
        <w:spacing w:line="480" w:lineRule="auto"/>
        <w:rPr>
          <w:rFonts w:ascii="Times New Roman" w:eastAsia="宋体" w:hAnsi="Times New Roman" w:cs="Times New Roman"/>
          <w:sz w:val="24"/>
          <w:szCs w:val="24"/>
        </w:rPr>
      </w:pPr>
    </w:p>
    <w:p w14:paraId="6AEBDBD5" w14:textId="77777777" w:rsidR="00791FE8" w:rsidRPr="006F456B" w:rsidRDefault="00791FE8"/>
    <w:sectPr w:rsidR="00791FE8" w:rsidRPr="006F456B" w:rsidSect="00390988">
      <w:footerReference w:type="default" r:id="rId5"/>
      <w:pgSz w:w="11906" w:h="16838"/>
      <w:pgMar w:top="1440" w:right="1800" w:bottom="1440" w:left="1800" w:header="851" w:footer="992" w:gutter="0"/>
      <w:lnNumType w:countBy="1" w:restart="continuous"/>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395637"/>
      <w:docPartObj>
        <w:docPartGallery w:val="Page Numbers (Bottom of Page)"/>
        <w:docPartUnique/>
      </w:docPartObj>
    </w:sdtPr>
    <w:sdtContent>
      <w:p w14:paraId="7546C8C7" w14:textId="77777777" w:rsidR="00390988" w:rsidRDefault="00000000">
        <w:pPr>
          <w:pStyle w:val="a3"/>
          <w:jc w:val="center"/>
        </w:pPr>
        <w:r>
          <w:fldChar w:fldCharType="begin"/>
        </w:r>
        <w:r>
          <w:instrText>PAGE   \* MERGEFORMAT</w:instrText>
        </w:r>
        <w:r>
          <w:fldChar w:fldCharType="separate"/>
        </w:r>
        <w:r w:rsidRPr="00E50900">
          <w:rPr>
            <w:noProof/>
            <w:lang w:val="zh-CN"/>
          </w:rPr>
          <w:t>25</w:t>
        </w:r>
        <w:r>
          <w:fldChar w:fldCharType="end"/>
        </w:r>
      </w:p>
    </w:sdtContent>
  </w:sdt>
  <w:p w14:paraId="379176C0" w14:textId="77777777" w:rsidR="00390988" w:rsidRDefault="00000000">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56B"/>
    <w:rsid w:val="006F456B"/>
    <w:rsid w:val="00791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094D9"/>
  <w15:chartTrackingRefBased/>
  <w15:docId w15:val="{53925D3C-3B12-43E1-8521-412F97BA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F456B"/>
    <w:pPr>
      <w:tabs>
        <w:tab w:val="center" w:pos="4153"/>
        <w:tab w:val="right" w:pos="8306"/>
      </w:tabs>
      <w:snapToGrid w:val="0"/>
      <w:jc w:val="left"/>
    </w:pPr>
    <w:rPr>
      <w:sz w:val="18"/>
      <w:szCs w:val="18"/>
    </w:rPr>
  </w:style>
  <w:style w:type="character" w:customStyle="1" w:styleId="a4">
    <w:name w:val="页脚 字符"/>
    <w:basedOn w:val="a0"/>
    <w:link w:val="a3"/>
    <w:uiPriority w:val="99"/>
    <w:rsid w:val="006F456B"/>
    <w:rPr>
      <w:sz w:val="18"/>
      <w:szCs w:val="18"/>
    </w:rPr>
  </w:style>
  <w:style w:type="character" w:styleId="a5">
    <w:name w:val="line number"/>
    <w:basedOn w:val="a0"/>
    <w:uiPriority w:val="99"/>
    <w:semiHidden/>
    <w:unhideWhenUsed/>
    <w:rsid w:val="006F4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2023-01-18T02:04:00Z</dcterms:created>
  <dcterms:modified xsi:type="dcterms:W3CDTF">2023-01-18T02:05:00Z</dcterms:modified>
</cp:coreProperties>
</file>