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FA39" w14:textId="77777777" w:rsidR="004B17F4" w:rsidRDefault="0061744D" w:rsidP="0061744D">
      <w:pPr>
        <w:pStyle w:val="NoSpacing"/>
        <w:rPr>
          <w:rFonts w:ascii="Arial" w:hAnsi="Arial" w:cs="Arial"/>
          <w:b/>
          <w:bCs/>
          <w:sz w:val="20"/>
          <w:szCs w:val="20"/>
        </w:rPr>
      </w:pPr>
      <w:r w:rsidRPr="00332EC3">
        <w:rPr>
          <w:rFonts w:ascii="Arial" w:hAnsi="Arial" w:cs="Arial"/>
          <w:b/>
          <w:bCs/>
          <w:sz w:val="20"/>
          <w:szCs w:val="20"/>
        </w:rPr>
        <w:t>Supplementary Table</w:t>
      </w:r>
      <w:r w:rsidR="004B17F4">
        <w:rPr>
          <w:rFonts w:ascii="Arial" w:hAnsi="Arial" w:cs="Arial"/>
          <w:b/>
          <w:bCs/>
          <w:sz w:val="20"/>
          <w:szCs w:val="20"/>
        </w:rPr>
        <w:t>s</w:t>
      </w:r>
    </w:p>
    <w:p w14:paraId="5C926B82" w14:textId="77777777" w:rsidR="004B17F4" w:rsidRDefault="004B17F4" w:rsidP="0061744D">
      <w:pPr>
        <w:pStyle w:val="NoSpacing"/>
        <w:rPr>
          <w:rFonts w:ascii="Arial" w:hAnsi="Arial" w:cs="Arial"/>
          <w:b/>
          <w:bCs/>
          <w:sz w:val="20"/>
          <w:szCs w:val="20"/>
        </w:rPr>
      </w:pPr>
    </w:p>
    <w:p w14:paraId="76193171" w14:textId="498D4B64" w:rsidR="009668A6" w:rsidRPr="00A65C3F" w:rsidRDefault="009668A6" w:rsidP="009668A6">
      <w:pPr>
        <w:pStyle w:val="NoSpacing"/>
        <w:rPr>
          <w:rFonts w:ascii="Arial" w:hAnsi="Arial" w:cs="Arial"/>
          <w:sz w:val="20"/>
          <w:szCs w:val="20"/>
          <w:u w:val="single"/>
        </w:rPr>
      </w:pPr>
      <w:r w:rsidRPr="00E77D18">
        <w:rPr>
          <w:rFonts w:ascii="Arial" w:hAnsi="Arial" w:cs="Arial"/>
          <w:b/>
          <w:bCs/>
          <w:sz w:val="20"/>
          <w:szCs w:val="20"/>
          <w:u w:val="single"/>
        </w:rPr>
        <w:t>Table S</w:t>
      </w:r>
      <w:r w:rsidR="009D785A" w:rsidRPr="00E77D18">
        <w:rPr>
          <w:rFonts w:ascii="Arial" w:hAnsi="Arial" w:cs="Arial"/>
          <w:b/>
          <w:bCs/>
          <w:sz w:val="20"/>
          <w:szCs w:val="20"/>
          <w:u w:val="single"/>
        </w:rPr>
        <w:t>1</w:t>
      </w:r>
      <w:r w:rsidRPr="00A65C3F">
        <w:rPr>
          <w:rFonts w:ascii="Arial" w:hAnsi="Arial" w:cs="Arial"/>
          <w:sz w:val="20"/>
          <w:szCs w:val="20"/>
          <w:u w:val="single"/>
        </w:rPr>
        <w:t xml:space="preserve"> – Potential barriers to instigating ASPs in hospitals and improving future antimicrobial prescribing</w:t>
      </w:r>
    </w:p>
    <w:p w14:paraId="3F8ABF8D" w14:textId="77777777" w:rsidR="009668A6" w:rsidRPr="00027611" w:rsidRDefault="009668A6" w:rsidP="009668A6">
      <w:pPr>
        <w:pStyle w:val="NoSpacing"/>
        <w:rPr>
          <w:rFonts w:ascii="Arial" w:hAnsi="Arial" w:cs="Arial"/>
          <w:sz w:val="20"/>
          <w:szCs w:val="20"/>
        </w:rPr>
      </w:pPr>
    </w:p>
    <w:tbl>
      <w:tblPr>
        <w:tblStyle w:val="TableGrid"/>
        <w:tblW w:w="0" w:type="auto"/>
        <w:tblInd w:w="-5" w:type="dxa"/>
        <w:tblLook w:val="04A0" w:firstRow="1" w:lastRow="0" w:firstColumn="1" w:lastColumn="0" w:noHBand="0" w:noVBand="1"/>
      </w:tblPr>
      <w:tblGrid>
        <w:gridCol w:w="9021"/>
      </w:tblGrid>
      <w:tr w:rsidR="009668A6" w:rsidRPr="00027611" w14:paraId="3A5600E4" w14:textId="77777777" w:rsidTr="00C529AE">
        <w:tc>
          <w:tcPr>
            <w:tcW w:w="9021" w:type="dxa"/>
          </w:tcPr>
          <w:p w14:paraId="48E355AB"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Necessary infrastructure and available </w:t>
            </w:r>
            <w:r>
              <w:rPr>
                <w:rFonts w:ascii="Arial" w:hAnsi="Arial" w:cs="Arial"/>
                <w:lang w:val="en-GB"/>
              </w:rPr>
              <w:t xml:space="preserve">personnel </w:t>
            </w:r>
            <w:r w:rsidRPr="00027611">
              <w:rPr>
                <w:rFonts w:ascii="Arial" w:hAnsi="Arial" w:cs="Arial"/>
                <w:lang w:val="en-GB"/>
              </w:rPr>
              <w:t>within hospitals to undertake ASPs</w:t>
            </w:r>
          </w:p>
          <w:p w14:paraId="545A6BF8"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Adequate knowledge among HCPs in hospitals regarding </w:t>
            </w:r>
            <w:r>
              <w:rPr>
                <w:rFonts w:ascii="Arial" w:hAnsi="Arial" w:cs="Arial"/>
                <w:lang w:val="en-GB"/>
              </w:rPr>
              <w:t xml:space="preserve">how to successfully undertake </w:t>
            </w:r>
            <w:r w:rsidRPr="00027611">
              <w:rPr>
                <w:rFonts w:ascii="Arial" w:hAnsi="Arial" w:cs="Arial"/>
                <w:lang w:val="en-GB"/>
              </w:rPr>
              <w:t>ASPs as well as the role and value of IPC committees</w:t>
            </w:r>
          </w:p>
          <w:p w14:paraId="2BECE3AF" w14:textId="02C72A5B"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Lack of manpower and resources within hospitals to provide </w:t>
            </w:r>
            <w:r>
              <w:rPr>
                <w:rFonts w:ascii="Arial" w:hAnsi="Arial" w:cs="Arial"/>
                <w:lang w:val="en-GB"/>
              </w:rPr>
              <w:t xml:space="preserve">the necessary </w:t>
            </w:r>
            <w:r w:rsidRPr="00027611">
              <w:rPr>
                <w:rFonts w:ascii="Arial" w:hAnsi="Arial" w:cs="Arial"/>
                <w:lang w:val="en-GB"/>
              </w:rPr>
              <w:t xml:space="preserve">education </w:t>
            </w:r>
            <w:r>
              <w:rPr>
                <w:rFonts w:ascii="Arial" w:hAnsi="Arial" w:cs="Arial"/>
                <w:lang w:val="en-GB"/>
              </w:rPr>
              <w:t xml:space="preserve">among key </w:t>
            </w:r>
            <w:r w:rsidRPr="00027611">
              <w:rPr>
                <w:rFonts w:ascii="Arial" w:hAnsi="Arial" w:cs="Arial"/>
                <w:lang w:val="en-GB"/>
              </w:rPr>
              <w:t xml:space="preserve">HCPs </w:t>
            </w:r>
            <w:r>
              <w:rPr>
                <w:rFonts w:ascii="Arial" w:hAnsi="Arial" w:cs="Arial"/>
                <w:lang w:val="en-GB"/>
              </w:rPr>
              <w:t xml:space="preserve">to undertake ASPs </w:t>
            </w:r>
            <w:r w:rsidRPr="00027611">
              <w:rPr>
                <w:rFonts w:ascii="Arial" w:hAnsi="Arial" w:cs="Arial"/>
                <w:lang w:val="en-GB"/>
              </w:rPr>
              <w:t>a</w:t>
            </w:r>
            <w:r>
              <w:rPr>
                <w:rFonts w:ascii="Arial" w:hAnsi="Arial" w:cs="Arial"/>
                <w:lang w:val="en-GB"/>
              </w:rPr>
              <w:t>s well as</w:t>
            </w:r>
            <w:r w:rsidRPr="00027611">
              <w:rPr>
                <w:rFonts w:ascii="Arial" w:hAnsi="Arial" w:cs="Arial"/>
                <w:lang w:val="en-GB"/>
              </w:rPr>
              <w:t xml:space="preserve"> monitor subsequent prescribing</w:t>
            </w:r>
            <w:r>
              <w:rPr>
                <w:rFonts w:ascii="Arial" w:hAnsi="Arial" w:cs="Arial"/>
                <w:lang w:val="en-GB"/>
              </w:rPr>
              <w:t xml:space="preserve"> against agreed indicators (Table S</w:t>
            </w:r>
            <w:r w:rsidR="009D785A">
              <w:rPr>
                <w:rFonts w:ascii="Arial" w:hAnsi="Arial" w:cs="Arial"/>
                <w:lang w:val="en-GB"/>
              </w:rPr>
              <w:t>2</w:t>
            </w:r>
            <w:r>
              <w:rPr>
                <w:rFonts w:ascii="Arial" w:hAnsi="Arial" w:cs="Arial"/>
                <w:lang w:val="en-GB"/>
              </w:rPr>
              <w:t xml:space="preserve">) - with </w:t>
            </w:r>
            <w:r w:rsidRPr="00027611">
              <w:rPr>
                <w:rFonts w:ascii="Arial" w:hAnsi="Arial" w:cs="Arial"/>
                <w:lang w:val="en-GB"/>
              </w:rPr>
              <w:t>re-education if needed</w:t>
            </w:r>
          </w:p>
          <w:p w14:paraId="39E77B34" w14:textId="77777777" w:rsidR="009668A6" w:rsidRPr="00027611" w:rsidRDefault="009668A6" w:rsidP="00C529AE">
            <w:pPr>
              <w:pStyle w:val="NoSpacing"/>
              <w:numPr>
                <w:ilvl w:val="0"/>
                <w:numId w:val="2"/>
              </w:numPr>
              <w:rPr>
                <w:rFonts w:ascii="Arial" w:hAnsi="Arial" w:cs="Arial"/>
                <w:lang w:val="en-GB"/>
              </w:rPr>
            </w:pPr>
            <w:r>
              <w:rPr>
                <w:rFonts w:ascii="Arial" w:hAnsi="Arial" w:cs="Arial"/>
                <w:lang w:val="en-GB"/>
              </w:rPr>
              <w:t xml:space="preserve">Overcoming barriers and negative attitudes among </w:t>
            </w:r>
            <w:r w:rsidRPr="00027611">
              <w:rPr>
                <w:rFonts w:ascii="Arial" w:hAnsi="Arial" w:cs="Arial"/>
                <w:lang w:val="en-GB"/>
              </w:rPr>
              <w:t xml:space="preserve">HCPs towards undertaking ASPs in </w:t>
            </w:r>
            <w:r>
              <w:rPr>
                <w:rFonts w:ascii="Arial" w:hAnsi="Arial" w:cs="Arial"/>
                <w:lang w:val="en-GB"/>
              </w:rPr>
              <w:t xml:space="preserve">their </w:t>
            </w:r>
            <w:r w:rsidRPr="00027611">
              <w:rPr>
                <w:rFonts w:ascii="Arial" w:hAnsi="Arial" w:cs="Arial"/>
                <w:lang w:val="en-GB"/>
              </w:rPr>
              <w:t>hospitals</w:t>
            </w:r>
          </w:p>
          <w:p w14:paraId="006E5070"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Lack of </w:t>
            </w:r>
            <w:r>
              <w:rPr>
                <w:rFonts w:ascii="Arial" w:hAnsi="Arial" w:cs="Arial"/>
                <w:lang w:val="en-GB"/>
              </w:rPr>
              <w:t xml:space="preserve">necessary </w:t>
            </w:r>
            <w:r w:rsidRPr="00027611">
              <w:rPr>
                <w:rFonts w:ascii="Arial" w:hAnsi="Arial" w:cs="Arial"/>
                <w:lang w:val="en-GB"/>
              </w:rPr>
              <w:t xml:space="preserve">leadership </w:t>
            </w:r>
            <w:r>
              <w:rPr>
                <w:rFonts w:ascii="Arial" w:hAnsi="Arial" w:cs="Arial"/>
                <w:lang w:val="en-GB"/>
              </w:rPr>
              <w:t xml:space="preserve">within the </w:t>
            </w:r>
            <w:r w:rsidRPr="00027611">
              <w:rPr>
                <w:rFonts w:ascii="Arial" w:hAnsi="Arial" w:cs="Arial"/>
                <w:lang w:val="en-GB"/>
              </w:rPr>
              <w:t xml:space="preserve">hospital to drive ASPs forward - including </w:t>
            </w:r>
            <w:r>
              <w:rPr>
                <w:rFonts w:ascii="Arial" w:hAnsi="Arial" w:cs="Arial"/>
                <w:lang w:val="en-GB"/>
              </w:rPr>
              <w:t xml:space="preserve">instigating necessary guidelines based on agreed national/ international guidelines </w:t>
            </w:r>
            <w:r w:rsidRPr="00027611">
              <w:rPr>
                <w:rFonts w:ascii="Arial" w:hAnsi="Arial" w:cs="Arial"/>
                <w:lang w:val="en-GB"/>
              </w:rPr>
              <w:t xml:space="preserve">monitoring of </w:t>
            </w:r>
            <w:r>
              <w:rPr>
                <w:rFonts w:ascii="Arial" w:hAnsi="Arial" w:cs="Arial"/>
                <w:lang w:val="en-GB"/>
              </w:rPr>
              <w:t xml:space="preserve">agreeing prescribing/ </w:t>
            </w:r>
            <w:r w:rsidRPr="00027611">
              <w:rPr>
                <w:rFonts w:ascii="Arial" w:hAnsi="Arial" w:cs="Arial"/>
                <w:lang w:val="en-GB"/>
              </w:rPr>
              <w:t>quality indicators</w:t>
            </w:r>
            <w:r>
              <w:rPr>
                <w:rFonts w:ascii="Arial" w:hAnsi="Arial" w:cs="Arial"/>
                <w:lang w:val="en-GB"/>
              </w:rPr>
              <w:t xml:space="preserve"> before instigating these</w:t>
            </w:r>
          </w:p>
          <w:p w14:paraId="2310844C"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Lack of ASP champions currently </w:t>
            </w:r>
            <w:r>
              <w:rPr>
                <w:rFonts w:ascii="Arial" w:hAnsi="Arial" w:cs="Arial"/>
                <w:lang w:val="en-GB"/>
              </w:rPr>
              <w:t xml:space="preserve">within </w:t>
            </w:r>
            <w:r w:rsidRPr="00027611">
              <w:rPr>
                <w:rFonts w:ascii="Arial" w:hAnsi="Arial" w:cs="Arial"/>
                <w:lang w:val="en-GB"/>
              </w:rPr>
              <w:t>the hospital</w:t>
            </w:r>
            <w:r>
              <w:rPr>
                <w:rFonts w:ascii="Arial" w:hAnsi="Arial" w:cs="Arial"/>
                <w:lang w:val="en-GB"/>
              </w:rPr>
              <w:t xml:space="preserve"> </w:t>
            </w:r>
            <w:r w:rsidRPr="00027611">
              <w:rPr>
                <w:rFonts w:ascii="Arial" w:hAnsi="Arial" w:cs="Arial"/>
                <w:lang w:val="en-GB"/>
              </w:rPr>
              <w:t>to drive ASPs forward</w:t>
            </w:r>
            <w:r>
              <w:rPr>
                <w:rFonts w:ascii="Arial" w:hAnsi="Arial" w:cs="Arial"/>
                <w:lang w:val="en-GB"/>
              </w:rPr>
              <w:t>, e.g., key physicians, pharmacists or nurses</w:t>
            </w:r>
          </w:p>
          <w:p w14:paraId="4BB02682" w14:textId="0CECF443" w:rsidR="009668A6" w:rsidRPr="00027611" w:rsidRDefault="009668A6" w:rsidP="00C529AE">
            <w:pPr>
              <w:pStyle w:val="NoSpacing"/>
              <w:numPr>
                <w:ilvl w:val="0"/>
                <w:numId w:val="2"/>
              </w:numPr>
              <w:rPr>
                <w:rFonts w:ascii="Arial" w:hAnsi="Arial" w:cs="Arial"/>
                <w:lang w:val="en-GB"/>
              </w:rPr>
            </w:pPr>
            <w:r>
              <w:rPr>
                <w:rFonts w:ascii="Arial" w:hAnsi="Arial" w:cs="Arial"/>
                <w:lang w:val="en-GB"/>
              </w:rPr>
              <w:t xml:space="preserve">Lack of comprehensive documentation regarding </w:t>
            </w:r>
            <w:r w:rsidRPr="00027611">
              <w:rPr>
                <w:rFonts w:ascii="Arial" w:hAnsi="Arial" w:cs="Arial"/>
                <w:lang w:val="en-GB"/>
              </w:rPr>
              <w:t xml:space="preserve">antibiotic within </w:t>
            </w:r>
            <w:r>
              <w:rPr>
                <w:rFonts w:ascii="Arial" w:hAnsi="Arial" w:cs="Arial"/>
                <w:lang w:val="en-GB"/>
              </w:rPr>
              <w:t xml:space="preserve">the </w:t>
            </w:r>
            <w:r w:rsidRPr="00027611">
              <w:rPr>
                <w:rFonts w:ascii="Arial" w:hAnsi="Arial" w:cs="Arial"/>
                <w:lang w:val="en-GB"/>
              </w:rPr>
              <w:t>hospital</w:t>
            </w:r>
            <w:r>
              <w:rPr>
                <w:rFonts w:ascii="Arial" w:hAnsi="Arial" w:cs="Arial"/>
                <w:lang w:val="en-GB"/>
              </w:rPr>
              <w:t xml:space="preserve">, e.g., indications, doses, and start/ stop dates </w:t>
            </w:r>
            <w:r w:rsidRPr="00027611">
              <w:rPr>
                <w:rFonts w:ascii="Arial" w:hAnsi="Arial" w:cs="Arial"/>
                <w:lang w:val="en-GB"/>
              </w:rPr>
              <w:t xml:space="preserve">not well documented </w:t>
            </w:r>
            <w:r>
              <w:rPr>
                <w:rFonts w:ascii="Arial" w:hAnsi="Arial" w:cs="Arial"/>
                <w:lang w:val="en-GB"/>
              </w:rPr>
              <w:t xml:space="preserve">to </w:t>
            </w:r>
            <w:r w:rsidRPr="00027611">
              <w:rPr>
                <w:rFonts w:ascii="Arial" w:hAnsi="Arial" w:cs="Arial"/>
                <w:lang w:val="en-GB"/>
              </w:rPr>
              <w:t>provid</w:t>
            </w:r>
            <w:r>
              <w:rPr>
                <w:rFonts w:ascii="Arial" w:hAnsi="Arial" w:cs="Arial"/>
                <w:lang w:val="en-GB"/>
              </w:rPr>
              <w:t>e</w:t>
            </w:r>
            <w:r w:rsidRPr="00027611">
              <w:rPr>
                <w:rFonts w:ascii="Arial" w:hAnsi="Arial" w:cs="Arial"/>
                <w:lang w:val="en-GB"/>
              </w:rPr>
              <w:t xml:space="preserve"> the necessary </w:t>
            </w:r>
            <w:r>
              <w:rPr>
                <w:rFonts w:ascii="Arial" w:hAnsi="Arial" w:cs="Arial"/>
                <w:lang w:val="en-GB"/>
              </w:rPr>
              <w:t xml:space="preserve">information and </w:t>
            </w:r>
            <w:r w:rsidRPr="00027611">
              <w:rPr>
                <w:rFonts w:ascii="Arial" w:hAnsi="Arial" w:cs="Arial"/>
                <w:lang w:val="en-GB"/>
              </w:rPr>
              <w:t>stimulus to undertake ASPs</w:t>
            </w:r>
            <w:r>
              <w:rPr>
                <w:rFonts w:ascii="Arial" w:hAnsi="Arial" w:cs="Arial"/>
                <w:lang w:val="en-GB"/>
              </w:rPr>
              <w:t xml:space="preserve">. This includes any </w:t>
            </w:r>
            <w:r w:rsidRPr="00027611">
              <w:rPr>
                <w:rFonts w:ascii="Arial" w:hAnsi="Arial" w:cs="Arial"/>
                <w:lang w:val="en-GB"/>
              </w:rPr>
              <w:t xml:space="preserve">ongoing research to identify the extent of </w:t>
            </w:r>
            <w:r>
              <w:rPr>
                <w:rFonts w:ascii="Arial" w:hAnsi="Arial" w:cs="Arial"/>
                <w:lang w:val="en-GB"/>
              </w:rPr>
              <w:t xml:space="preserve">current </w:t>
            </w:r>
            <w:r w:rsidRPr="00027611">
              <w:rPr>
                <w:rFonts w:ascii="Arial" w:hAnsi="Arial" w:cs="Arial"/>
                <w:lang w:val="en-GB"/>
              </w:rPr>
              <w:t>guideline adherenc</w:t>
            </w:r>
            <w:r>
              <w:rPr>
                <w:rFonts w:ascii="Arial" w:hAnsi="Arial" w:cs="Arial"/>
                <w:lang w:val="en-GB"/>
              </w:rPr>
              <w:t xml:space="preserve">e – or lack of it - </w:t>
            </w:r>
            <w:r w:rsidRPr="00027611">
              <w:rPr>
                <w:rFonts w:ascii="Arial" w:hAnsi="Arial" w:cs="Arial"/>
                <w:lang w:val="en-GB"/>
              </w:rPr>
              <w:t xml:space="preserve">including </w:t>
            </w:r>
            <w:r>
              <w:rPr>
                <w:rFonts w:ascii="Arial" w:hAnsi="Arial" w:cs="Arial"/>
                <w:lang w:val="en-GB"/>
              </w:rPr>
              <w:t xml:space="preserve">the rationale, e.g., </w:t>
            </w:r>
            <w:r w:rsidRPr="00027611">
              <w:rPr>
                <w:rFonts w:ascii="Arial" w:hAnsi="Arial" w:cs="Arial"/>
                <w:lang w:val="en-GB"/>
              </w:rPr>
              <w:t xml:space="preserve">a lack of faith in current guidelines, </w:t>
            </w:r>
            <w:r>
              <w:rPr>
                <w:rFonts w:ascii="Arial" w:hAnsi="Arial" w:cs="Arial"/>
                <w:lang w:val="en-GB"/>
              </w:rPr>
              <w:t xml:space="preserve">lack of </w:t>
            </w:r>
            <w:r w:rsidRPr="00027611">
              <w:rPr>
                <w:rFonts w:ascii="Arial" w:hAnsi="Arial" w:cs="Arial"/>
                <w:lang w:val="en-GB"/>
              </w:rPr>
              <w:t xml:space="preserve">ready availability and </w:t>
            </w:r>
            <w:r>
              <w:rPr>
                <w:rFonts w:ascii="Arial" w:hAnsi="Arial" w:cs="Arial"/>
                <w:lang w:val="en-GB"/>
              </w:rPr>
              <w:t>difficult to use</w:t>
            </w:r>
          </w:p>
          <w:p w14:paraId="3FC238D5"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Lack of up-to-date information regarding </w:t>
            </w:r>
            <w:r>
              <w:rPr>
                <w:rFonts w:ascii="Arial" w:hAnsi="Arial" w:cs="Arial"/>
                <w:lang w:val="en-GB"/>
              </w:rPr>
              <w:t>AMR</w:t>
            </w:r>
            <w:r w:rsidRPr="00027611">
              <w:rPr>
                <w:rFonts w:ascii="Arial" w:hAnsi="Arial" w:cs="Arial"/>
                <w:lang w:val="en-GB"/>
              </w:rPr>
              <w:t xml:space="preserve"> patterns within the hospital to </w:t>
            </w:r>
            <w:r>
              <w:rPr>
                <w:rFonts w:ascii="Arial" w:hAnsi="Arial" w:cs="Arial"/>
                <w:lang w:val="en-GB"/>
              </w:rPr>
              <w:t xml:space="preserve">improve current </w:t>
            </w:r>
            <w:r w:rsidRPr="00027611">
              <w:rPr>
                <w:rFonts w:ascii="Arial" w:hAnsi="Arial" w:cs="Arial"/>
                <w:lang w:val="en-GB"/>
              </w:rPr>
              <w:t>empiric prescribing/ be a subject for future ASPs</w:t>
            </w:r>
          </w:p>
          <w:p w14:paraId="190B1F3E"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Adequate facilities and support to undertake diagnostic tests</w:t>
            </w:r>
            <w:r>
              <w:rPr>
                <w:rFonts w:ascii="Arial" w:hAnsi="Arial" w:cs="Arial"/>
                <w:lang w:val="en-GB"/>
              </w:rPr>
              <w:t xml:space="preserve"> within the hospital</w:t>
            </w:r>
            <w:r w:rsidRPr="00027611">
              <w:rPr>
                <w:rFonts w:ascii="Arial" w:hAnsi="Arial" w:cs="Arial"/>
                <w:lang w:val="en-GB"/>
              </w:rPr>
              <w:t xml:space="preserve">, including culture and sensitivity testing, </w:t>
            </w:r>
            <w:r>
              <w:rPr>
                <w:rFonts w:ascii="Arial" w:hAnsi="Arial" w:cs="Arial"/>
                <w:lang w:val="en-GB"/>
              </w:rPr>
              <w:t>to improve future prescribing</w:t>
            </w:r>
          </w:p>
          <w:p w14:paraId="5ABA5B86" w14:textId="77777777" w:rsidR="009668A6" w:rsidRPr="00027611" w:rsidRDefault="009668A6" w:rsidP="00C529AE">
            <w:pPr>
              <w:pStyle w:val="NoSpacing"/>
              <w:numPr>
                <w:ilvl w:val="0"/>
                <w:numId w:val="2"/>
              </w:numPr>
              <w:rPr>
                <w:rFonts w:ascii="Arial" w:hAnsi="Arial" w:cs="Arial"/>
                <w:lang w:val="en-GB"/>
              </w:rPr>
            </w:pPr>
            <w:r w:rsidRPr="00027611">
              <w:rPr>
                <w:rFonts w:ascii="Arial" w:hAnsi="Arial" w:cs="Arial"/>
                <w:lang w:val="en-GB"/>
              </w:rPr>
              <w:t xml:space="preserve">Lack of monitoring of </w:t>
            </w:r>
            <w:r>
              <w:rPr>
                <w:rFonts w:ascii="Arial" w:hAnsi="Arial" w:cs="Arial"/>
                <w:lang w:val="en-GB"/>
              </w:rPr>
              <w:t xml:space="preserve">current </w:t>
            </w:r>
            <w:r w:rsidRPr="00027611">
              <w:rPr>
                <w:rFonts w:ascii="Arial" w:hAnsi="Arial" w:cs="Arial"/>
                <w:lang w:val="en-GB"/>
              </w:rPr>
              <w:t xml:space="preserve">supplies of antibiotics in hospitals </w:t>
            </w:r>
            <w:r>
              <w:rPr>
                <w:rFonts w:ascii="Arial" w:hAnsi="Arial" w:cs="Arial"/>
                <w:lang w:val="en-GB"/>
              </w:rPr>
              <w:t xml:space="preserve">and/ </w:t>
            </w:r>
            <w:r w:rsidRPr="00027611">
              <w:rPr>
                <w:rFonts w:ascii="Arial" w:hAnsi="Arial" w:cs="Arial"/>
                <w:lang w:val="en-GB"/>
              </w:rPr>
              <w:t xml:space="preserve">or proactively dealing with </w:t>
            </w:r>
            <w:r>
              <w:rPr>
                <w:rFonts w:ascii="Arial" w:hAnsi="Arial" w:cs="Arial"/>
                <w:lang w:val="en-GB"/>
              </w:rPr>
              <w:t xml:space="preserve">possible </w:t>
            </w:r>
            <w:r w:rsidRPr="00027611">
              <w:rPr>
                <w:rFonts w:ascii="Arial" w:hAnsi="Arial" w:cs="Arial"/>
                <w:lang w:val="en-GB"/>
              </w:rPr>
              <w:t>shortages to minimise any impact of shortages on current ASPs including agreed therapeutic options</w:t>
            </w:r>
          </w:p>
        </w:tc>
      </w:tr>
    </w:tbl>
    <w:p w14:paraId="0791CA4E" w14:textId="2A27D881" w:rsidR="00E77D18" w:rsidRPr="00E77D18" w:rsidRDefault="00E77D18" w:rsidP="009668A6">
      <w:pPr>
        <w:pStyle w:val="NoSpacing"/>
        <w:rPr>
          <w:rFonts w:ascii="Arial" w:hAnsi="Arial" w:cs="Arial"/>
          <w:sz w:val="20"/>
          <w:szCs w:val="20"/>
        </w:rPr>
      </w:pPr>
      <w:r>
        <w:rPr>
          <w:rFonts w:ascii="Arial" w:hAnsi="Arial" w:cs="Arial"/>
          <w:b/>
          <w:bCs/>
          <w:sz w:val="20"/>
          <w:szCs w:val="20"/>
        </w:rPr>
        <w:t xml:space="preserve">Notes: </w:t>
      </w:r>
      <w:r>
        <w:rPr>
          <w:rFonts w:ascii="Arial" w:hAnsi="Arial" w:cs="Arial"/>
          <w:sz w:val="20"/>
          <w:szCs w:val="20"/>
        </w:rPr>
        <w:t>Data from these studies.</w:t>
      </w:r>
      <w:r w:rsidRPr="00E77D18">
        <w:rPr>
          <w:rFonts w:ascii="Arial" w:hAnsi="Arial" w:cs="Arial"/>
          <w:sz w:val="20"/>
          <w:szCs w:val="20"/>
          <w:vertAlign w:val="superscript"/>
        </w:rPr>
        <w:t>1–10</w:t>
      </w:r>
    </w:p>
    <w:p w14:paraId="106D032C" w14:textId="0FA9FE69" w:rsidR="009668A6" w:rsidRPr="00027611" w:rsidRDefault="00E77D18" w:rsidP="009668A6">
      <w:pPr>
        <w:pStyle w:val="NoSpacing"/>
        <w:rPr>
          <w:rFonts w:ascii="Arial" w:hAnsi="Arial" w:cs="Arial"/>
          <w:sz w:val="20"/>
          <w:szCs w:val="20"/>
        </w:rPr>
      </w:pPr>
      <w:r w:rsidRPr="00E77D18">
        <w:rPr>
          <w:rFonts w:ascii="Arial" w:hAnsi="Arial" w:cs="Arial"/>
          <w:b/>
          <w:bCs/>
          <w:sz w:val="20"/>
          <w:szCs w:val="20"/>
        </w:rPr>
        <w:t>Abbreviations</w:t>
      </w:r>
      <w:r w:rsidR="009668A6" w:rsidRPr="00027611">
        <w:rPr>
          <w:rFonts w:ascii="Arial" w:hAnsi="Arial" w:cs="Arial"/>
          <w:sz w:val="20"/>
          <w:szCs w:val="20"/>
        </w:rPr>
        <w:t xml:space="preserve">: </w:t>
      </w:r>
      <w:r w:rsidR="009668A6">
        <w:rPr>
          <w:rFonts w:ascii="Arial" w:hAnsi="Arial" w:cs="Arial"/>
          <w:sz w:val="20"/>
          <w:szCs w:val="20"/>
        </w:rPr>
        <w:t xml:space="preserve">AMR: Antimicrobial resistance; </w:t>
      </w:r>
      <w:r w:rsidR="009668A6" w:rsidRPr="00027611">
        <w:rPr>
          <w:rFonts w:ascii="Arial" w:hAnsi="Arial" w:cs="Arial"/>
          <w:sz w:val="20"/>
          <w:szCs w:val="20"/>
        </w:rPr>
        <w:t>ASPs: Antimicrobial Stewardship Programmes; HCPs: healthcare professionals; IPC: Infection, Prevention and Control</w:t>
      </w:r>
    </w:p>
    <w:p w14:paraId="40076D53" w14:textId="77777777" w:rsidR="009668A6" w:rsidRDefault="009668A6" w:rsidP="0061744D">
      <w:pPr>
        <w:pStyle w:val="NoSpacing"/>
        <w:rPr>
          <w:rFonts w:ascii="Arial" w:hAnsi="Arial" w:cs="Arial"/>
          <w:sz w:val="20"/>
          <w:szCs w:val="20"/>
          <w:u w:val="single"/>
        </w:rPr>
      </w:pPr>
    </w:p>
    <w:p w14:paraId="72C97652" w14:textId="77777777" w:rsidR="009668A6" w:rsidRDefault="009668A6">
      <w:pPr>
        <w:rPr>
          <w:rFonts w:ascii="Arial" w:hAnsi="Arial" w:cs="Arial"/>
          <w:sz w:val="20"/>
          <w:szCs w:val="20"/>
          <w:u w:val="single"/>
        </w:rPr>
      </w:pPr>
      <w:r>
        <w:rPr>
          <w:rFonts w:ascii="Arial" w:hAnsi="Arial" w:cs="Arial"/>
          <w:sz w:val="20"/>
          <w:szCs w:val="20"/>
          <w:u w:val="single"/>
        </w:rPr>
        <w:br w:type="page"/>
      </w:r>
    </w:p>
    <w:p w14:paraId="65D0B67C" w14:textId="79A2D977" w:rsidR="0061744D" w:rsidRPr="004B17F4" w:rsidRDefault="004B17F4" w:rsidP="0061744D">
      <w:pPr>
        <w:pStyle w:val="NoSpacing"/>
        <w:rPr>
          <w:rFonts w:ascii="Arial" w:hAnsi="Arial" w:cs="Arial"/>
          <w:sz w:val="20"/>
          <w:szCs w:val="20"/>
          <w:u w:val="single"/>
        </w:rPr>
      </w:pPr>
      <w:r w:rsidRPr="004B17F4">
        <w:rPr>
          <w:rFonts w:ascii="Arial" w:hAnsi="Arial" w:cs="Arial"/>
          <w:sz w:val="20"/>
          <w:szCs w:val="20"/>
          <w:u w:val="single"/>
        </w:rPr>
        <w:lastRenderedPageBreak/>
        <w:t>Table</w:t>
      </w:r>
      <w:r w:rsidR="0061744D" w:rsidRPr="004B17F4">
        <w:rPr>
          <w:rFonts w:ascii="Arial" w:hAnsi="Arial" w:cs="Arial"/>
          <w:sz w:val="20"/>
          <w:szCs w:val="20"/>
          <w:u w:val="single"/>
        </w:rPr>
        <w:t xml:space="preserve"> </w:t>
      </w:r>
      <w:r w:rsidRPr="004B17F4">
        <w:rPr>
          <w:rFonts w:ascii="Arial" w:hAnsi="Arial" w:cs="Arial"/>
          <w:sz w:val="20"/>
          <w:szCs w:val="20"/>
          <w:u w:val="single"/>
        </w:rPr>
        <w:t>S</w:t>
      </w:r>
      <w:r w:rsidR="00E77D18">
        <w:rPr>
          <w:rFonts w:ascii="Arial" w:hAnsi="Arial" w:cs="Arial"/>
          <w:sz w:val="20"/>
          <w:szCs w:val="20"/>
          <w:u w:val="single"/>
        </w:rPr>
        <w:t>2</w:t>
      </w:r>
      <w:r w:rsidR="0061744D" w:rsidRPr="004B17F4">
        <w:rPr>
          <w:rFonts w:ascii="Arial" w:hAnsi="Arial" w:cs="Arial"/>
          <w:sz w:val="20"/>
          <w:szCs w:val="20"/>
          <w:u w:val="single"/>
        </w:rPr>
        <w:t xml:space="preserve"> – Summary of Prescribing and Quality indicators being used across Africa</w:t>
      </w:r>
    </w:p>
    <w:p w14:paraId="747AABFC" w14:textId="464F3E64" w:rsidR="0061744D" w:rsidRPr="0061744D" w:rsidRDefault="0061744D" w:rsidP="0061744D">
      <w:pPr>
        <w:pStyle w:val="NoSpacing"/>
        <w:rPr>
          <w:rFonts w:ascii="Arial" w:hAnsi="Arial" w:cs="Arial"/>
          <w:sz w:val="20"/>
          <w:szCs w:val="20"/>
        </w:rPr>
      </w:pPr>
    </w:p>
    <w:tbl>
      <w:tblPr>
        <w:tblStyle w:val="TableGrid"/>
        <w:tblW w:w="96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1744D" w:rsidRPr="0061744D" w14:paraId="5FB3D6E0" w14:textId="77777777" w:rsidTr="0061744D">
        <w:tc>
          <w:tcPr>
            <w:tcW w:w="9640" w:type="dxa"/>
            <w:shd w:val="clear" w:color="auto" w:fill="auto"/>
            <w:tcMar>
              <w:left w:w="0" w:type="dxa"/>
              <w:right w:w="0" w:type="dxa"/>
            </w:tcMar>
            <w:vAlign w:val="center"/>
          </w:tcPr>
          <w:p w14:paraId="2124C7DA" w14:textId="77777777" w:rsidR="0061744D" w:rsidRPr="0061744D" w:rsidRDefault="0061744D" w:rsidP="00332EC3">
            <w:pPr>
              <w:pStyle w:val="NoSpacing"/>
              <w:jc w:val="center"/>
              <w:rPr>
                <w:rFonts w:ascii="Arial" w:hAnsi="Arial" w:cs="Arial"/>
                <w:b/>
                <w:bCs/>
              </w:rPr>
            </w:pPr>
            <w:r w:rsidRPr="0061744D">
              <w:rPr>
                <w:rFonts w:ascii="Arial" w:hAnsi="Arial" w:cs="Arial"/>
                <w:b/>
                <w:bCs/>
              </w:rPr>
              <w:t>Indicator</w:t>
            </w:r>
          </w:p>
        </w:tc>
      </w:tr>
      <w:tr w:rsidR="0061744D" w:rsidRPr="0061744D" w14:paraId="7A1F0D57" w14:textId="77777777" w:rsidTr="0061744D">
        <w:tc>
          <w:tcPr>
            <w:tcW w:w="9640" w:type="dxa"/>
            <w:shd w:val="clear" w:color="auto" w:fill="auto"/>
            <w:tcMar>
              <w:left w:w="0" w:type="dxa"/>
              <w:right w:w="0" w:type="dxa"/>
            </w:tcMar>
            <w:vAlign w:val="center"/>
          </w:tcPr>
          <w:p w14:paraId="1147308F" w14:textId="77777777" w:rsidR="0061744D" w:rsidRPr="0061744D" w:rsidRDefault="0061744D" w:rsidP="00332EC3">
            <w:pPr>
              <w:pStyle w:val="NoSpacing"/>
              <w:jc w:val="center"/>
              <w:rPr>
                <w:rFonts w:ascii="Arial" w:hAnsi="Arial" w:cs="Arial"/>
                <w:b/>
                <w:bCs/>
                <w:highlight w:val="yellow"/>
              </w:rPr>
            </w:pPr>
            <w:r w:rsidRPr="0061744D">
              <w:rPr>
                <w:rFonts w:ascii="Arial" w:hAnsi="Arial" w:cs="Arial"/>
                <w:b/>
                <w:bCs/>
              </w:rPr>
              <w:t>Activity/Performance Indicators</w:t>
            </w:r>
          </w:p>
        </w:tc>
      </w:tr>
      <w:tr w:rsidR="0061744D" w:rsidRPr="0061744D" w14:paraId="3E526784" w14:textId="77777777" w:rsidTr="0061744D">
        <w:tc>
          <w:tcPr>
            <w:tcW w:w="9640" w:type="dxa"/>
            <w:shd w:val="clear" w:color="auto" w:fill="auto"/>
            <w:tcMar>
              <w:left w:w="0" w:type="dxa"/>
              <w:right w:w="0" w:type="dxa"/>
            </w:tcMar>
            <w:vAlign w:val="center"/>
          </w:tcPr>
          <w:p w14:paraId="614B1C08" w14:textId="77777777" w:rsidR="0061744D" w:rsidRDefault="0061744D" w:rsidP="00E62F2F">
            <w:pPr>
              <w:pStyle w:val="NoSpacing"/>
              <w:numPr>
                <w:ilvl w:val="0"/>
                <w:numId w:val="3"/>
              </w:numPr>
              <w:rPr>
                <w:rFonts w:ascii="Arial" w:hAnsi="Arial" w:cs="Arial"/>
              </w:rPr>
            </w:pPr>
            <w:r w:rsidRPr="0061744D">
              <w:rPr>
                <w:rFonts w:ascii="Arial" w:hAnsi="Arial" w:cs="Arial"/>
              </w:rPr>
              <w:t>% of in-patients prescribed antibiotics in a single PPS</w:t>
            </w:r>
            <w:r w:rsidR="00FB2A89">
              <w:rPr>
                <w:rFonts w:ascii="Arial" w:hAnsi="Arial" w:cs="Arial"/>
              </w:rPr>
              <w:t xml:space="preserve"> or </w:t>
            </w:r>
            <w:r w:rsidRPr="0061744D">
              <w:rPr>
                <w:rFonts w:ascii="Arial" w:hAnsi="Arial" w:cs="Arial"/>
              </w:rPr>
              <w:t>over specific time periods</w:t>
            </w:r>
            <w:r w:rsidR="00FB2A89">
              <w:rPr>
                <w:rFonts w:ascii="Arial" w:hAnsi="Arial" w:cs="Arial"/>
              </w:rPr>
              <w:t xml:space="preserve"> such as </w:t>
            </w:r>
            <w:r w:rsidRPr="0061744D">
              <w:rPr>
                <w:rFonts w:ascii="Arial" w:hAnsi="Arial" w:cs="Arial"/>
              </w:rPr>
              <w:t>successive waves of COVID-19</w:t>
            </w:r>
          </w:p>
          <w:p w14:paraId="73A13DEE" w14:textId="77777777" w:rsidR="001B008E" w:rsidRDefault="001B008E" w:rsidP="00E62F2F">
            <w:pPr>
              <w:pStyle w:val="NoSpacing"/>
              <w:numPr>
                <w:ilvl w:val="0"/>
                <w:numId w:val="3"/>
              </w:numPr>
              <w:rPr>
                <w:rFonts w:ascii="Arial" w:hAnsi="Arial" w:cs="Arial"/>
              </w:rPr>
            </w:pPr>
            <w:r w:rsidRPr="0061744D">
              <w:rPr>
                <w:rFonts w:ascii="Arial" w:hAnsi="Arial" w:cs="Arial"/>
              </w:rPr>
              <w:t>% of a course of antibiotics prescribed (duration) in accordance with agreed guidance/ Days of antibiotic therapy per 1000 patient-days % of antibiotics prescribed by defined daily doses (DDDs), e.g., DDDs/1000 patient-days in a PPS or over a specified time</w:t>
            </w:r>
          </w:p>
          <w:p w14:paraId="176CAE0A" w14:textId="77777777" w:rsidR="001B008E" w:rsidRDefault="001B008E" w:rsidP="00E62F2F">
            <w:pPr>
              <w:pStyle w:val="NoSpacing"/>
              <w:numPr>
                <w:ilvl w:val="0"/>
                <w:numId w:val="3"/>
              </w:numPr>
              <w:rPr>
                <w:rFonts w:ascii="Arial" w:hAnsi="Arial" w:cs="Arial"/>
              </w:rPr>
            </w:pPr>
            <w:r w:rsidRPr="0061744D">
              <w:rPr>
                <w:rFonts w:ascii="Arial" w:hAnsi="Arial" w:cs="Arial"/>
              </w:rPr>
              <w:t>% of a course of antibiotics prescribed (duration) in accordance with agreed guidance/ Days of antibiotic therapy per 1000 patient-days</w:t>
            </w:r>
          </w:p>
          <w:p w14:paraId="75666326" w14:textId="775F5D29" w:rsidR="001B008E" w:rsidRDefault="001B008E" w:rsidP="00E62F2F">
            <w:pPr>
              <w:pStyle w:val="NoSpacing"/>
              <w:numPr>
                <w:ilvl w:val="0"/>
                <w:numId w:val="3"/>
              </w:numPr>
              <w:rPr>
                <w:rFonts w:ascii="Arial" w:hAnsi="Arial" w:cs="Arial"/>
              </w:rPr>
            </w:pPr>
            <w:r w:rsidRPr="0061744D">
              <w:rPr>
                <w:rFonts w:ascii="Arial" w:hAnsi="Arial" w:cs="Arial"/>
              </w:rPr>
              <w:t>% IV vs oral antibiotics including % switched as part of de-escalation policies</w:t>
            </w:r>
          </w:p>
          <w:p w14:paraId="2085E362" w14:textId="56F9BF34" w:rsidR="001B008E" w:rsidRDefault="001B008E" w:rsidP="00E62F2F">
            <w:pPr>
              <w:pStyle w:val="NoSpacing"/>
              <w:numPr>
                <w:ilvl w:val="0"/>
                <w:numId w:val="3"/>
              </w:numPr>
              <w:rPr>
                <w:rFonts w:ascii="Arial" w:hAnsi="Arial" w:cs="Arial"/>
              </w:rPr>
            </w:pPr>
            <w:r>
              <w:rPr>
                <w:rFonts w:ascii="Arial" w:hAnsi="Arial" w:cs="Arial"/>
              </w:rPr>
              <w:t>% of missed doses documented in patients’ notes</w:t>
            </w:r>
          </w:p>
          <w:p w14:paraId="5AF6CDE5" w14:textId="77777777" w:rsidR="001B008E" w:rsidRDefault="001B008E" w:rsidP="00E62F2F">
            <w:pPr>
              <w:pStyle w:val="NoSpacing"/>
              <w:numPr>
                <w:ilvl w:val="0"/>
                <w:numId w:val="3"/>
              </w:numPr>
              <w:rPr>
                <w:rFonts w:ascii="Arial" w:hAnsi="Arial" w:cs="Arial"/>
              </w:rPr>
            </w:pPr>
            <w:r w:rsidRPr="0061744D">
              <w:rPr>
                <w:rFonts w:ascii="Arial" w:hAnsi="Arial" w:cs="Arial"/>
              </w:rPr>
              <w:t>% compliance to agreed process measures surrounding AMS including documenting indications for antibiotic use and start/ stop dates in patients’ notes</w:t>
            </w:r>
          </w:p>
          <w:p w14:paraId="144FB5A0" w14:textId="4945AE98" w:rsidR="001B008E" w:rsidRPr="0061744D" w:rsidRDefault="001B008E" w:rsidP="00E62F2F">
            <w:pPr>
              <w:pStyle w:val="NoSpacing"/>
              <w:numPr>
                <w:ilvl w:val="0"/>
                <w:numId w:val="3"/>
              </w:numPr>
              <w:rPr>
                <w:rFonts w:ascii="Arial" w:hAnsi="Arial" w:cs="Arial"/>
              </w:rPr>
            </w:pPr>
            <w:r w:rsidRPr="0061744D">
              <w:rPr>
                <w:rFonts w:ascii="Arial" w:hAnsi="Arial" w:cs="Arial"/>
              </w:rPr>
              <w:t>% of patients prescribed antibiotics within the country’s essential medicine list over an agreed period of time</w:t>
            </w:r>
          </w:p>
        </w:tc>
      </w:tr>
      <w:tr w:rsidR="0061744D" w:rsidRPr="0061744D" w14:paraId="43BC70EE" w14:textId="77777777" w:rsidTr="0061744D">
        <w:tc>
          <w:tcPr>
            <w:tcW w:w="9640" w:type="dxa"/>
            <w:shd w:val="clear" w:color="auto" w:fill="auto"/>
            <w:tcMar>
              <w:left w:w="0" w:type="dxa"/>
              <w:right w:w="0" w:type="dxa"/>
            </w:tcMar>
            <w:vAlign w:val="center"/>
          </w:tcPr>
          <w:p w14:paraId="3827393C" w14:textId="77777777" w:rsidR="0061744D" w:rsidRPr="0061744D" w:rsidRDefault="0061744D" w:rsidP="00332EC3">
            <w:pPr>
              <w:pStyle w:val="NoSpacing"/>
              <w:jc w:val="center"/>
              <w:rPr>
                <w:rFonts w:ascii="Arial" w:hAnsi="Arial" w:cs="Arial"/>
                <w:b/>
                <w:bCs/>
              </w:rPr>
            </w:pPr>
            <w:r w:rsidRPr="0061744D">
              <w:rPr>
                <w:rFonts w:ascii="Arial" w:hAnsi="Arial" w:cs="Arial"/>
                <w:b/>
                <w:bCs/>
              </w:rPr>
              <w:t>Process quality indicators</w:t>
            </w:r>
          </w:p>
        </w:tc>
      </w:tr>
      <w:tr w:rsidR="0061744D" w:rsidRPr="0061744D" w14:paraId="1B587C30" w14:textId="77777777" w:rsidTr="0061744D">
        <w:tc>
          <w:tcPr>
            <w:tcW w:w="9640" w:type="dxa"/>
            <w:shd w:val="clear" w:color="auto" w:fill="auto"/>
            <w:tcMar>
              <w:left w:w="0" w:type="dxa"/>
              <w:right w:w="0" w:type="dxa"/>
            </w:tcMar>
            <w:vAlign w:val="center"/>
          </w:tcPr>
          <w:p w14:paraId="54843214" w14:textId="77777777" w:rsidR="0061744D" w:rsidRDefault="0061744D" w:rsidP="00E62F2F">
            <w:pPr>
              <w:pStyle w:val="NoSpacing"/>
              <w:numPr>
                <w:ilvl w:val="0"/>
                <w:numId w:val="4"/>
              </w:numPr>
              <w:rPr>
                <w:rStyle w:val="cf01"/>
                <w:rFonts w:ascii="Arial" w:hAnsi="Arial" w:cs="Arial"/>
                <w:sz w:val="20"/>
                <w:szCs w:val="20"/>
              </w:rPr>
            </w:pPr>
            <w:r w:rsidRPr="0061744D">
              <w:rPr>
                <w:rFonts w:ascii="Arial" w:hAnsi="Arial" w:cs="Arial"/>
              </w:rPr>
              <w:t xml:space="preserve">% of in-patients prescribed antibiotics </w:t>
            </w:r>
            <w:r w:rsidRPr="0061744D">
              <w:rPr>
                <w:rStyle w:val="cf01"/>
                <w:rFonts w:ascii="Arial" w:hAnsi="Arial" w:cs="Arial"/>
                <w:sz w:val="20"/>
                <w:szCs w:val="20"/>
              </w:rPr>
              <w:t>in adherence to agreed guidelines within a specified time period/ part of a PPS</w:t>
            </w:r>
          </w:p>
          <w:p w14:paraId="5A6D2419" w14:textId="77777777" w:rsidR="00E62F2F" w:rsidRDefault="00E62F2F" w:rsidP="00E62F2F">
            <w:pPr>
              <w:pStyle w:val="NoSpacing"/>
              <w:numPr>
                <w:ilvl w:val="0"/>
                <w:numId w:val="4"/>
              </w:numPr>
              <w:rPr>
                <w:rStyle w:val="cf01"/>
                <w:rFonts w:ascii="Arial" w:hAnsi="Arial" w:cs="Arial"/>
                <w:sz w:val="20"/>
                <w:szCs w:val="20"/>
              </w:rPr>
            </w:pPr>
            <w:r w:rsidRPr="0061744D">
              <w:rPr>
                <w:rStyle w:val="cf01"/>
                <w:rFonts w:ascii="Arial" w:hAnsi="Arial" w:cs="Arial"/>
                <w:sz w:val="20"/>
                <w:szCs w:val="20"/>
              </w:rPr>
              <w:t>% of patients prescribed a course of antibiotics in accordance with the agreed guideline duration recommendation within a specified time period/ part of a PPS</w:t>
            </w:r>
          </w:p>
          <w:p w14:paraId="4F52C8C9" w14:textId="77777777" w:rsidR="00E62F2F" w:rsidRDefault="00E62F2F" w:rsidP="00E62F2F">
            <w:pPr>
              <w:pStyle w:val="NoSpacing"/>
              <w:numPr>
                <w:ilvl w:val="0"/>
                <w:numId w:val="4"/>
              </w:numPr>
              <w:rPr>
                <w:rStyle w:val="cf01"/>
                <w:rFonts w:ascii="Arial" w:hAnsi="Arial" w:cs="Arial"/>
                <w:sz w:val="20"/>
                <w:szCs w:val="20"/>
              </w:rPr>
            </w:pPr>
            <w:r w:rsidRPr="0061744D">
              <w:rPr>
                <w:rFonts w:ascii="Arial" w:hAnsi="Arial" w:cs="Arial"/>
              </w:rPr>
              <w:t xml:space="preserve">% of patients where cultures are taken and sent for analysis to guide antibiotic prescribing/ targeted therapy </w:t>
            </w:r>
            <w:r w:rsidRPr="0061744D">
              <w:rPr>
                <w:rStyle w:val="cf01"/>
                <w:rFonts w:ascii="Arial" w:hAnsi="Arial" w:cs="Arial"/>
                <w:sz w:val="20"/>
                <w:szCs w:val="20"/>
              </w:rPr>
              <w:t>within a specified time period/ part of a PPS</w:t>
            </w:r>
          </w:p>
          <w:p w14:paraId="418FBF67" w14:textId="77777777" w:rsidR="00E62F2F" w:rsidRDefault="00E62F2F" w:rsidP="00E62F2F">
            <w:pPr>
              <w:pStyle w:val="NoSpacing"/>
              <w:numPr>
                <w:ilvl w:val="0"/>
                <w:numId w:val="4"/>
              </w:numPr>
              <w:rPr>
                <w:rFonts w:ascii="Arial" w:hAnsi="Arial" w:cs="Arial"/>
              </w:rPr>
            </w:pPr>
            <w:r w:rsidRPr="0061744D">
              <w:rPr>
                <w:rFonts w:ascii="Arial" w:hAnsi="Arial" w:cs="Arial"/>
              </w:rPr>
              <w:t>% of patients prescribed antibiotics post-operatively to prevent SSIs that meet current guideline recommendations</w:t>
            </w:r>
          </w:p>
          <w:p w14:paraId="61B36687" w14:textId="77777777" w:rsidR="00E62F2F" w:rsidRDefault="00E62F2F" w:rsidP="00E62F2F">
            <w:pPr>
              <w:pStyle w:val="NoSpacing"/>
              <w:numPr>
                <w:ilvl w:val="0"/>
                <w:numId w:val="4"/>
              </w:numPr>
              <w:rPr>
                <w:rFonts w:ascii="Arial" w:hAnsi="Arial" w:cs="Arial"/>
              </w:rPr>
            </w:pPr>
            <w:r w:rsidRPr="0061744D">
              <w:rPr>
                <w:rFonts w:ascii="Arial" w:hAnsi="Arial" w:cs="Arial"/>
              </w:rPr>
              <w:t>% of antibiotics prescribed based on the AWaRe classification/ % reduction in the prescribing of target antibiotics, e.g., ‘Watch’ cephalosporins to potential ‘Access’ antibiotics (current target is 60% of current prescribing should be ‘Access’ antibiotics)</w:t>
            </w:r>
          </w:p>
          <w:p w14:paraId="0AE6F602" w14:textId="77777777" w:rsidR="00E62F2F" w:rsidRDefault="00E62F2F" w:rsidP="00E62F2F">
            <w:pPr>
              <w:pStyle w:val="NoSpacing"/>
              <w:numPr>
                <w:ilvl w:val="0"/>
                <w:numId w:val="4"/>
              </w:numPr>
              <w:rPr>
                <w:rFonts w:ascii="Arial" w:hAnsi="Arial" w:cs="Arial"/>
              </w:rPr>
            </w:pPr>
            <w:r w:rsidRPr="0061744D">
              <w:rPr>
                <w:rFonts w:ascii="Arial" w:hAnsi="Arial" w:cs="Arial"/>
              </w:rPr>
              <w:t>% of key antibiotics (included in agreed guidelines) available for prescribing, i.e. no/limited shortages</w:t>
            </w:r>
          </w:p>
          <w:p w14:paraId="58B0A0D1" w14:textId="77777777" w:rsidR="00E62F2F" w:rsidRDefault="00E62F2F" w:rsidP="00E62F2F">
            <w:pPr>
              <w:pStyle w:val="NoSpacing"/>
              <w:numPr>
                <w:ilvl w:val="0"/>
                <w:numId w:val="4"/>
              </w:numPr>
              <w:rPr>
                <w:rFonts w:ascii="Arial" w:hAnsi="Arial" w:cs="Arial"/>
              </w:rPr>
            </w:pPr>
            <w:r w:rsidRPr="0061744D">
              <w:rPr>
                <w:rFonts w:ascii="Arial" w:hAnsi="Arial" w:cs="Arial"/>
              </w:rPr>
              <w:t>Whether there are agreed therapeutic interchange policies in the hospital when there are likely to be shortages of standard antibiotics for the condition (over a specific time period) (Yes/ No)</w:t>
            </w:r>
          </w:p>
          <w:p w14:paraId="2F452970" w14:textId="0636AFB8" w:rsidR="00E62F2F" w:rsidRPr="0061744D" w:rsidRDefault="00E62F2F" w:rsidP="00E62F2F">
            <w:pPr>
              <w:pStyle w:val="NoSpacing"/>
              <w:numPr>
                <w:ilvl w:val="0"/>
                <w:numId w:val="4"/>
              </w:numPr>
              <w:rPr>
                <w:rFonts w:ascii="Arial" w:hAnsi="Arial" w:cs="Arial"/>
              </w:rPr>
            </w:pPr>
            <w:r w:rsidRPr="0061744D">
              <w:rPr>
                <w:rFonts w:ascii="Arial" w:hAnsi="Arial" w:cs="Arial"/>
                <w:color w:val="131413"/>
              </w:rPr>
              <w:t xml:space="preserve">% of all admitted patients with pneumonia to the hospital correctly classified and treated </w:t>
            </w:r>
            <w:r>
              <w:rPr>
                <w:rFonts w:ascii="Arial" w:hAnsi="Arial" w:cs="Arial"/>
                <w:color w:val="131413"/>
              </w:rPr>
              <w:t xml:space="preserve">according </w:t>
            </w:r>
            <w:r w:rsidRPr="0061744D">
              <w:rPr>
                <w:rFonts w:ascii="Arial" w:hAnsi="Arial" w:cs="Arial"/>
                <w:color w:val="131413"/>
              </w:rPr>
              <w:t>to agreed guidelines (over a specified time period)</w:t>
            </w:r>
          </w:p>
        </w:tc>
      </w:tr>
      <w:tr w:rsidR="0061744D" w:rsidRPr="0061744D" w14:paraId="09442E29" w14:textId="77777777" w:rsidTr="0061744D">
        <w:tc>
          <w:tcPr>
            <w:tcW w:w="9640" w:type="dxa"/>
            <w:shd w:val="clear" w:color="auto" w:fill="auto"/>
            <w:tcMar>
              <w:left w:w="0" w:type="dxa"/>
              <w:right w:w="0" w:type="dxa"/>
            </w:tcMar>
            <w:vAlign w:val="center"/>
          </w:tcPr>
          <w:p w14:paraId="744F7112" w14:textId="77777777" w:rsidR="0061744D" w:rsidRPr="0061744D" w:rsidRDefault="0061744D" w:rsidP="00332EC3">
            <w:pPr>
              <w:pStyle w:val="NoSpacing"/>
              <w:jc w:val="center"/>
              <w:rPr>
                <w:rFonts w:ascii="Arial" w:hAnsi="Arial" w:cs="Arial"/>
                <w:b/>
                <w:bCs/>
                <w:highlight w:val="yellow"/>
              </w:rPr>
            </w:pPr>
            <w:r w:rsidRPr="0061744D">
              <w:rPr>
                <w:rFonts w:ascii="Arial" w:hAnsi="Arial" w:cs="Arial"/>
                <w:b/>
                <w:bCs/>
              </w:rPr>
              <w:t>Outcome Indicators</w:t>
            </w:r>
          </w:p>
        </w:tc>
      </w:tr>
      <w:tr w:rsidR="0061744D" w:rsidRPr="0061744D" w14:paraId="62A42132" w14:textId="77777777" w:rsidTr="0061744D">
        <w:tc>
          <w:tcPr>
            <w:tcW w:w="9640" w:type="dxa"/>
            <w:shd w:val="clear" w:color="auto" w:fill="auto"/>
            <w:tcMar>
              <w:left w:w="0" w:type="dxa"/>
              <w:right w:w="0" w:type="dxa"/>
            </w:tcMar>
            <w:vAlign w:val="center"/>
          </w:tcPr>
          <w:p w14:paraId="288BDAB8" w14:textId="77777777" w:rsidR="0061744D" w:rsidRDefault="0061744D" w:rsidP="00E62F2F">
            <w:pPr>
              <w:pStyle w:val="NoSpacing"/>
              <w:numPr>
                <w:ilvl w:val="0"/>
                <w:numId w:val="5"/>
              </w:numPr>
              <w:rPr>
                <w:rFonts w:ascii="Arial" w:hAnsi="Arial" w:cs="Arial"/>
              </w:rPr>
            </w:pPr>
            <w:r w:rsidRPr="0061744D">
              <w:rPr>
                <w:rFonts w:ascii="Arial" w:hAnsi="Arial" w:cs="Arial"/>
              </w:rPr>
              <w:t>% SSIs following operations (over an agreed time period) – agreed targe</w:t>
            </w:r>
            <w:r>
              <w:rPr>
                <w:rFonts w:ascii="Arial" w:hAnsi="Arial" w:cs="Arial"/>
              </w:rPr>
              <w:t>ts</w:t>
            </w:r>
          </w:p>
          <w:p w14:paraId="17AB8C80" w14:textId="185294F2" w:rsidR="00E62F2F" w:rsidRPr="0061744D" w:rsidRDefault="00E62F2F" w:rsidP="00E62F2F">
            <w:pPr>
              <w:pStyle w:val="NoSpacing"/>
              <w:numPr>
                <w:ilvl w:val="0"/>
                <w:numId w:val="5"/>
              </w:numPr>
              <w:rPr>
                <w:rFonts w:ascii="Arial" w:hAnsi="Arial" w:cs="Arial"/>
              </w:rPr>
            </w:pPr>
            <w:r w:rsidRPr="0061744D">
              <w:rPr>
                <w:rFonts w:ascii="Arial" w:hAnsi="Arial" w:cs="Arial"/>
              </w:rPr>
              <w:t>% Mortality rates (post-intervention versus pre-intervention) following changes in antimicrobial prescribing, e.g., reducing extensive antimicrobial prescribing post-surgery for SAP or reducing extensive prescribing of ‘Watch’ antibiotics</w:t>
            </w:r>
          </w:p>
        </w:tc>
      </w:tr>
    </w:tbl>
    <w:p w14:paraId="5D406D3C" w14:textId="154CBDFA" w:rsidR="00E77D18" w:rsidRPr="00E77D18" w:rsidRDefault="00E77D18" w:rsidP="0061744D">
      <w:pPr>
        <w:pStyle w:val="NoSpacing"/>
        <w:rPr>
          <w:rFonts w:ascii="Arial" w:hAnsi="Arial" w:cs="Arial"/>
          <w:sz w:val="18"/>
          <w:szCs w:val="18"/>
        </w:rPr>
      </w:pPr>
      <w:r>
        <w:rPr>
          <w:rFonts w:ascii="Arial" w:hAnsi="Arial" w:cs="Arial"/>
          <w:b/>
          <w:bCs/>
          <w:sz w:val="18"/>
          <w:szCs w:val="18"/>
        </w:rPr>
        <w:t xml:space="preserve">Notes: </w:t>
      </w:r>
      <w:r>
        <w:rPr>
          <w:rFonts w:ascii="Arial" w:hAnsi="Arial" w:cs="Arial"/>
          <w:sz w:val="18"/>
          <w:szCs w:val="18"/>
        </w:rPr>
        <w:t>Data from these studies.</w:t>
      </w:r>
      <w:r w:rsidRPr="00E77D18">
        <w:rPr>
          <w:rFonts w:ascii="Arial" w:hAnsi="Arial" w:cs="Arial"/>
          <w:sz w:val="18"/>
          <w:szCs w:val="18"/>
          <w:vertAlign w:val="superscript"/>
        </w:rPr>
        <w:t>9–16</w:t>
      </w:r>
    </w:p>
    <w:p w14:paraId="05955BAA" w14:textId="6B8EB847" w:rsidR="0061744D" w:rsidRPr="0061744D" w:rsidRDefault="00E77D18" w:rsidP="0061744D">
      <w:pPr>
        <w:pStyle w:val="NoSpacing"/>
        <w:rPr>
          <w:rFonts w:ascii="Arial" w:hAnsi="Arial" w:cs="Arial"/>
          <w:sz w:val="18"/>
          <w:szCs w:val="18"/>
        </w:rPr>
      </w:pPr>
      <w:r w:rsidRPr="00E77D18">
        <w:rPr>
          <w:rFonts w:ascii="Arial" w:hAnsi="Arial" w:cs="Arial"/>
          <w:b/>
          <w:bCs/>
          <w:sz w:val="18"/>
          <w:szCs w:val="18"/>
        </w:rPr>
        <w:t>Abbreviations</w:t>
      </w:r>
      <w:r w:rsidR="0061744D" w:rsidRPr="0061744D">
        <w:rPr>
          <w:rFonts w:ascii="Arial" w:hAnsi="Arial" w:cs="Arial"/>
          <w:sz w:val="18"/>
          <w:szCs w:val="18"/>
        </w:rPr>
        <w:t xml:space="preserve">: AMS: Antimicrobial Stewardship; DDDs: </w:t>
      </w:r>
      <w:r w:rsidR="0061744D">
        <w:rPr>
          <w:rFonts w:ascii="Arial" w:hAnsi="Arial" w:cs="Arial"/>
          <w:sz w:val="18"/>
          <w:szCs w:val="18"/>
        </w:rPr>
        <w:t>AWaRe classification – WHO AWaRe classification</w:t>
      </w:r>
      <w:r w:rsidR="0061744D" w:rsidRPr="0061744D">
        <w:rPr>
          <w:rFonts w:ascii="Arial" w:hAnsi="Arial" w:cs="Arial"/>
          <w:sz w:val="18"/>
          <w:szCs w:val="18"/>
        </w:rPr>
        <w:t>; SAP: Surgical Antibiotic prophylaxis; SSIs: surgical site infections.</w:t>
      </w:r>
    </w:p>
    <w:p w14:paraId="17E0BC1E" w14:textId="77777777" w:rsidR="00027611" w:rsidRDefault="00027611"/>
    <w:p w14:paraId="70784755" w14:textId="67EF665C" w:rsidR="00027611" w:rsidRPr="002D1B92" w:rsidRDefault="00A65C3F" w:rsidP="002D1B92">
      <w:pPr>
        <w:pStyle w:val="NoSpacing"/>
        <w:rPr>
          <w:rFonts w:ascii="Arial" w:hAnsi="Arial" w:cs="Arial"/>
          <w:b/>
          <w:bCs/>
          <w:sz w:val="20"/>
          <w:szCs w:val="20"/>
        </w:rPr>
      </w:pPr>
      <w:r w:rsidRPr="002D1B92">
        <w:rPr>
          <w:rFonts w:ascii="Arial" w:hAnsi="Arial" w:cs="Arial"/>
          <w:b/>
          <w:bCs/>
          <w:sz w:val="20"/>
          <w:szCs w:val="20"/>
        </w:rPr>
        <w:t>References</w:t>
      </w:r>
    </w:p>
    <w:p w14:paraId="4023B867" w14:textId="77777777" w:rsidR="009146BE" w:rsidRPr="009146BE" w:rsidRDefault="00027611" w:rsidP="009146BE">
      <w:pPr>
        <w:pStyle w:val="NoSpacing"/>
        <w:rPr>
          <w:rFonts w:ascii="Arial" w:hAnsi="Arial" w:cs="Arial"/>
          <w:noProof/>
          <w:sz w:val="20"/>
          <w:szCs w:val="20"/>
        </w:rPr>
      </w:pPr>
      <w:r w:rsidRPr="009146BE">
        <w:rPr>
          <w:rFonts w:ascii="Arial" w:hAnsi="Arial" w:cs="Arial"/>
          <w:noProof/>
          <w:sz w:val="20"/>
          <w:szCs w:val="20"/>
        </w:rPr>
        <w:fldChar w:fldCharType="begin"/>
      </w:r>
      <w:r w:rsidRPr="009146BE">
        <w:rPr>
          <w:rFonts w:ascii="Arial" w:hAnsi="Arial" w:cs="Arial"/>
          <w:sz w:val="20"/>
          <w:szCs w:val="20"/>
        </w:rPr>
        <w:instrText xml:space="preserve"> ADDIN EN.REFLIST </w:instrText>
      </w:r>
      <w:r w:rsidRPr="009146BE">
        <w:rPr>
          <w:rFonts w:ascii="Arial" w:hAnsi="Arial" w:cs="Arial"/>
          <w:noProof/>
          <w:sz w:val="20"/>
          <w:szCs w:val="20"/>
        </w:rPr>
        <w:fldChar w:fldCharType="separate"/>
      </w:r>
      <w:r w:rsidR="009146BE" w:rsidRPr="009146BE">
        <w:rPr>
          <w:rFonts w:ascii="Arial" w:hAnsi="Arial" w:cs="Arial"/>
          <w:noProof/>
          <w:sz w:val="20"/>
          <w:szCs w:val="20"/>
        </w:rPr>
        <w:t>1.</w:t>
      </w:r>
      <w:r w:rsidR="009146BE" w:rsidRPr="009146BE">
        <w:rPr>
          <w:rFonts w:ascii="Arial" w:hAnsi="Arial" w:cs="Arial"/>
          <w:noProof/>
          <w:sz w:val="20"/>
          <w:szCs w:val="20"/>
        </w:rPr>
        <w:tab/>
        <w:t>Cox JA, Vlieghe E, Mendelson M, Wertheim H, Ndegwa L, Villegas MV, et al. Antibiotic stewardship in low- and middle-income countries: the same but different? Clin Microbiol Infect. 2017;23(11):812-8.</w:t>
      </w:r>
    </w:p>
    <w:p w14:paraId="5589F9CD"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2.</w:t>
      </w:r>
      <w:r w:rsidRPr="009146BE">
        <w:rPr>
          <w:rFonts w:ascii="Arial" w:hAnsi="Arial" w:cs="Arial"/>
          <w:noProof/>
          <w:sz w:val="20"/>
          <w:szCs w:val="20"/>
        </w:rPr>
        <w:tab/>
        <w:t>Fadare JO, Ogunleye O, Iliyasu G, Adeoti A, Schellack N, Engler D, et al. Status of antimicrobial stewardship programmes in Nigerian tertiary healthcare facilities: Findings and implications. J Glob Antimicrob Resist. 2019;17:132-6.</w:t>
      </w:r>
    </w:p>
    <w:p w14:paraId="61CAF433"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3.</w:t>
      </w:r>
      <w:r w:rsidRPr="009146BE">
        <w:rPr>
          <w:rFonts w:ascii="Arial" w:hAnsi="Arial" w:cs="Arial"/>
          <w:noProof/>
          <w:sz w:val="20"/>
          <w:szCs w:val="20"/>
        </w:rPr>
        <w:tab/>
        <w:t>Kalungia AC, Mwambula H, Munkombwe D, Marshall S, Schellack N, May C, et al. Antimicrobial stewardship knowledge and perception among physicians and pharmacists at leading tertiary teaching hospitals in Zambia: implications for future policy and practice. J Chemother. 2019;31(7-8):378-87.</w:t>
      </w:r>
    </w:p>
    <w:p w14:paraId="24EA7923"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4.</w:t>
      </w:r>
      <w:r w:rsidRPr="009146BE">
        <w:rPr>
          <w:rFonts w:ascii="Arial" w:hAnsi="Arial" w:cs="Arial"/>
          <w:noProof/>
          <w:sz w:val="20"/>
          <w:szCs w:val="20"/>
        </w:rPr>
        <w:tab/>
        <w:t>Chigome AK, Matlala M, Godman B, Meyer JC. Availability and Use of Therapeutic Interchange Policies in Managing Antimicrobial Shortages among South African Public Sector Hospitals; Findings and Implications. Antibiotics (Basel). 2019;9(1).</w:t>
      </w:r>
    </w:p>
    <w:p w14:paraId="78A7D692"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lastRenderedPageBreak/>
        <w:t>5.</w:t>
      </w:r>
      <w:r w:rsidRPr="009146BE">
        <w:rPr>
          <w:rFonts w:ascii="Arial" w:hAnsi="Arial" w:cs="Arial"/>
          <w:noProof/>
          <w:sz w:val="20"/>
          <w:szCs w:val="20"/>
        </w:rPr>
        <w:tab/>
        <w:t>Mwita JC, Ogunleye OO, Olalekan A, Kalungia AC, Kurdi A, Saleem Z, et al. Key Issues Surrounding Appropriate Antibiotic Use for Prevention of Surgical Site Infections in Low- and Middle-Income Countries: A Narrative Review and the Implications. Int J Gen Med. 2021;14:515-30.</w:t>
      </w:r>
    </w:p>
    <w:p w14:paraId="4D87EB5A"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6.</w:t>
      </w:r>
      <w:r w:rsidRPr="009146BE">
        <w:rPr>
          <w:rFonts w:ascii="Arial" w:hAnsi="Arial" w:cs="Arial"/>
          <w:noProof/>
          <w:sz w:val="20"/>
          <w:szCs w:val="20"/>
        </w:rPr>
        <w:tab/>
        <w:t>Kamere N, Garwe ST, Akinwotu OO, Tuck C, Krockow EM, Yadav S, et al. Scoping Review of National Antimicrobial Stewardship Activities in Eight African Countries and Adaptable Recommendations. Antibiotics. 2022;11(9):1149.</w:t>
      </w:r>
    </w:p>
    <w:p w14:paraId="2C91FE09"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7.</w:t>
      </w:r>
      <w:r w:rsidRPr="009146BE">
        <w:rPr>
          <w:rFonts w:ascii="Arial" w:hAnsi="Arial" w:cs="Arial"/>
          <w:noProof/>
          <w:sz w:val="20"/>
          <w:szCs w:val="20"/>
        </w:rPr>
        <w:tab/>
        <w:t>Afriyie DK, Sefah IA, Sneddon J, Malcolm W, McKinney R, Cooper L, et al. Antimicrobial point prevalence surveys in two Ghanaian hospitals: opportunities for antimicrobial stewardship. JAC Antimicrob Resist. 2020;2(1):dlaa001.</w:t>
      </w:r>
    </w:p>
    <w:p w14:paraId="1E96CDB2"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8.</w:t>
      </w:r>
      <w:r w:rsidRPr="009146BE">
        <w:rPr>
          <w:rFonts w:ascii="Arial" w:hAnsi="Arial" w:cs="Arial"/>
          <w:noProof/>
          <w:sz w:val="20"/>
          <w:szCs w:val="20"/>
        </w:rPr>
        <w:tab/>
        <w:t>Niaz Q, Godman B, Campbell S, Kibuule D. Compliance to prescribing guidelines among public health care facilities in Namibia; findings and implications. Int J Clin Pharm. 2020;42(4):1227-36.</w:t>
      </w:r>
    </w:p>
    <w:p w14:paraId="7086AD32"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9.</w:t>
      </w:r>
      <w:r w:rsidRPr="009146BE">
        <w:rPr>
          <w:rFonts w:ascii="Arial" w:hAnsi="Arial" w:cs="Arial"/>
          <w:noProof/>
          <w:sz w:val="20"/>
          <w:szCs w:val="20"/>
        </w:rPr>
        <w:tab/>
        <w:t>Saleem Z, Godman B, Cook A, Khan MA, Campbell SM, Seaton RA, et al. Ongoing Efforts to Improve Antimicrobial Utilization in Hospitals among African Countries and Implications for the Future. Antibiotics. 2022;11(12):1824.</w:t>
      </w:r>
    </w:p>
    <w:p w14:paraId="753B41CC"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10.</w:t>
      </w:r>
      <w:r w:rsidRPr="009146BE">
        <w:rPr>
          <w:rFonts w:ascii="Arial" w:hAnsi="Arial" w:cs="Arial"/>
          <w:noProof/>
          <w:sz w:val="20"/>
          <w:szCs w:val="20"/>
        </w:rPr>
        <w:tab/>
        <w:t>Siachalinga L, Mufwambi W, Lee IH. Impact of antimicrobial stewardship interventions to improve antibiotic prescribing for hospital inpatients in Africa: a systematic review and meta-analysis. J Hosp Infect. 2022;129:124-43.</w:t>
      </w:r>
    </w:p>
    <w:p w14:paraId="046FA43E"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11.</w:t>
      </w:r>
      <w:r w:rsidRPr="009146BE">
        <w:rPr>
          <w:rFonts w:ascii="Arial" w:hAnsi="Arial" w:cs="Arial"/>
          <w:noProof/>
          <w:sz w:val="20"/>
          <w:szCs w:val="20"/>
        </w:rPr>
        <w:tab/>
        <w:t>Adekoya I, Maraj D, Steiner L, Yaphe H, Moja L, Magrini N, et al. Comparison of antibiotics included in national essential medicines lists of 138 countries using the WHO Access, Watch, Reserve (AWaRe) classification: a cross-sectional study. Lancet Infect Dis. 2021;21(10):1429-40.</w:t>
      </w:r>
    </w:p>
    <w:p w14:paraId="3B40B25C"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12.</w:t>
      </w:r>
      <w:r w:rsidRPr="009146BE">
        <w:rPr>
          <w:rFonts w:ascii="Arial" w:hAnsi="Arial" w:cs="Arial"/>
          <w:noProof/>
          <w:sz w:val="20"/>
          <w:szCs w:val="20"/>
        </w:rPr>
        <w:tab/>
        <w:t>Versporten A, Zarb P, Caniaux I, Gros MF, Drapier N, Miller M, et al. Antimicrobial consumption and resistance in adult hospital inpatients in 53 countries: results of an internet-based global point prevalence survey. Lancet Glob Health. 2018;6(6):e619-e29.</w:t>
      </w:r>
    </w:p>
    <w:p w14:paraId="149721DB"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13.</w:t>
      </w:r>
      <w:r w:rsidRPr="009146BE">
        <w:rPr>
          <w:rFonts w:ascii="Arial" w:hAnsi="Arial" w:cs="Arial"/>
          <w:noProof/>
          <w:sz w:val="20"/>
          <w:szCs w:val="20"/>
        </w:rPr>
        <w:tab/>
        <w:t>Nakwatumbah S, Kibuule D, Godman B, Haakuria V, Kalemeera F, Baker A, et al. Compliance to guidelines for the prescribing of antibiotics in acute infections at Namibia's national referral hospital: a pilot study and the implications. Expert Rev Anti Infect Ther. 2017;15(7):713-21.</w:t>
      </w:r>
    </w:p>
    <w:p w14:paraId="71B1A5AA"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14.</w:t>
      </w:r>
      <w:r w:rsidRPr="009146BE">
        <w:rPr>
          <w:rFonts w:ascii="Arial" w:hAnsi="Arial" w:cs="Arial"/>
          <w:noProof/>
          <w:sz w:val="20"/>
          <w:szCs w:val="20"/>
        </w:rPr>
        <w:tab/>
        <w:t>Makwela AB, Grootboom WM, Abraham V, Witika B, Godman B, Skosana PP. Antimicrobial Management of Skin and Soft Tissue Infections among Surgical Wards in South Africa: Findings and Implications. Antibiotics. 2023;12(2):275.</w:t>
      </w:r>
    </w:p>
    <w:p w14:paraId="4B05FE4C" w14:textId="68CC2650"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15.</w:t>
      </w:r>
      <w:r w:rsidRPr="009146BE">
        <w:rPr>
          <w:rFonts w:ascii="Arial" w:hAnsi="Arial" w:cs="Arial"/>
          <w:noProof/>
          <w:sz w:val="20"/>
          <w:szCs w:val="20"/>
        </w:rPr>
        <w:tab/>
        <w:t>Godman B, Egwuenu A, Haque M, Malande OO, Schellack N, Kumar S, et al. Strategies to Improve Antimicrobial Utilization with a Special Focus on Developing Countries. Life. 2021;11(6).</w:t>
      </w:r>
    </w:p>
    <w:p w14:paraId="5006A6E1" w14:textId="77777777" w:rsidR="009146BE" w:rsidRPr="009146BE" w:rsidRDefault="009146BE" w:rsidP="009146BE">
      <w:pPr>
        <w:pStyle w:val="NoSpacing"/>
        <w:rPr>
          <w:rFonts w:ascii="Arial" w:hAnsi="Arial" w:cs="Arial"/>
          <w:noProof/>
          <w:sz w:val="20"/>
          <w:szCs w:val="20"/>
        </w:rPr>
      </w:pPr>
      <w:r w:rsidRPr="009146BE">
        <w:rPr>
          <w:rFonts w:ascii="Arial" w:hAnsi="Arial" w:cs="Arial"/>
          <w:noProof/>
          <w:sz w:val="20"/>
          <w:szCs w:val="20"/>
        </w:rPr>
        <w:t>16.</w:t>
      </w:r>
      <w:r w:rsidRPr="009146BE">
        <w:rPr>
          <w:rFonts w:ascii="Arial" w:hAnsi="Arial" w:cs="Arial"/>
          <w:noProof/>
          <w:sz w:val="20"/>
          <w:szCs w:val="20"/>
        </w:rPr>
        <w:tab/>
        <w:t>Sefah IA, Sarkodie SA, Pichierri G, Schellack N, Godman B. Assessing the Clinical Characteristics and Management of COVID-19 among Pediatric Patients in Ghana: Findings and Implications. Antibiotics. 2023;12(2):283.</w:t>
      </w:r>
    </w:p>
    <w:p w14:paraId="4DEA491F" w14:textId="6062F966" w:rsidR="0061744D" w:rsidRPr="009146BE" w:rsidRDefault="00027611" w:rsidP="009146BE">
      <w:pPr>
        <w:pStyle w:val="NoSpacing"/>
        <w:rPr>
          <w:rFonts w:ascii="Arial" w:hAnsi="Arial" w:cs="Arial"/>
          <w:sz w:val="20"/>
          <w:szCs w:val="20"/>
        </w:rPr>
      </w:pPr>
      <w:r w:rsidRPr="009146BE">
        <w:rPr>
          <w:rFonts w:ascii="Arial" w:hAnsi="Arial" w:cs="Arial"/>
          <w:sz w:val="20"/>
          <w:szCs w:val="20"/>
        </w:rPr>
        <w:fldChar w:fldCharType="end"/>
      </w:r>
    </w:p>
    <w:sectPr w:rsidR="0061744D" w:rsidRPr="009146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D996" w14:textId="77777777" w:rsidR="00E77D18" w:rsidRDefault="00E77D18" w:rsidP="00E77D18">
      <w:pPr>
        <w:spacing w:after="0" w:line="240" w:lineRule="auto"/>
      </w:pPr>
      <w:r>
        <w:separator/>
      </w:r>
    </w:p>
  </w:endnote>
  <w:endnote w:type="continuationSeparator" w:id="0">
    <w:p w14:paraId="15448B77" w14:textId="77777777" w:rsidR="00E77D18" w:rsidRDefault="00E77D18" w:rsidP="00E7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alatino">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B9D1" w14:textId="77777777" w:rsidR="00E77D18" w:rsidRDefault="00E7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5114" w14:textId="2281DFEE" w:rsidR="00E77D18" w:rsidRDefault="00E77D18">
    <w:pPr>
      <w:pStyle w:val="Footer"/>
    </w:pPr>
    <w:r>
      <w:rPr>
        <w:noProof/>
      </w:rPr>
      <mc:AlternateContent>
        <mc:Choice Requires="wps">
          <w:drawing>
            <wp:anchor distT="0" distB="0" distL="114300" distR="114300" simplePos="0" relativeHeight="251659264" behindDoc="0" locked="0" layoutInCell="0" allowOverlap="1" wp14:anchorId="6B787876" wp14:editId="52110FD8">
              <wp:simplePos x="0" y="0"/>
              <wp:positionH relativeFrom="page">
                <wp:posOffset>0</wp:posOffset>
              </wp:positionH>
              <wp:positionV relativeFrom="page">
                <wp:posOffset>10237470</wp:posOffset>
              </wp:positionV>
              <wp:extent cx="7560310" cy="263525"/>
              <wp:effectExtent l="0" t="0" r="0" b="3175"/>
              <wp:wrapNone/>
              <wp:docPr id="1" name="MSIPCMef894e4db5b66c9b4930731d"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42C81" w14:textId="68820933" w:rsidR="00E77D18" w:rsidRPr="00E77D18" w:rsidRDefault="00E77D18" w:rsidP="00E77D18">
                          <w:pPr>
                            <w:spacing w:after="0"/>
                            <w:rPr>
                              <w:rFonts w:ascii="Rockwell" w:hAnsi="Rockwell"/>
                              <w:color w:val="0078D7"/>
                              <w:sz w:val="18"/>
                            </w:rPr>
                          </w:pPr>
                          <w:r w:rsidRPr="00E77D1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87876" id="_x0000_t202" coordsize="21600,21600" o:spt="202" path="m,l,21600r21600,l21600,xe">
              <v:stroke joinstyle="miter"/>
              <v:path gradientshapeok="t" o:connecttype="rect"/>
            </v:shapetype>
            <v:shape id="MSIPCMef894e4db5b66c9b4930731d"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03E42C81" w14:textId="68820933" w:rsidR="00E77D18" w:rsidRPr="00E77D18" w:rsidRDefault="00E77D18" w:rsidP="00E77D18">
                    <w:pPr>
                      <w:spacing w:after="0"/>
                      <w:rPr>
                        <w:rFonts w:ascii="Rockwell" w:hAnsi="Rockwell"/>
                        <w:color w:val="0078D7"/>
                        <w:sz w:val="18"/>
                      </w:rPr>
                    </w:pPr>
                    <w:r w:rsidRPr="00E77D18">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66C2" w14:textId="77777777" w:rsidR="00E77D18" w:rsidRDefault="00E7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1201" w14:textId="77777777" w:rsidR="00E77D18" w:rsidRDefault="00E77D18" w:rsidP="00E77D18">
      <w:pPr>
        <w:spacing w:after="0" w:line="240" w:lineRule="auto"/>
      </w:pPr>
      <w:r>
        <w:separator/>
      </w:r>
    </w:p>
  </w:footnote>
  <w:footnote w:type="continuationSeparator" w:id="0">
    <w:p w14:paraId="789FF7F1" w14:textId="77777777" w:rsidR="00E77D18" w:rsidRDefault="00E77D18" w:rsidP="00E77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A4D4" w14:textId="77777777" w:rsidR="00E77D18" w:rsidRDefault="00E77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787E" w14:textId="77777777" w:rsidR="00E77D18" w:rsidRDefault="00E77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3CF2" w14:textId="77777777" w:rsidR="00E77D18" w:rsidRDefault="00E77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2DF"/>
    <w:multiLevelType w:val="hybridMultilevel"/>
    <w:tmpl w:val="551A5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42BFA"/>
    <w:multiLevelType w:val="hybridMultilevel"/>
    <w:tmpl w:val="C4E29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A72F53"/>
    <w:multiLevelType w:val="hybridMultilevel"/>
    <w:tmpl w:val="7FFC8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B97A2D"/>
    <w:multiLevelType w:val="hybridMultilevel"/>
    <w:tmpl w:val="AECE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9664AF"/>
    <w:multiLevelType w:val="hybridMultilevel"/>
    <w:tmpl w:val="AC80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268276">
    <w:abstractNumId w:val="2"/>
  </w:num>
  <w:num w:numId="2" w16cid:durableId="1669399874">
    <w:abstractNumId w:val="3"/>
  </w:num>
  <w:num w:numId="3" w16cid:durableId="1316376180">
    <w:abstractNumId w:val="0"/>
  </w:num>
  <w:num w:numId="4" w16cid:durableId="406416525">
    <w:abstractNumId w:val="1"/>
  </w:num>
  <w:num w:numId="5" w16cid:durableId="707140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xs200zl92xd3ewrrqpesva5s2tvadas9ws&quot;&gt;My EndNote Library&lt;record-ids&gt;&lt;item&gt;39&lt;/item&gt;&lt;item&gt;90&lt;/item&gt;&lt;item&gt;93&lt;/item&gt;&lt;item&gt;99&lt;/item&gt;&lt;item&gt;100&lt;/item&gt;&lt;item&gt;103&lt;/item&gt;&lt;item&gt;105&lt;/item&gt;&lt;item&gt;106&lt;/item&gt;&lt;item&gt;112&lt;/item&gt;&lt;item&gt;127&lt;/item&gt;&lt;item&gt;684&lt;/item&gt;&lt;item&gt;2638&lt;/item&gt;&lt;item&gt;3182&lt;/item&gt;&lt;item&gt;3184&lt;/item&gt;&lt;item&gt;3526&lt;/item&gt;&lt;item&gt;3537&lt;/item&gt;&lt;/record-ids&gt;&lt;/item&gt;&lt;/Libraries&gt;"/>
  </w:docVars>
  <w:rsids>
    <w:rsidRoot w:val="0061744D"/>
    <w:rsid w:val="00027611"/>
    <w:rsid w:val="001929AB"/>
    <w:rsid w:val="001B008E"/>
    <w:rsid w:val="002B015C"/>
    <w:rsid w:val="002D1B92"/>
    <w:rsid w:val="00332EC3"/>
    <w:rsid w:val="004B17F4"/>
    <w:rsid w:val="0061744D"/>
    <w:rsid w:val="008948AE"/>
    <w:rsid w:val="009146BE"/>
    <w:rsid w:val="009668A6"/>
    <w:rsid w:val="009D785A"/>
    <w:rsid w:val="00A65C3F"/>
    <w:rsid w:val="00B87A24"/>
    <w:rsid w:val="00E62F2F"/>
    <w:rsid w:val="00E77D18"/>
    <w:rsid w:val="00FB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9A56"/>
  <w15:chartTrackingRefBased/>
  <w15:docId w15:val="{52B71A93-3BF2-4750-BC28-ABC1B5D0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link w:val="MDPI31textChar"/>
    <w:qFormat/>
    <w:rsid w:val="0061744D"/>
    <w:pPr>
      <w:spacing w:after="0" w:line="228" w:lineRule="auto"/>
      <w:ind w:left="2608" w:firstLine="425"/>
      <w:jc w:val="both"/>
    </w:pPr>
    <w:rPr>
      <w:rFonts w:ascii="Palatino Linotype" w:eastAsia="SimSun" w:hAnsi="Palatino Linotype" w:cs="Times New Roman"/>
      <w:color w:val="000000"/>
      <w:sz w:val="20"/>
      <w:lang w:val="en-US" w:eastAsia="zh-CN"/>
    </w:rPr>
  </w:style>
  <w:style w:type="paragraph" w:customStyle="1" w:styleId="MDPI41tablecaption">
    <w:name w:val="MDPI_4.1_table_caption"/>
    <w:qFormat/>
    <w:rsid w:val="0061744D"/>
    <w:pPr>
      <w:spacing w:before="240" w:after="120" w:line="228" w:lineRule="auto"/>
      <w:ind w:left="2608"/>
      <w:jc w:val="both"/>
    </w:pPr>
    <w:rPr>
      <w:rFonts w:ascii="Palatino Linotype" w:eastAsia="SimSun" w:hAnsi="Palatino Linotype" w:cs="Cordia New"/>
      <w:color w:val="000000"/>
      <w:sz w:val="18"/>
      <w:lang w:val="en-US" w:eastAsia="zh-CN"/>
    </w:rPr>
  </w:style>
  <w:style w:type="paragraph" w:customStyle="1" w:styleId="MDPI43tablefooter">
    <w:name w:val="MDPI_4.3_table_footer"/>
    <w:next w:val="MDPI31text"/>
    <w:qFormat/>
    <w:rsid w:val="0061744D"/>
    <w:pPr>
      <w:spacing w:after="0" w:line="228" w:lineRule="auto"/>
      <w:ind w:left="2608"/>
      <w:jc w:val="both"/>
    </w:pPr>
    <w:rPr>
      <w:rFonts w:ascii="Palatino Linotype" w:eastAsia="SimSun" w:hAnsi="Palatino Linotype" w:cs="Cordia New"/>
      <w:color w:val="000000"/>
      <w:sz w:val="18"/>
      <w:lang w:val="en-US" w:eastAsia="zh-CN"/>
    </w:rPr>
  </w:style>
  <w:style w:type="paragraph" w:customStyle="1" w:styleId="CommentText1">
    <w:name w:val="Comment Text1"/>
    <w:basedOn w:val="Normal"/>
    <w:qFormat/>
    <w:rsid w:val="0061744D"/>
    <w:pPr>
      <w:spacing w:after="0" w:line="260" w:lineRule="atLeast"/>
      <w:jc w:val="both"/>
    </w:pPr>
    <w:rPr>
      <w:rFonts w:ascii="Palatino Linotype" w:eastAsia="SimSun" w:hAnsi="Palatino Linotype" w:cs="Times New Roman"/>
      <w:color w:val="000000"/>
      <w:sz w:val="20"/>
      <w:szCs w:val="20"/>
      <w:lang w:val="en-US" w:eastAsia="zh-CN"/>
    </w:rPr>
  </w:style>
  <w:style w:type="paragraph" w:customStyle="1" w:styleId="Default">
    <w:name w:val="Default"/>
    <w:qFormat/>
    <w:rsid w:val="0061744D"/>
    <w:pPr>
      <w:spacing w:after="0" w:line="240" w:lineRule="auto"/>
    </w:pPr>
    <w:rPr>
      <w:rFonts w:ascii="Palatino" w:eastAsia="SimSun" w:hAnsi="Palatino" w:cs="Palatino"/>
      <w:color w:val="000000"/>
      <w:sz w:val="24"/>
      <w:szCs w:val="24"/>
      <w:lang w:eastAsia="zh-CN"/>
    </w:rPr>
  </w:style>
  <w:style w:type="character" w:customStyle="1" w:styleId="cf01">
    <w:name w:val="cf01"/>
    <w:basedOn w:val="DefaultParagraphFont"/>
    <w:rsid w:val="0061744D"/>
    <w:rPr>
      <w:rFonts w:ascii="Segoe UI" w:hAnsi="Segoe UI" w:cs="Segoe UI"/>
      <w:sz w:val="18"/>
      <w:szCs w:val="18"/>
    </w:rPr>
  </w:style>
  <w:style w:type="table" w:styleId="TableGrid">
    <w:name w:val="Table Grid"/>
    <w:basedOn w:val="TableNormal"/>
    <w:uiPriority w:val="39"/>
    <w:rsid w:val="0061744D"/>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61744D"/>
    <w:rPr>
      <w:sz w:val="16"/>
      <w:szCs w:val="16"/>
    </w:rPr>
  </w:style>
  <w:style w:type="paragraph" w:styleId="CommentText">
    <w:name w:val="annotation text"/>
    <w:basedOn w:val="Normal"/>
    <w:link w:val="CommentTextChar"/>
    <w:uiPriority w:val="99"/>
    <w:semiHidden/>
    <w:unhideWhenUsed/>
    <w:rsid w:val="0061744D"/>
    <w:pPr>
      <w:spacing w:line="240" w:lineRule="auto"/>
    </w:pPr>
    <w:rPr>
      <w:sz w:val="20"/>
      <w:szCs w:val="20"/>
    </w:rPr>
  </w:style>
  <w:style w:type="character" w:customStyle="1" w:styleId="CommentTextChar">
    <w:name w:val="Comment Text Char"/>
    <w:basedOn w:val="DefaultParagraphFont"/>
    <w:link w:val="CommentText"/>
    <w:uiPriority w:val="99"/>
    <w:semiHidden/>
    <w:rsid w:val="0061744D"/>
    <w:rPr>
      <w:sz w:val="20"/>
      <w:szCs w:val="20"/>
    </w:rPr>
  </w:style>
  <w:style w:type="paragraph" w:styleId="CommentSubject">
    <w:name w:val="annotation subject"/>
    <w:basedOn w:val="CommentText"/>
    <w:next w:val="CommentText"/>
    <w:link w:val="CommentSubjectChar"/>
    <w:uiPriority w:val="99"/>
    <w:semiHidden/>
    <w:unhideWhenUsed/>
    <w:rsid w:val="0061744D"/>
    <w:rPr>
      <w:b/>
      <w:bCs/>
    </w:rPr>
  </w:style>
  <w:style w:type="character" w:customStyle="1" w:styleId="CommentSubjectChar">
    <w:name w:val="Comment Subject Char"/>
    <w:basedOn w:val="CommentTextChar"/>
    <w:link w:val="CommentSubject"/>
    <w:uiPriority w:val="99"/>
    <w:semiHidden/>
    <w:rsid w:val="0061744D"/>
    <w:rPr>
      <w:b/>
      <w:bCs/>
      <w:sz w:val="20"/>
      <w:szCs w:val="20"/>
    </w:rPr>
  </w:style>
  <w:style w:type="paragraph" w:styleId="NoSpacing">
    <w:name w:val="No Spacing"/>
    <w:link w:val="NoSpacingChar"/>
    <w:uiPriority w:val="1"/>
    <w:qFormat/>
    <w:rsid w:val="0061744D"/>
    <w:pPr>
      <w:spacing w:after="0" w:line="240" w:lineRule="auto"/>
    </w:pPr>
  </w:style>
  <w:style w:type="paragraph" w:customStyle="1" w:styleId="EndNoteBibliographyTitle">
    <w:name w:val="EndNote Bibliography Title"/>
    <w:basedOn w:val="Normal"/>
    <w:link w:val="EndNoteBibliographyTitleChar"/>
    <w:rsid w:val="00027611"/>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027611"/>
  </w:style>
  <w:style w:type="character" w:customStyle="1" w:styleId="EndNoteBibliographyTitleChar">
    <w:name w:val="EndNote Bibliography Title Char"/>
    <w:basedOn w:val="NoSpacingChar"/>
    <w:link w:val="EndNoteBibliographyTitle"/>
    <w:rsid w:val="00027611"/>
    <w:rPr>
      <w:rFonts w:ascii="Calibri" w:hAnsi="Calibri" w:cs="Calibri"/>
      <w:noProof/>
      <w:lang w:val="en-US"/>
    </w:rPr>
  </w:style>
  <w:style w:type="paragraph" w:customStyle="1" w:styleId="EndNoteBibliography">
    <w:name w:val="EndNote Bibliography"/>
    <w:basedOn w:val="Normal"/>
    <w:link w:val="EndNoteBibliographyChar"/>
    <w:rsid w:val="00027611"/>
    <w:pPr>
      <w:spacing w:line="240" w:lineRule="auto"/>
    </w:pPr>
    <w:rPr>
      <w:rFonts w:ascii="Calibri" w:hAnsi="Calibri" w:cs="Calibri"/>
      <w:noProof/>
      <w:lang w:val="en-US"/>
    </w:rPr>
  </w:style>
  <w:style w:type="character" w:customStyle="1" w:styleId="EndNoteBibliographyChar">
    <w:name w:val="EndNote Bibliography Char"/>
    <w:basedOn w:val="NoSpacingChar"/>
    <w:link w:val="EndNoteBibliography"/>
    <w:rsid w:val="00027611"/>
    <w:rPr>
      <w:rFonts w:ascii="Calibri" w:hAnsi="Calibri" w:cs="Calibri"/>
      <w:noProof/>
      <w:lang w:val="en-US"/>
    </w:rPr>
  </w:style>
  <w:style w:type="character" w:customStyle="1" w:styleId="MDPI31textChar">
    <w:name w:val="MDPI_3.1_text Char"/>
    <w:basedOn w:val="DefaultParagraphFont"/>
    <w:link w:val="MDPI31text"/>
    <w:rsid w:val="00027611"/>
    <w:rPr>
      <w:rFonts w:ascii="Palatino Linotype" w:eastAsia="SimSun" w:hAnsi="Palatino Linotype" w:cs="Times New Roman"/>
      <w:color w:val="000000"/>
      <w:sz w:val="20"/>
      <w:lang w:val="en-US" w:eastAsia="zh-CN"/>
    </w:rPr>
  </w:style>
  <w:style w:type="paragraph" w:styleId="ListParagraph">
    <w:name w:val="List Paragraph"/>
    <w:basedOn w:val="Normal"/>
    <w:qFormat/>
    <w:rsid w:val="00027611"/>
    <w:pPr>
      <w:spacing w:after="0" w:line="260" w:lineRule="atLeast"/>
      <w:ind w:left="720"/>
      <w:contextualSpacing/>
      <w:jc w:val="both"/>
    </w:pPr>
    <w:rPr>
      <w:rFonts w:ascii="Palatino Linotype" w:eastAsia="SimSun" w:hAnsi="Palatino Linotype" w:cs="Times New Roman"/>
      <w:noProof/>
      <w:color w:val="000000"/>
      <w:sz w:val="20"/>
      <w:szCs w:val="20"/>
      <w:lang w:val="en-US" w:eastAsia="zh-CN"/>
    </w:rPr>
  </w:style>
  <w:style w:type="paragraph" w:styleId="Header">
    <w:name w:val="header"/>
    <w:basedOn w:val="Normal"/>
    <w:link w:val="HeaderChar"/>
    <w:uiPriority w:val="99"/>
    <w:unhideWhenUsed/>
    <w:rsid w:val="00E7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D18"/>
  </w:style>
  <w:style w:type="paragraph" w:styleId="Footer">
    <w:name w:val="footer"/>
    <w:basedOn w:val="Normal"/>
    <w:link w:val="FooterChar"/>
    <w:uiPriority w:val="99"/>
    <w:unhideWhenUsed/>
    <w:rsid w:val="00E7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CDDC-8E0C-472F-B05D-5D6AED80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Godman</dc:creator>
  <cp:keywords/>
  <dc:description/>
  <cp:lastModifiedBy>Olliver, Tania</cp:lastModifiedBy>
  <cp:revision>2</cp:revision>
  <dcterms:created xsi:type="dcterms:W3CDTF">2023-03-31T01:12:00Z</dcterms:created>
  <dcterms:modified xsi:type="dcterms:W3CDTF">2023-03-31T01:12:00Z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2023-03-31T01:12:41Z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230b95f0-96a3-4142-ad14-59560733fc71</vt:lpwstr>
  </property>
  <property fmtid="{D5CDD505-2E9C-101B-9397-08002B2CF9AE}" pid="8" name="MSIP_Label_2bbab825-a111-45e4-86a1-18cee0005896_ContentBits">
    <vt:lpwstr>2</vt:lpwstr>
  </property>
</Properties>
</file>