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C9EF" w14:textId="77777777" w:rsidR="007E6EEE" w:rsidRPr="00503FDF" w:rsidRDefault="007E6EEE">
      <w:pPr>
        <w:jc w:val="center"/>
        <w:rPr>
          <w:rStyle w:val="CommentReference"/>
          <w:color w:val="000000"/>
        </w:rPr>
      </w:pPr>
    </w:p>
    <w:p w14:paraId="04382805" w14:textId="77777777" w:rsidR="007E6EEE" w:rsidRPr="00503FDF" w:rsidRDefault="00902B8B">
      <w:pPr>
        <w:jc w:val="center"/>
        <w:rPr>
          <w:rFonts w:ascii="Times New Roman" w:hAnsi="Times New Roman" w:cs="Times New Roman"/>
          <w:color w:val="000000"/>
          <w:szCs w:val="21"/>
        </w:rPr>
      </w:pPr>
      <w:r w:rsidRPr="00503FDF">
        <w:rPr>
          <w:rFonts w:ascii="Times New Roman" w:hAnsi="Times New Roman" w:cs="Times New Roman" w:hint="eastAsia"/>
          <w:color w:val="000000"/>
          <w:szCs w:val="21"/>
        </w:rPr>
        <w:t xml:space="preserve">Supplementary </w:t>
      </w:r>
      <w:r w:rsidRPr="00503FDF">
        <w:rPr>
          <w:rFonts w:ascii="Times New Roman" w:hAnsi="Times New Roman" w:cs="Times New Roman" w:hint="eastAsia"/>
          <w:color w:val="000000"/>
          <w:szCs w:val="21"/>
        </w:rPr>
        <w:t>Table 1</w:t>
      </w:r>
      <w:r w:rsidRPr="00503FDF">
        <w:rPr>
          <w:rFonts w:ascii="Times New Roman" w:hAnsi="Times New Roman" w:cs="Times New Roman" w:hint="eastAsia"/>
          <w:color w:val="000000"/>
          <w:szCs w:val="21"/>
        </w:rPr>
        <w:t>. Comparison of baseline characteristic between two groups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9"/>
        <w:gridCol w:w="2130"/>
        <w:gridCol w:w="2130"/>
        <w:gridCol w:w="2130"/>
      </w:tblGrid>
      <w:tr w:rsidR="007E6EEE" w:rsidRPr="00503FDF" w14:paraId="29AF096A" w14:textId="77777777">
        <w:tc>
          <w:tcPr>
            <w:tcW w:w="2129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5261F789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Dependent variables</w:t>
            </w:r>
          </w:p>
        </w:tc>
        <w:tc>
          <w:tcPr>
            <w:tcW w:w="2130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1362163E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Rehabilitation group</w:t>
            </w:r>
          </w:p>
        </w:tc>
        <w:tc>
          <w:tcPr>
            <w:tcW w:w="2130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34FC0956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Control group</w:t>
            </w:r>
          </w:p>
        </w:tc>
        <w:tc>
          <w:tcPr>
            <w:tcW w:w="2130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43FF06A7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P-value</w:t>
            </w:r>
          </w:p>
        </w:tc>
      </w:tr>
      <w:tr w:rsidR="007E6EEE" w:rsidRPr="00503FDF" w14:paraId="69BC0870" w14:textId="77777777">
        <w:tc>
          <w:tcPr>
            <w:tcW w:w="2129" w:type="dxa"/>
            <w:tcBorders>
              <w:top w:val="single" w:sz="4" w:space="0" w:color="000000"/>
            </w:tcBorders>
            <w:vAlign w:val="center"/>
          </w:tcPr>
          <w:p w14:paraId="3B08EBB1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MIPmean</w:t>
            </w:r>
          </w:p>
          <w:p w14:paraId="6046CA61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Median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IQR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op w:val="single" w:sz="4" w:space="0" w:color="000000"/>
            </w:tcBorders>
            <w:vAlign w:val="center"/>
          </w:tcPr>
          <w:p w14:paraId="16CEC65B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39.18</w:t>
            </w: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30.88~49.66</w:t>
            </w: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op w:val="single" w:sz="4" w:space="0" w:color="000000"/>
            </w:tcBorders>
            <w:vAlign w:val="center"/>
          </w:tcPr>
          <w:p w14:paraId="159C3FBE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39.56</w:t>
            </w: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32.09~44.25</w:t>
            </w: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op w:val="single" w:sz="4" w:space="0" w:color="000000"/>
            </w:tcBorders>
            <w:vAlign w:val="center"/>
          </w:tcPr>
          <w:p w14:paraId="264615B8" w14:textId="77777777" w:rsidR="007E6EEE" w:rsidRPr="00503FDF" w:rsidRDefault="00902B8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0.621</w:t>
            </w:r>
          </w:p>
        </w:tc>
      </w:tr>
      <w:tr w:rsidR="007E6EEE" w:rsidRPr="00503FDF" w14:paraId="35D953BA" w14:textId="77777777"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14:paraId="6D9C8D4C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MIPmax</w:t>
            </w:r>
          </w:p>
          <w:p w14:paraId="29E589EE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Median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IQR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65E949E6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52.34</w:t>
            </w: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44.84~63.63</w:t>
            </w: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41C4DF9C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49.39</w:t>
            </w: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42.46~56.39</w:t>
            </w: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38C34275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0.560</w:t>
            </w:r>
          </w:p>
        </w:tc>
      </w:tr>
      <w:tr w:rsidR="007E6EEE" w:rsidRPr="00503FDF" w14:paraId="5F189B39" w14:textId="77777777"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14:paraId="6D6DDC83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6MWD</w:t>
            </w:r>
          </w:p>
          <w:p w14:paraId="2AB1748B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Mean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SD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74D0C226" w14:textId="77777777" w:rsidR="007E6EEE" w:rsidRPr="00503FDF" w:rsidRDefault="00902B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564.80±75.04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07B51ADA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580.72±74.02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49D3D82A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0.454</w:t>
            </w:r>
          </w:p>
        </w:tc>
      </w:tr>
      <w:tr w:rsidR="007E6EEE" w:rsidRPr="00503FDF" w14:paraId="79D4EBD3" w14:textId="77777777"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14:paraId="4E07BCFD" w14:textId="77777777" w:rsidR="007E6EEE" w:rsidRPr="00503FDF" w:rsidRDefault="00902B8B">
            <w:pPr>
              <w:pStyle w:val="NormalIndent"/>
              <w:numPr>
                <w:ilvl w:val="0"/>
                <w:numId w:val="1"/>
              </w:numPr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ACT</w:t>
            </w:r>
          </w:p>
          <w:p w14:paraId="19EA033D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Median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IQR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418B0005" w14:textId="77777777" w:rsidR="007E6EEE" w:rsidRPr="00503FDF" w:rsidRDefault="00902B8B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25.00</w:t>
            </w: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23.00~25.00</w:t>
            </w: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0C8C96E3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25.00</w:t>
            </w: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23.00~26.00</w:t>
            </w: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0885387E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0.510</w:t>
            </w:r>
          </w:p>
        </w:tc>
      </w:tr>
      <w:tr w:rsidR="007E6EEE" w:rsidRPr="00503FDF" w14:paraId="3C051835" w14:textId="77777777"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14:paraId="7867E460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FVC%</w:t>
            </w:r>
          </w:p>
          <w:p w14:paraId="44B13847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Mean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SD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5DC8C9F1" w14:textId="77777777" w:rsidR="007E6EEE" w:rsidRPr="00503FDF" w:rsidRDefault="00902B8B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90.71±12.09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7AF80DB2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95.46±14.65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19325C21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0.217</w:t>
            </w:r>
          </w:p>
        </w:tc>
      </w:tr>
      <w:tr w:rsidR="007E6EEE" w:rsidRPr="00503FDF" w14:paraId="52A0FAC4" w14:textId="77777777"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14:paraId="2A7E8844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FEV1%</w:t>
            </w:r>
          </w:p>
          <w:p w14:paraId="533E5877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Mean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SD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19D4BD2D" w14:textId="77777777" w:rsidR="007E6EEE" w:rsidRPr="00503FDF" w:rsidRDefault="00902B8B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84.56±9.83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116A2910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91.48±9.32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30B609C1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0.372</w:t>
            </w:r>
          </w:p>
        </w:tc>
      </w:tr>
      <w:tr w:rsidR="007E6EEE" w:rsidRPr="00503FDF" w14:paraId="5DB81895" w14:textId="77777777"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14:paraId="04C12040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FEV1/FVC%</w:t>
            </w:r>
          </w:p>
          <w:p w14:paraId="7FFEF211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Mean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SD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72996691" w14:textId="77777777" w:rsidR="007E6EEE" w:rsidRPr="00503FDF" w:rsidRDefault="00902B8B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93.10±6.20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0200B434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92.04±7.97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700DD52D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0.602</w:t>
            </w:r>
          </w:p>
        </w:tc>
      </w:tr>
      <w:tr w:rsidR="007E6EEE" w:rsidRPr="00503FDF" w14:paraId="11305DD6" w14:textId="77777777"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14:paraId="7A93F8FF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PEF%</w:t>
            </w:r>
          </w:p>
          <w:p w14:paraId="19C44BEB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Mean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SD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1AA144D3" w14:textId="77777777" w:rsidR="007E6EEE" w:rsidRPr="00503FDF" w:rsidRDefault="00902B8B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87.91±15.56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37DA0CF3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88.70±13.98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432F85E4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0.851</w:t>
            </w:r>
          </w:p>
        </w:tc>
      </w:tr>
      <w:tr w:rsidR="007E6EEE" w:rsidRPr="00503FDF" w14:paraId="4CD326C8" w14:textId="77777777"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14:paraId="078CA4B3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MEF75%</w:t>
            </w:r>
          </w:p>
          <w:p w14:paraId="39972538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Mean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SD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767BA60A" w14:textId="77777777" w:rsidR="007E6EEE" w:rsidRPr="00503FDF" w:rsidRDefault="00902B8B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78.20±13.67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009DBF87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76.81±17.68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3EC9551E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0.757</w:t>
            </w:r>
          </w:p>
        </w:tc>
      </w:tr>
      <w:tr w:rsidR="007E6EEE" w:rsidRPr="00503FDF" w14:paraId="082D312F" w14:textId="77777777"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14:paraId="5B83A584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MEF50%</w:t>
            </w:r>
          </w:p>
          <w:p w14:paraId="64719124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Mean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SD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73DA0A43" w14:textId="77777777" w:rsidR="007E6EEE" w:rsidRPr="00503FDF" w:rsidRDefault="00902B8B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59.29±9.99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0EC893AB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59.32±16.66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3FD5CD2E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0.995</w:t>
            </w:r>
          </w:p>
        </w:tc>
      </w:tr>
      <w:tr w:rsidR="007E6EEE" w:rsidRPr="00503FDF" w14:paraId="0FBD37E4" w14:textId="77777777"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14:paraId="48C498E3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MEF25%</w:t>
            </w:r>
          </w:p>
          <w:p w14:paraId="392A1AE0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Mean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SD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1F55D81F" w14:textId="77777777" w:rsidR="007E6EEE" w:rsidRPr="00503FDF" w:rsidRDefault="00902B8B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47.93±10.71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3B50E172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48.32±13.60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28E5B77E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0.911</w:t>
            </w:r>
          </w:p>
        </w:tc>
      </w:tr>
      <w:tr w:rsidR="007E6EEE" w:rsidRPr="00503FDF" w14:paraId="199EB035" w14:textId="77777777"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14:paraId="6915D482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MMEF75/25%</w:t>
            </w:r>
          </w:p>
          <w:p w14:paraId="05865F4A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Mean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SD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0F02481E" w14:textId="77777777" w:rsidR="007E6EEE" w:rsidRPr="00503FDF" w:rsidRDefault="00902B8B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56.44±10.18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65955D25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57.11±15.83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2E2341C3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0.861</w:t>
            </w:r>
          </w:p>
        </w:tc>
      </w:tr>
      <w:tr w:rsidR="007E6EEE" w:rsidRPr="00503FDF" w14:paraId="6606D151" w14:textId="77777777"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14:paraId="77DA96F9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3.0 Asthma module</w:t>
            </w:r>
          </w:p>
          <w:p w14:paraId="17DED7BA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Mean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SD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5B06CB6B" w14:textId="77777777" w:rsidR="007E6EEE" w:rsidRPr="00503FDF" w:rsidRDefault="00902B8B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19.12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±9.36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2EB6A156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15.20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±8.41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2F583570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0.126</w:t>
            </w:r>
          </w:p>
        </w:tc>
      </w:tr>
      <w:tr w:rsidR="007E6EEE" w:rsidRPr="00503FDF" w14:paraId="2FCD8AE6" w14:textId="77777777"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14:paraId="2E990324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Asthma</w:t>
            </w:r>
          </w:p>
          <w:p w14:paraId="3F1A5970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Median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IQR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70E603F6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7.00(6.00~8.50)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4332F23F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5.00(4.00~8.50)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14843AB9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0.065</w:t>
            </w:r>
          </w:p>
        </w:tc>
      </w:tr>
      <w:tr w:rsidR="007E6EEE" w:rsidRPr="00503FDF" w14:paraId="70F3F082" w14:textId="77777777"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14:paraId="7B565C2A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Treatment</w:t>
            </w:r>
          </w:p>
          <w:p w14:paraId="3B1AA374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Median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IQR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07FD7E13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5.00(5.00~8.00)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22DA45B8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4.00(2.00~8.00)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2AB15AC5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0.200</w:t>
            </w:r>
          </w:p>
        </w:tc>
      </w:tr>
      <w:tr w:rsidR="007E6EEE" w:rsidRPr="00503FDF" w14:paraId="62E08EF6" w14:textId="77777777"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14:paraId="595EAD3A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Worry</w:t>
            </w:r>
          </w:p>
          <w:p w14:paraId="2028699B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Median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IQR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4968297D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1.00(0.00~4.00)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3C0C7382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2.00(0.00~4.00)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44B80690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0.847</w:t>
            </w:r>
          </w:p>
        </w:tc>
      </w:tr>
      <w:tr w:rsidR="007E6EEE" w:rsidRPr="00503FDF" w14:paraId="68A0F3DF" w14:textId="77777777"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14:paraId="5BD96C9A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Communication</w:t>
            </w:r>
          </w:p>
          <w:p w14:paraId="3F2825BD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Median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IQR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023C9CAE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3.00(0.00~5.50)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6A536A98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2.00(1.00~3.00)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1D2D2995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0.205</w:t>
            </w:r>
          </w:p>
        </w:tc>
      </w:tr>
      <w:tr w:rsidR="007E6EEE" w:rsidRPr="00503FDF" w14:paraId="759CDECC" w14:textId="77777777"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14:paraId="01B89B71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4.0 Generic core scales</w:t>
            </w:r>
          </w:p>
          <w:p w14:paraId="222FE0F8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Mean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SD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21D6564D" w14:textId="77777777" w:rsidR="007E6EEE" w:rsidRPr="00503FDF" w:rsidRDefault="00902B8B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16.72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±8.60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36B9880A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17.92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±8.76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06A4A6BA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0.627</w:t>
            </w:r>
          </w:p>
        </w:tc>
      </w:tr>
      <w:tr w:rsidR="007E6EEE" w:rsidRPr="00503FDF" w14:paraId="2DCC3DC9" w14:textId="77777777"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14:paraId="1E1C1EEA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Physical functioning</w:t>
            </w:r>
          </w:p>
          <w:p w14:paraId="37DAB294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Median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IQR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5C019AC0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7.00(4.00~8.50)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449AA06D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7.00(4.50~8.00)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7B0945EB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0.769</w:t>
            </w:r>
          </w:p>
        </w:tc>
      </w:tr>
      <w:tr w:rsidR="007E6EEE" w:rsidRPr="00503FDF" w14:paraId="04D6BB45" w14:textId="77777777"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14:paraId="0F6B13C6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 xml:space="preserve">Emotional 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functioning</w:t>
            </w:r>
          </w:p>
          <w:p w14:paraId="19E25EE9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Median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IQR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1C5FCB2B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3.00(1.00~5.50)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2201DEC7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2.00(0.00~6.00)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3CCC4DF0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0.595</w:t>
            </w:r>
          </w:p>
        </w:tc>
      </w:tr>
      <w:tr w:rsidR="007E6EEE" w:rsidRPr="00503FDF" w14:paraId="7B9D947F" w14:textId="77777777"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14:paraId="3CDAF9B1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lastRenderedPageBreak/>
              <w:t>Social functioning</w:t>
            </w:r>
          </w:p>
          <w:p w14:paraId="37A9DAE9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Median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IQR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0A3FEDCC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1.00(0.00~4.00)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519253B8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2.00(0.00~5.00)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75A2A4EA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0.519</w:t>
            </w:r>
          </w:p>
        </w:tc>
      </w:tr>
      <w:tr w:rsidR="007E6EEE" w:rsidRPr="00503FDF" w14:paraId="010F7F73" w14:textId="77777777"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14:paraId="6756D720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eastAsia="SimSun" w:hAnsi="Times New Roman" w:cs="Times New Roman"/>
                <w:color w:val="000000"/>
                <w:szCs w:val="21"/>
              </w:rPr>
              <w:t>School functioning</w:t>
            </w:r>
          </w:p>
          <w:p w14:paraId="0987E4BC" w14:textId="77777777" w:rsidR="007E6EEE" w:rsidRPr="00503FDF" w:rsidRDefault="00902B8B">
            <w:pPr>
              <w:pStyle w:val="NormalInden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Median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IQR</w:t>
            </w: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3D5EA84F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6.00(2.50~7.00)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736BB863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5.00(3.50~6.50)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068D9811" w14:textId="77777777" w:rsidR="007E6EEE" w:rsidRPr="00503FDF" w:rsidRDefault="00902B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03FDF">
              <w:rPr>
                <w:rFonts w:ascii="Times New Roman" w:hAnsi="Times New Roman" w:cs="Times New Roman"/>
                <w:color w:val="000000"/>
                <w:szCs w:val="21"/>
              </w:rPr>
              <w:t>0.624</w:t>
            </w:r>
          </w:p>
        </w:tc>
      </w:tr>
    </w:tbl>
    <w:p w14:paraId="4A9905E4" w14:textId="77777777" w:rsidR="007E6EEE" w:rsidRPr="00503FDF" w:rsidRDefault="00902B8B">
      <w:pPr>
        <w:spacing w:line="360" w:lineRule="auto"/>
        <w:rPr>
          <w:rFonts w:ascii="Times New Roman" w:hAnsi="Times New Roman" w:cs="Times New Roman"/>
          <w:color w:val="000000"/>
        </w:rPr>
      </w:pPr>
      <w:r w:rsidRPr="00503FDF">
        <w:rPr>
          <w:rFonts w:ascii="Times New Roman" w:eastAsia="SimSun" w:hAnsi="Times New Roman" w:cs="Times New Roman"/>
          <w:color w:val="000000"/>
        </w:rPr>
        <w:t>Note</w:t>
      </w:r>
      <w:r w:rsidRPr="00503FDF">
        <w:rPr>
          <w:rFonts w:ascii="Times New Roman" w:eastAsia="SimSun" w:hAnsi="Times New Roman" w:cs="Times New Roman"/>
          <w:color w:val="000000"/>
        </w:rPr>
        <w:t>：</w:t>
      </w:r>
      <w:r w:rsidRPr="00503FDF">
        <w:rPr>
          <w:rFonts w:ascii="Times New Roman" w:eastAsia="SimSun" w:hAnsi="Times New Roman" w:cs="Times New Roman" w:hint="eastAsia"/>
          <w:color w:val="000000"/>
        </w:rPr>
        <w:t>MIP</w:t>
      </w:r>
      <w:r w:rsidRPr="00503FDF">
        <w:rPr>
          <w:rFonts w:ascii="Times New Roman" w:eastAsia="SimSun" w:hAnsi="Times New Roman" w:cs="Times New Roman"/>
          <w:color w:val="000000"/>
        </w:rPr>
        <w:t>：</w:t>
      </w:r>
      <w:r w:rsidRPr="00503FDF">
        <w:rPr>
          <w:rFonts w:ascii="Times New Roman" w:hAnsi="Times New Roman" w:cs="Times New Roman"/>
          <w:color w:val="000000"/>
        </w:rPr>
        <w:t>maximum inspiratory pressure</w:t>
      </w:r>
      <w:r w:rsidRPr="00503FDF">
        <w:rPr>
          <w:rFonts w:ascii="Times New Roman" w:hAnsi="Times New Roman" w:cs="Times New Roman" w:hint="eastAsia"/>
          <w:color w:val="000000"/>
        </w:rPr>
        <w:t>；</w:t>
      </w:r>
      <w:r w:rsidRPr="00503FDF">
        <w:rPr>
          <w:rFonts w:ascii="Times New Roman" w:hAnsi="Times New Roman" w:cs="Times New Roman" w:hint="eastAsia"/>
          <w:color w:val="000000"/>
        </w:rPr>
        <w:t>6MWD</w:t>
      </w:r>
      <w:r w:rsidRPr="00503FDF">
        <w:rPr>
          <w:rFonts w:ascii="Times New Roman" w:hAnsi="Times New Roman" w:cs="Times New Roman" w:hint="eastAsia"/>
          <w:color w:val="000000"/>
        </w:rPr>
        <w:t>：</w:t>
      </w:r>
      <w:r w:rsidRPr="00503FDF">
        <w:rPr>
          <w:rFonts w:ascii="Times New Roman" w:hAnsi="Times New Roman" w:cs="Times New Roman" w:hint="eastAsia"/>
          <w:color w:val="000000"/>
        </w:rPr>
        <w:t xml:space="preserve">6 </w:t>
      </w:r>
      <w:r w:rsidRPr="00503FDF">
        <w:rPr>
          <w:rFonts w:ascii="Times New Roman" w:hAnsi="Times New Roman" w:cs="Times New Roman" w:hint="eastAsia"/>
          <w:color w:val="000000"/>
        </w:rPr>
        <w:t>minutes walking distance</w:t>
      </w:r>
      <w:r w:rsidRPr="00503FDF">
        <w:rPr>
          <w:rFonts w:ascii="Times New Roman" w:hAnsi="Times New Roman" w:cs="Times New Roman" w:hint="eastAsia"/>
          <w:color w:val="000000"/>
        </w:rPr>
        <w:t>；</w:t>
      </w:r>
      <w:r w:rsidRPr="00503FDF">
        <w:rPr>
          <w:rFonts w:ascii="Times New Roman" w:hAnsi="Times New Roman" w:cs="Times New Roman" w:hint="eastAsia"/>
          <w:color w:val="000000"/>
        </w:rPr>
        <w:t>C-ACT</w:t>
      </w:r>
      <w:r w:rsidRPr="00503FDF">
        <w:rPr>
          <w:rFonts w:ascii="Times New Roman" w:hAnsi="Times New Roman" w:cs="Times New Roman" w:hint="eastAsia"/>
          <w:color w:val="000000"/>
        </w:rPr>
        <w:t>：</w:t>
      </w:r>
      <w:r w:rsidRPr="00503FDF">
        <w:rPr>
          <w:rFonts w:ascii="Times New Roman" w:hAnsi="Times New Roman" w:cs="Times New Roman" w:hint="eastAsia"/>
          <w:color w:val="000000"/>
        </w:rPr>
        <w:t>children-asthma control test</w:t>
      </w:r>
      <w:r w:rsidRPr="00503FDF">
        <w:rPr>
          <w:rFonts w:ascii="Times New Roman" w:hAnsi="Times New Roman" w:cs="Times New Roman" w:hint="eastAsia"/>
          <w:color w:val="000000"/>
        </w:rPr>
        <w:t>；</w:t>
      </w:r>
      <w:r w:rsidRPr="00503FDF">
        <w:rPr>
          <w:rFonts w:ascii="Times New Roman" w:eastAsia="SimSun" w:hAnsi="Times New Roman" w:cs="Times New Roman"/>
          <w:color w:val="000000"/>
        </w:rPr>
        <w:t>FVC</w:t>
      </w:r>
      <w:r w:rsidRPr="00503FDF">
        <w:rPr>
          <w:rFonts w:ascii="Times New Roman" w:eastAsia="SimSun" w:hAnsi="Times New Roman" w:cs="Times New Roman"/>
          <w:color w:val="000000"/>
        </w:rPr>
        <w:t>：</w:t>
      </w:r>
      <w:r w:rsidRPr="00503FDF">
        <w:rPr>
          <w:rFonts w:ascii="Times New Roman" w:hAnsi="Times New Roman" w:cs="Times New Roman"/>
          <w:color w:val="000000"/>
        </w:rPr>
        <w:t>forced vital capacity</w:t>
      </w:r>
      <w:r w:rsidRPr="00503FDF">
        <w:rPr>
          <w:rFonts w:ascii="Times New Roman" w:eastAsia="SimSun" w:hAnsi="Times New Roman" w:cs="Times New Roman"/>
          <w:color w:val="000000"/>
        </w:rPr>
        <w:t>；</w:t>
      </w:r>
      <w:r w:rsidRPr="00503FDF">
        <w:rPr>
          <w:rFonts w:ascii="Times New Roman" w:eastAsia="SimSun" w:hAnsi="Times New Roman" w:cs="Times New Roman"/>
          <w:color w:val="000000"/>
        </w:rPr>
        <w:t>FEV1</w:t>
      </w:r>
      <w:r w:rsidRPr="00503FDF">
        <w:rPr>
          <w:rFonts w:ascii="Times New Roman" w:eastAsia="SimSun" w:hAnsi="Times New Roman" w:cs="Times New Roman"/>
          <w:color w:val="000000"/>
        </w:rPr>
        <w:t>：</w:t>
      </w:r>
      <w:r w:rsidRPr="00503FDF">
        <w:rPr>
          <w:rFonts w:ascii="Times New Roman" w:hAnsi="Times New Roman" w:cs="Times New Roman"/>
          <w:color w:val="000000"/>
        </w:rPr>
        <w:t>forced expiratory volume in one second</w:t>
      </w:r>
      <w:r w:rsidRPr="00503FDF">
        <w:rPr>
          <w:rFonts w:ascii="Times New Roman" w:eastAsia="SimSun" w:hAnsi="Times New Roman" w:cs="Times New Roman"/>
          <w:color w:val="000000"/>
        </w:rPr>
        <w:t>；</w:t>
      </w:r>
      <w:r w:rsidRPr="00503FDF">
        <w:rPr>
          <w:rFonts w:ascii="Times New Roman" w:eastAsia="SimSun" w:hAnsi="Times New Roman" w:cs="Times New Roman"/>
          <w:color w:val="000000"/>
        </w:rPr>
        <w:t>FEV1/FVC</w:t>
      </w:r>
      <w:r w:rsidRPr="00503FDF">
        <w:rPr>
          <w:rFonts w:ascii="Times New Roman" w:eastAsia="SimSun" w:hAnsi="Times New Roman" w:cs="Times New Roman"/>
          <w:color w:val="000000"/>
        </w:rPr>
        <w:t>：</w:t>
      </w:r>
      <w:r w:rsidRPr="00503FDF">
        <w:rPr>
          <w:rFonts w:ascii="Times New Roman" w:hAnsi="Times New Roman" w:cs="Times New Roman"/>
          <w:color w:val="000000"/>
        </w:rPr>
        <w:t>one-second rate</w:t>
      </w:r>
      <w:r w:rsidRPr="00503FDF">
        <w:rPr>
          <w:rFonts w:ascii="Times New Roman" w:eastAsia="SimSun" w:hAnsi="Times New Roman" w:cs="Times New Roman"/>
          <w:color w:val="000000"/>
        </w:rPr>
        <w:t>；</w:t>
      </w:r>
      <w:r w:rsidRPr="00503FDF">
        <w:rPr>
          <w:rFonts w:ascii="Times New Roman" w:eastAsia="SimSun" w:hAnsi="Times New Roman" w:cs="Times New Roman"/>
          <w:color w:val="000000"/>
        </w:rPr>
        <w:t>PEF</w:t>
      </w:r>
      <w:r w:rsidRPr="00503FDF">
        <w:rPr>
          <w:rFonts w:ascii="Times New Roman" w:eastAsia="SimSun" w:hAnsi="Times New Roman" w:cs="Times New Roman"/>
          <w:color w:val="000000"/>
        </w:rPr>
        <w:t>：</w:t>
      </w:r>
      <w:r w:rsidRPr="00503FDF">
        <w:rPr>
          <w:rFonts w:ascii="Times New Roman" w:hAnsi="Times New Roman" w:cs="Times New Roman"/>
          <w:color w:val="000000"/>
        </w:rPr>
        <w:t>peak expiratory flow</w:t>
      </w:r>
      <w:r w:rsidRPr="00503FDF">
        <w:rPr>
          <w:rFonts w:ascii="Times New Roman" w:eastAsia="SimSun" w:hAnsi="Times New Roman" w:cs="Times New Roman"/>
          <w:color w:val="000000"/>
        </w:rPr>
        <w:t>；</w:t>
      </w:r>
      <w:r w:rsidRPr="00503FDF">
        <w:rPr>
          <w:rFonts w:ascii="Times New Roman" w:eastAsia="SimSun" w:hAnsi="Times New Roman" w:cs="Times New Roman"/>
          <w:color w:val="000000"/>
        </w:rPr>
        <w:t>MEF75</w:t>
      </w:r>
      <w:r w:rsidRPr="00503FDF">
        <w:rPr>
          <w:rFonts w:ascii="Times New Roman" w:eastAsia="SimSun" w:hAnsi="Times New Roman" w:cs="Times New Roman"/>
          <w:color w:val="000000"/>
        </w:rPr>
        <w:t>：</w:t>
      </w:r>
      <w:r w:rsidRPr="00503FDF">
        <w:rPr>
          <w:rFonts w:ascii="Times New Roman" w:hAnsi="Times New Roman" w:cs="Times New Roman"/>
          <w:color w:val="000000"/>
        </w:rPr>
        <w:t>maximum expiratory flow at 75% of vital capacity</w:t>
      </w:r>
      <w:r w:rsidRPr="00503FDF">
        <w:rPr>
          <w:rFonts w:ascii="Times New Roman" w:eastAsia="SimSun" w:hAnsi="Times New Roman" w:cs="Times New Roman"/>
          <w:color w:val="000000"/>
        </w:rPr>
        <w:t>；</w:t>
      </w:r>
      <w:r w:rsidRPr="00503FDF">
        <w:rPr>
          <w:rFonts w:ascii="Times New Roman" w:eastAsia="SimSun" w:hAnsi="Times New Roman" w:cs="Times New Roman"/>
          <w:color w:val="000000"/>
        </w:rPr>
        <w:t>MEF50</w:t>
      </w:r>
      <w:r w:rsidRPr="00503FDF">
        <w:rPr>
          <w:rFonts w:ascii="Times New Roman" w:eastAsia="SimSun" w:hAnsi="Times New Roman" w:cs="Times New Roman"/>
          <w:color w:val="000000"/>
        </w:rPr>
        <w:t>：</w:t>
      </w:r>
      <w:r w:rsidRPr="00503FDF">
        <w:rPr>
          <w:rFonts w:ascii="Times New Roman" w:hAnsi="Times New Roman" w:cs="Times New Roman"/>
          <w:color w:val="000000"/>
        </w:rPr>
        <w:t>maximum expirat</w:t>
      </w:r>
      <w:r w:rsidRPr="00503FDF">
        <w:rPr>
          <w:rFonts w:ascii="Times New Roman" w:hAnsi="Times New Roman" w:cs="Times New Roman"/>
          <w:color w:val="000000"/>
        </w:rPr>
        <w:t>ory flow at 50% of vital capacity</w:t>
      </w:r>
      <w:r w:rsidRPr="00503FDF">
        <w:rPr>
          <w:rFonts w:ascii="Times New Roman" w:eastAsia="SimSun" w:hAnsi="Times New Roman" w:cs="Times New Roman"/>
          <w:color w:val="000000"/>
        </w:rPr>
        <w:t>；</w:t>
      </w:r>
      <w:r w:rsidRPr="00503FDF">
        <w:rPr>
          <w:rFonts w:ascii="Times New Roman" w:eastAsia="SimSun" w:hAnsi="Times New Roman" w:cs="Times New Roman"/>
          <w:color w:val="000000"/>
        </w:rPr>
        <w:t>MEF25</w:t>
      </w:r>
      <w:r w:rsidRPr="00503FDF">
        <w:rPr>
          <w:rFonts w:ascii="Times New Roman" w:eastAsia="SimSun" w:hAnsi="Times New Roman" w:cs="Times New Roman"/>
          <w:color w:val="000000"/>
        </w:rPr>
        <w:t>：</w:t>
      </w:r>
      <w:r w:rsidRPr="00503FDF">
        <w:rPr>
          <w:rFonts w:ascii="Times New Roman" w:hAnsi="Times New Roman" w:cs="Times New Roman"/>
          <w:color w:val="000000"/>
        </w:rPr>
        <w:t>maximum expiratory flow at 25% of vital capacity</w:t>
      </w:r>
      <w:r w:rsidRPr="00503FDF">
        <w:rPr>
          <w:rFonts w:ascii="Times New Roman" w:eastAsia="SimSun" w:hAnsi="Times New Roman" w:cs="Times New Roman"/>
          <w:color w:val="000000"/>
        </w:rPr>
        <w:t>；</w:t>
      </w:r>
      <w:r w:rsidRPr="00503FDF">
        <w:rPr>
          <w:rFonts w:ascii="Times New Roman" w:eastAsia="SimSun" w:hAnsi="Times New Roman" w:cs="Times New Roman"/>
          <w:color w:val="000000"/>
        </w:rPr>
        <w:t>MMEF75/25</w:t>
      </w:r>
      <w:r w:rsidRPr="00503FDF">
        <w:rPr>
          <w:rFonts w:ascii="Times New Roman" w:eastAsia="SimSun" w:hAnsi="Times New Roman" w:cs="Times New Roman"/>
          <w:color w:val="000000"/>
        </w:rPr>
        <w:t>：</w:t>
      </w:r>
      <w:r w:rsidRPr="00503FDF">
        <w:rPr>
          <w:rFonts w:ascii="Times New Roman" w:hAnsi="Times New Roman" w:cs="Times New Roman"/>
          <w:color w:val="000000"/>
        </w:rPr>
        <w:t>mid-forced expiratory flow rate</w:t>
      </w:r>
    </w:p>
    <w:p w14:paraId="6B83CE9F" w14:textId="77777777" w:rsidR="007E6EEE" w:rsidRPr="00503FDF" w:rsidRDefault="007E6EEE">
      <w:pPr>
        <w:rPr>
          <w:color w:val="000000"/>
        </w:rPr>
      </w:pPr>
    </w:p>
    <w:p w14:paraId="3A9AAA6A" w14:textId="77777777" w:rsidR="007E6EEE" w:rsidRPr="00503FDF" w:rsidRDefault="00902B8B">
      <w:pPr>
        <w:spacing w:line="480" w:lineRule="auto"/>
        <w:jc w:val="left"/>
        <w:rPr>
          <w:rFonts w:ascii="Times New Roman" w:hAnsi="Times New Roman" w:cs="Times New Roman"/>
          <w:color w:val="000000"/>
          <w:szCs w:val="21"/>
        </w:rPr>
      </w:pPr>
      <w:r w:rsidRPr="00503FDF">
        <w:rPr>
          <w:rFonts w:ascii="Times New Roman" w:hAnsi="Times New Roman" w:cs="Times New Roman" w:hint="eastAsia"/>
          <w:color w:val="000000"/>
          <w:szCs w:val="21"/>
        </w:rPr>
        <w:t>Simple size</w:t>
      </w:r>
    </w:p>
    <w:p w14:paraId="5A8879B3" w14:textId="77777777" w:rsidR="007E6EEE" w:rsidRPr="00503FDF" w:rsidRDefault="00902B8B">
      <w:pPr>
        <w:pStyle w:val="NormalIndent"/>
        <w:spacing w:line="480" w:lineRule="auto"/>
        <w:rPr>
          <w:color w:val="000000"/>
        </w:rPr>
      </w:pPr>
      <w:r w:rsidRPr="00503FDF">
        <w:rPr>
          <w:rFonts w:hint="eastAsia"/>
          <w:color w:val="000000"/>
        </w:rPr>
        <w:t xml:space="preserve">The study </w:t>
      </w:r>
      <w:r w:rsidRPr="00503FDF">
        <w:rPr>
          <w:color w:val="000000"/>
        </w:rPr>
        <w:t>used a sample size calculation formula for the comparison of the means of two samples</w:t>
      </w:r>
      <w:r w:rsidRPr="00503FDF">
        <w:rPr>
          <w:rFonts w:hint="eastAsia"/>
          <w:color w:val="000000"/>
        </w:rPr>
        <w:t>：</w:t>
      </w:r>
      <w:r w:rsidRPr="00503FDF">
        <w:rPr>
          <w:color w:val="000000"/>
        </w:rPr>
        <w:t>N1=N2=[(Z</w:t>
      </w:r>
      <w:r w:rsidRPr="00503FDF">
        <w:rPr>
          <w:color w:val="000000"/>
          <w:vertAlign w:val="subscript"/>
        </w:rPr>
        <w:t>α/2</w:t>
      </w:r>
      <w:r w:rsidRPr="00503FDF">
        <w:rPr>
          <w:color w:val="000000"/>
        </w:rPr>
        <w:t>+Z</w:t>
      </w:r>
      <w:r w:rsidRPr="00503FDF">
        <w:rPr>
          <w:color w:val="000000"/>
          <w:vertAlign w:val="subscript"/>
        </w:rPr>
        <w:t>β</w:t>
      </w:r>
      <w:r w:rsidRPr="00503FDF">
        <w:rPr>
          <w:color w:val="000000"/>
        </w:rPr>
        <w:t>)σ/β]</w:t>
      </w:r>
      <w:r w:rsidRPr="00503FDF">
        <w:rPr>
          <w:color w:val="000000"/>
          <w:vertAlign w:val="superscript"/>
        </w:rPr>
        <w:t>2</w:t>
      </w:r>
      <w:r w:rsidRPr="00503FDF">
        <w:rPr>
          <w:color w:val="000000"/>
        </w:rPr>
        <w:t>(Q</w:t>
      </w:r>
      <w:r w:rsidRPr="00503FDF">
        <w:rPr>
          <w:color w:val="000000"/>
          <w:vertAlign w:val="subscript"/>
        </w:rPr>
        <w:t>1</w:t>
      </w:r>
      <w:r w:rsidRPr="00503FDF">
        <w:rPr>
          <w:color w:val="000000"/>
          <w:vertAlign w:val="superscript"/>
        </w:rPr>
        <w:t>-1</w:t>
      </w:r>
      <w:r w:rsidRPr="00503FDF">
        <w:rPr>
          <w:color w:val="000000"/>
        </w:rPr>
        <w:t>+Q</w:t>
      </w:r>
      <w:r w:rsidRPr="00503FDF">
        <w:rPr>
          <w:color w:val="000000"/>
          <w:vertAlign w:val="subscript"/>
        </w:rPr>
        <w:t>2</w:t>
      </w:r>
      <w:r w:rsidRPr="00503FDF">
        <w:rPr>
          <w:color w:val="000000"/>
          <w:vertAlign w:val="superscript"/>
        </w:rPr>
        <w:t>-1</w:t>
      </w:r>
      <w:r w:rsidRPr="00503FDF">
        <w:rPr>
          <w:color w:val="000000"/>
        </w:rPr>
        <w:t>)</w:t>
      </w:r>
      <w:r w:rsidRPr="00503FDF">
        <w:rPr>
          <w:rFonts w:hint="eastAsia"/>
          <w:color w:val="000000"/>
        </w:rPr>
        <w:t>,</w:t>
      </w:r>
      <w:r w:rsidRPr="00503FDF">
        <w:rPr>
          <w:color w:val="000000"/>
        </w:rPr>
        <w:t xml:space="preserve">bring in the value of muscle strength in Elnaggar’s </w:t>
      </w:r>
      <w:r w:rsidRPr="00503FDF">
        <w:rPr>
          <w:rFonts w:hint="eastAsia"/>
          <w:color w:val="000000"/>
        </w:rPr>
        <w:t>study and considering a 20% dropout rate. Finally, N</w:t>
      </w:r>
      <w:r w:rsidRPr="00503FDF">
        <w:rPr>
          <w:rFonts w:hint="eastAsia"/>
          <w:color w:val="000000"/>
          <w:vertAlign w:val="subscript"/>
        </w:rPr>
        <w:t>1</w:t>
      </w:r>
      <w:r w:rsidRPr="00503FDF">
        <w:rPr>
          <w:rFonts w:hint="eastAsia"/>
          <w:color w:val="000000"/>
        </w:rPr>
        <w:t>=N</w:t>
      </w:r>
      <w:r w:rsidRPr="00503FDF">
        <w:rPr>
          <w:rFonts w:hint="eastAsia"/>
          <w:color w:val="000000"/>
          <w:vertAlign w:val="subscript"/>
        </w:rPr>
        <w:t>2</w:t>
      </w:r>
      <w:r w:rsidRPr="00503FDF">
        <w:rPr>
          <w:rFonts w:hint="eastAsia"/>
          <w:color w:val="000000"/>
        </w:rPr>
        <w:t>=25.</w:t>
      </w:r>
    </w:p>
    <w:p w14:paraId="40B1B606" w14:textId="77777777" w:rsidR="007E6EEE" w:rsidRPr="00503FDF" w:rsidRDefault="007E6EEE">
      <w:pPr>
        <w:pStyle w:val="NormalIndent"/>
        <w:spacing w:line="480" w:lineRule="auto"/>
        <w:rPr>
          <w:color w:val="000000"/>
        </w:rPr>
      </w:pPr>
    </w:p>
    <w:p w14:paraId="7CA0D087" w14:textId="77777777" w:rsidR="007E6EEE" w:rsidRPr="00503FDF" w:rsidRDefault="00902B8B">
      <w:pPr>
        <w:pStyle w:val="NormalIndent"/>
        <w:spacing w:line="360" w:lineRule="auto"/>
        <w:ind w:firstLineChars="0" w:firstLine="0"/>
        <w:rPr>
          <w:rFonts w:ascii="Times New Roman" w:hAnsi="Times New Roman" w:cs="Times New Roman"/>
          <w:color w:val="000000"/>
        </w:rPr>
      </w:pPr>
      <w:r w:rsidRPr="00503FDF">
        <w:rPr>
          <w:rFonts w:ascii="Times New Roman" w:hAnsi="Times New Roman" w:cs="Times New Roman"/>
          <w:color w:val="000000"/>
        </w:rPr>
        <w:t xml:space="preserve"> </w:t>
      </w:r>
      <w:r w:rsidRPr="00503FDF">
        <w:rPr>
          <w:rFonts w:ascii="Times New Roman" w:hAnsi="Times New Roman" w:cs="Times New Roman" w:hint="eastAsia"/>
          <w:color w:val="000000"/>
        </w:rPr>
        <w:t>T</w:t>
      </w:r>
      <w:r w:rsidRPr="00503FDF">
        <w:rPr>
          <w:rFonts w:ascii="Times New Roman" w:hAnsi="Times New Roman" w:cs="Times New Roman"/>
          <w:color w:val="000000"/>
        </w:rPr>
        <w:t>he evalution of rehabilitation compliance and safety</w:t>
      </w:r>
    </w:p>
    <w:p w14:paraId="406CCEC4" w14:textId="77777777" w:rsidR="007E6EEE" w:rsidRPr="00503FDF" w:rsidRDefault="00902B8B">
      <w:pPr>
        <w:pStyle w:val="NormalIndent"/>
        <w:spacing w:line="360" w:lineRule="auto"/>
        <w:rPr>
          <w:rFonts w:ascii="Times New Roman" w:hAnsi="Times New Roman" w:cs="Times New Roman"/>
          <w:color w:val="000000"/>
        </w:rPr>
      </w:pPr>
      <w:r w:rsidRPr="00503FDF">
        <w:rPr>
          <w:rFonts w:ascii="Times New Roman" w:hAnsi="Times New Roman" w:cs="Times New Roman"/>
          <w:color w:val="000000"/>
        </w:rPr>
        <w:t>The rehabilitation group should complete 4200 (25×14×4</w:t>
      </w:r>
      <w:r w:rsidRPr="00503FDF">
        <w:rPr>
          <w:rFonts w:ascii="Times New Roman" w:hAnsi="Times New Roman" w:cs="Times New Roman"/>
          <w:color w:val="000000"/>
        </w:rPr>
        <w:t>×3) times respiratory muscle training, and 3589 times were actually completed, with a completion rate of 85.45% (3589 / 4200). Adverse reactions (dizziness due to excessive speed) occurred in the training in 12 times (12 / 3589=0.33%), which was relieved a</w:t>
      </w:r>
      <w:r w:rsidRPr="00503FDF">
        <w:rPr>
          <w:rFonts w:ascii="Times New Roman" w:hAnsi="Times New Roman" w:cs="Times New Roman"/>
          <w:color w:val="000000"/>
        </w:rPr>
        <w:t>fter a short rest. The rehabilitation group should complete 900 (25×3×4×3) times exercise training, and 732 times were actually completed, with a completion rate of 81.33% (732 / 900). Adverse reactions (cough, wheezing, shortness of breath, dyspnea) occur</w:t>
      </w:r>
      <w:r w:rsidRPr="00503FDF">
        <w:rPr>
          <w:rFonts w:ascii="Times New Roman" w:hAnsi="Times New Roman" w:cs="Times New Roman"/>
          <w:color w:val="000000"/>
        </w:rPr>
        <w:t>red in 18 times (18 / 732=2.46%), all the adverse symptoms were mild, relieved after a short rest, and there was no acute asthma attack or hospitalization caused by exercise.</w:t>
      </w:r>
    </w:p>
    <w:p w14:paraId="29451BA2" w14:textId="77777777" w:rsidR="007E6EEE" w:rsidRPr="00503FDF" w:rsidRDefault="007E6EEE">
      <w:pPr>
        <w:pStyle w:val="NormalIndent"/>
        <w:spacing w:line="360" w:lineRule="auto"/>
        <w:rPr>
          <w:rFonts w:ascii="Times New Roman" w:hAnsi="Times New Roman" w:cs="Times New Roman"/>
          <w:color w:val="000000"/>
        </w:rPr>
      </w:pPr>
    </w:p>
    <w:p w14:paraId="5B41D4F1" w14:textId="77777777" w:rsidR="007E6EEE" w:rsidRPr="00503FDF" w:rsidRDefault="007E6EEE">
      <w:pPr>
        <w:pStyle w:val="NormalIndent"/>
        <w:spacing w:line="360" w:lineRule="auto"/>
        <w:ind w:firstLineChars="0" w:firstLine="0"/>
        <w:rPr>
          <w:color w:val="000000"/>
        </w:rPr>
      </w:pPr>
    </w:p>
    <w:p w14:paraId="0792F925" w14:textId="77777777" w:rsidR="007E6EEE" w:rsidRPr="00503FDF" w:rsidRDefault="007E6EEE">
      <w:pPr>
        <w:rPr>
          <w:color w:val="000000"/>
        </w:rPr>
      </w:pPr>
    </w:p>
    <w:p w14:paraId="2C6CC0E2" w14:textId="77777777" w:rsidR="007E6EEE" w:rsidRPr="00503FDF" w:rsidRDefault="007E6EEE">
      <w:pPr>
        <w:rPr>
          <w:color w:val="000000"/>
        </w:rPr>
      </w:pPr>
    </w:p>
    <w:sectPr w:rsidR="007E6EEE" w:rsidRPr="00503FD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61F94" w14:textId="77777777" w:rsidR="00000000" w:rsidRDefault="00902B8B">
      <w:r>
        <w:separator/>
      </w:r>
    </w:p>
  </w:endnote>
  <w:endnote w:type="continuationSeparator" w:id="0">
    <w:p w14:paraId="0EF13C36" w14:textId="77777777" w:rsidR="00000000" w:rsidRDefault="0090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0C809" w14:textId="77777777" w:rsidR="007E6EEE" w:rsidRDefault="00902B8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2" name="MSIPCM540b490d86fd13529eea2a38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10A9DC" w14:textId="77777777" w:rsidR="007E6EEE" w:rsidRDefault="00902B8B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40b490d86fd13529eea2a38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" o:allowincell="f" filled="f" stroked="f" strokeweight=".5pt">
              <v:textbox inset="20pt,0,,0">
                <w:txbxContent>
                  <w:p w14:paraId="2C10A9DC" w14:textId="77777777" w:rsidR="007E6EEE" w:rsidRDefault="00902B8B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45061" w14:textId="77777777" w:rsidR="00000000" w:rsidRDefault="00902B8B">
      <w:r>
        <w:separator/>
      </w:r>
    </w:p>
  </w:footnote>
  <w:footnote w:type="continuationSeparator" w:id="0">
    <w:p w14:paraId="23E7E4AC" w14:textId="77777777" w:rsidR="00000000" w:rsidRDefault="00902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1399FD"/>
    <w:multiLevelType w:val="singleLevel"/>
    <w:tmpl w:val="FA1399FD"/>
    <w:lvl w:ilvl="0">
      <w:start w:val="3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c0ZGI5ZTAxZDEzNzJhYjkxNjlmOTg4Njk4YmQzOTIifQ=="/>
    <w:docVar w:name="KSO_WPS_MARK_KEY" w:val="a52b6262-c413-4fa2-9e70-b8438e78ee87"/>
  </w:docVars>
  <w:rsids>
    <w:rsidRoot w:val="00E37D5E"/>
    <w:rsid w:val="00503FDF"/>
    <w:rsid w:val="007C2D3F"/>
    <w:rsid w:val="007E6EEE"/>
    <w:rsid w:val="00902B8B"/>
    <w:rsid w:val="009B7423"/>
    <w:rsid w:val="00E37D5E"/>
    <w:rsid w:val="00E73659"/>
    <w:rsid w:val="06866AA5"/>
    <w:rsid w:val="20792215"/>
    <w:rsid w:val="463369E3"/>
    <w:rsid w:val="4EF6699C"/>
    <w:rsid w:val="54D358BF"/>
    <w:rsid w:val="59B85C6B"/>
    <w:rsid w:val="64644411"/>
    <w:rsid w:val="6FB04A29"/>
    <w:rsid w:val="7F27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40F4C878-1695-4639-84C6-70F9FF36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pPr>
      <w:ind w:firstLineChars="200" w:firstLine="420"/>
    </w:pPr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Pr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kern w:val="2"/>
      <w:lang w:val="en-US" w:eastAsia="zh-CN"/>
    </w:rPr>
  </w:style>
  <w:style w:type="character" w:customStyle="1" w:styleId="HeaderChar">
    <w:name w:val="Header Char"/>
    <w:basedOn w:val="DefaultParagraphFont"/>
    <w:link w:val="Header"/>
    <w:qFormat/>
    <w:rPr>
      <w:kern w:val="2"/>
      <w:sz w:val="21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qFormat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yangshuhui</dc:creator>
  <cp:lastModifiedBy>Hardgrave, Melissa</cp:lastModifiedBy>
  <cp:revision>3</cp:revision>
  <dcterms:created xsi:type="dcterms:W3CDTF">2023-02-13T20:52:00Z</dcterms:created>
  <dcterms:modified xsi:type="dcterms:W3CDTF">2023-02-13T20:52:00Z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64C56CF5CEE04BA58FF31640A67489D5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2023-02-13T20:52:03Z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73746d0d-7ae8-434c-98f7-933014f67539</vt:lpwstr>
  </property>
  <property fmtid="{D5CDD505-2E9C-101B-9397-08002B2CF9AE}" pid="10" name="MSIP_Label_2bbab825-a111-45e4-86a1-18cee0005896_ContentBits">
    <vt:lpwstr>2</vt:lpwstr>
  </property>
</Properties>
</file>