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4F802" w14:textId="77777777" w:rsidR="00546A15" w:rsidRPr="007D7059" w:rsidRDefault="00546A15" w:rsidP="00546A15">
      <w:pPr>
        <w:pStyle w:val="Heading1"/>
        <w:rPr>
          <w:color w:val="000000"/>
        </w:rPr>
      </w:pPr>
      <w:r w:rsidRPr="007D7059">
        <w:rPr>
          <w:color w:val="000000"/>
        </w:rPr>
        <w:t>Appendix S1 – Search Strategy</w:t>
      </w:r>
    </w:p>
    <w:p w14:paraId="766B2C94" w14:textId="77777777" w:rsidR="00546A15" w:rsidRPr="007D7059" w:rsidRDefault="00546A15" w:rsidP="00546A15">
      <w:pPr>
        <w:pStyle w:val="paragraph"/>
        <w:spacing w:before="0" w:beforeAutospacing="0" w:after="0" w:afterAutospacing="0"/>
        <w:textAlignment w:val="baseline"/>
        <w:rPr>
          <w:rFonts w:ascii="Segoe UI" w:hAnsi="Segoe UI" w:cs="Segoe UI"/>
          <w:color w:val="000000"/>
          <w:sz w:val="18"/>
          <w:szCs w:val="18"/>
          <w:lang w:val="en-US"/>
        </w:rPr>
      </w:pPr>
      <w:r w:rsidRPr="007D7059">
        <w:rPr>
          <w:rStyle w:val="normaltextrun"/>
          <w:rFonts w:ascii="Calibri" w:hAnsi="Calibri" w:cs="Calibri"/>
          <w:color w:val="000000"/>
          <w:sz w:val="22"/>
          <w:szCs w:val="22"/>
          <w:lang w:val="en-US"/>
        </w:rPr>
        <w:t>Ovid Embase Classic+Embase AND Ovid MEDLINE(R) ALL</w:t>
      </w:r>
      <w:r w:rsidRPr="007D7059">
        <w:rPr>
          <w:rStyle w:val="eop"/>
          <w:color w:val="000000"/>
          <w:sz w:val="22"/>
          <w:szCs w:val="22"/>
          <w:lang w:val="en-US"/>
        </w:rPr>
        <w:t> </w:t>
      </w:r>
    </w:p>
    <w:p w14:paraId="089A3164" w14:textId="77777777" w:rsidR="00546A15" w:rsidRPr="007D7059" w:rsidRDefault="00546A15" w:rsidP="00546A15">
      <w:pPr>
        <w:pStyle w:val="paragraph"/>
        <w:spacing w:before="0" w:beforeAutospacing="0" w:after="0" w:afterAutospacing="0"/>
        <w:textAlignment w:val="baseline"/>
        <w:rPr>
          <w:rFonts w:ascii="Segoe UI" w:hAnsi="Segoe UI" w:cs="Segoe UI"/>
          <w:color w:val="000000"/>
          <w:sz w:val="18"/>
          <w:szCs w:val="18"/>
          <w:lang w:val="en-US"/>
        </w:rPr>
      </w:pPr>
      <w:r w:rsidRPr="007D7059">
        <w:rPr>
          <w:rStyle w:val="normaltextrun"/>
          <w:rFonts w:ascii="Calibri" w:hAnsi="Calibri" w:cs="Calibri"/>
          <w:color w:val="000000"/>
          <w:sz w:val="22"/>
          <w:szCs w:val="22"/>
          <w:lang w:val="en-US"/>
        </w:rPr>
        <w:t>1. Pregnancy.mp.</w:t>
      </w:r>
      <w:r w:rsidRPr="007D7059">
        <w:rPr>
          <w:rStyle w:val="eop"/>
          <w:color w:val="000000"/>
          <w:sz w:val="22"/>
          <w:szCs w:val="22"/>
          <w:lang w:val="en-US"/>
        </w:rPr>
        <w:t> </w:t>
      </w:r>
    </w:p>
    <w:p w14:paraId="1E65741D" w14:textId="77777777" w:rsidR="00546A15" w:rsidRPr="007D7059" w:rsidRDefault="00546A15" w:rsidP="00546A15">
      <w:pPr>
        <w:pStyle w:val="paragraph"/>
        <w:spacing w:before="0" w:beforeAutospacing="0" w:after="0" w:afterAutospacing="0"/>
        <w:textAlignment w:val="baseline"/>
        <w:rPr>
          <w:rFonts w:ascii="Segoe UI" w:hAnsi="Segoe UI" w:cs="Segoe UI"/>
          <w:color w:val="000000"/>
          <w:sz w:val="18"/>
          <w:szCs w:val="18"/>
          <w:lang w:val="en-US"/>
        </w:rPr>
      </w:pPr>
      <w:r w:rsidRPr="007D7059">
        <w:rPr>
          <w:rStyle w:val="normaltextrun"/>
          <w:rFonts w:ascii="Calibri" w:hAnsi="Calibri" w:cs="Calibri"/>
          <w:color w:val="000000"/>
          <w:sz w:val="22"/>
          <w:szCs w:val="22"/>
          <w:lang w:val="en-US"/>
        </w:rPr>
        <w:t>2. Pregnant Women.mp.</w:t>
      </w:r>
      <w:r w:rsidRPr="007D7059">
        <w:rPr>
          <w:rStyle w:val="eop"/>
          <w:color w:val="000000"/>
          <w:sz w:val="22"/>
          <w:szCs w:val="22"/>
          <w:lang w:val="en-US"/>
        </w:rPr>
        <w:t> </w:t>
      </w:r>
    </w:p>
    <w:p w14:paraId="35244B83" w14:textId="77777777" w:rsidR="00546A15" w:rsidRPr="007D7059" w:rsidRDefault="00546A15" w:rsidP="00546A15">
      <w:pPr>
        <w:pStyle w:val="paragraph"/>
        <w:spacing w:before="0" w:beforeAutospacing="0" w:after="0" w:afterAutospacing="0"/>
        <w:textAlignment w:val="baseline"/>
        <w:rPr>
          <w:rFonts w:ascii="Segoe UI" w:hAnsi="Segoe UI" w:cs="Segoe UI"/>
          <w:color w:val="000000"/>
          <w:sz w:val="18"/>
          <w:szCs w:val="18"/>
          <w:lang w:val="en-US"/>
        </w:rPr>
      </w:pPr>
      <w:r w:rsidRPr="007D7059">
        <w:rPr>
          <w:rStyle w:val="normaltextrun"/>
          <w:rFonts w:ascii="Calibri" w:hAnsi="Calibri" w:cs="Calibri"/>
          <w:color w:val="000000"/>
          <w:sz w:val="22"/>
          <w:szCs w:val="22"/>
          <w:lang w:val="en-US"/>
        </w:rPr>
        <w:t>3. pregnan*.mp.</w:t>
      </w:r>
      <w:r w:rsidRPr="007D7059">
        <w:rPr>
          <w:rStyle w:val="eop"/>
          <w:color w:val="000000"/>
          <w:sz w:val="22"/>
          <w:szCs w:val="22"/>
          <w:lang w:val="en-US"/>
        </w:rPr>
        <w:t> </w:t>
      </w:r>
    </w:p>
    <w:p w14:paraId="4C71A54C" w14:textId="77777777" w:rsidR="00546A15" w:rsidRPr="007D7059" w:rsidRDefault="00546A15" w:rsidP="00546A15">
      <w:pPr>
        <w:pStyle w:val="paragraph"/>
        <w:spacing w:before="0" w:beforeAutospacing="0" w:after="0" w:afterAutospacing="0"/>
        <w:textAlignment w:val="baseline"/>
        <w:rPr>
          <w:rFonts w:ascii="Segoe UI" w:hAnsi="Segoe UI" w:cs="Segoe UI"/>
          <w:color w:val="000000"/>
          <w:sz w:val="18"/>
          <w:szCs w:val="18"/>
          <w:lang w:val="en-US"/>
        </w:rPr>
      </w:pPr>
      <w:r w:rsidRPr="007D7059">
        <w:rPr>
          <w:rStyle w:val="normaltextrun"/>
          <w:rFonts w:ascii="Calibri" w:hAnsi="Calibri" w:cs="Calibri"/>
          <w:color w:val="000000"/>
          <w:sz w:val="22"/>
          <w:szCs w:val="22"/>
          <w:lang w:val="en-US"/>
        </w:rPr>
        <w:t>4. gestation.mp.</w:t>
      </w:r>
      <w:r w:rsidRPr="007D7059">
        <w:rPr>
          <w:rStyle w:val="eop"/>
          <w:color w:val="000000"/>
          <w:sz w:val="22"/>
          <w:szCs w:val="22"/>
          <w:lang w:val="en-US"/>
        </w:rPr>
        <w:t> </w:t>
      </w:r>
    </w:p>
    <w:p w14:paraId="3EDF441A" w14:textId="77777777" w:rsidR="00546A15" w:rsidRPr="007D7059" w:rsidRDefault="00546A15" w:rsidP="00546A15">
      <w:pPr>
        <w:pStyle w:val="paragraph"/>
        <w:spacing w:before="0" w:beforeAutospacing="0" w:after="0" w:afterAutospacing="0"/>
        <w:textAlignment w:val="baseline"/>
        <w:rPr>
          <w:rFonts w:ascii="Segoe UI" w:hAnsi="Segoe UI" w:cs="Segoe UI"/>
          <w:color w:val="000000"/>
          <w:sz w:val="18"/>
          <w:szCs w:val="18"/>
          <w:lang w:val="en-US"/>
        </w:rPr>
      </w:pPr>
      <w:r w:rsidRPr="007D7059">
        <w:rPr>
          <w:rStyle w:val="normaltextrun"/>
          <w:rFonts w:ascii="Calibri" w:hAnsi="Calibri" w:cs="Calibri"/>
          <w:color w:val="000000"/>
          <w:sz w:val="22"/>
          <w:szCs w:val="22"/>
          <w:lang w:val="en-US"/>
        </w:rPr>
        <w:t>5. 1 or 2 or 3 or 4</w:t>
      </w:r>
      <w:r w:rsidRPr="007D7059">
        <w:rPr>
          <w:rStyle w:val="eop"/>
          <w:color w:val="000000"/>
          <w:sz w:val="22"/>
          <w:szCs w:val="22"/>
          <w:lang w:val="en-US"/>
        </w:rPr>
        <w:t> </w:t>
      </w:r>
    </w:p>
    <w:p w14:paraId="16447E14" w14:textId="77777777" w:rsidR="00546A15" w:rsidRPr="007D7059" w:rsidRDefault="00546A15" w:rsidP="00546A15">
      <w:pPr>
        <w:pStyle w:val="paragraph"/>
        <w:spacing w:before="0" w:beforeAutospacing="0" w:after="0" w:afterAutospacing="0"/>
        <w:textAlignment w:val="baseline"/>
        <w:rPr>
          <w:rFonts w:ascii="Segoe UI" w:hAnsi="Segoe UI" w:cs="Segoe UI"/>
          <w:color w:val="000000"/>
          <w:sz w:val="18"/>
          <w:szCs w:val="18"/>
          <w:lang w:val="en-US"/>
        </w:rPr>
      </w:pPr>
      <w:r w:rsidRPr="007D7059">
        <w:rPr>
          <w:rStyle w:val="normaltextrun"/>
          <w:rFonts w:ascii="Calibri" w:hAnsi="Calibri" w:cs="Calibri"/>
          <w:color w:val="000000"/>
          <w:sz w:val="22"/>
          <w:szCs w:val="22"/>
          <w:lang w:val="en-US"/>
        </w:rPr>
        <w:t>6. Hypertension.mp.</w:t>
      </w:r>
      <w:r w:rsidRPr="007D7059">
        <w:rPr>
          <w:rStyle w:val="eop"/>
          <w:color w:val="000000"/>
          <w:sz w:val="22"/>
          <w:szCs w:val="22"/>
          <w:lang w:val="en-US"/>
        </w:rPr>
        <w:t> </w:t>
      </w:r>
    </w:p>
    <w:p w14:paraId="5CA57691" w14:textId="77777777" w:rsidR="00546A15" w:rsidRPr="007D7059" w:rsidRDefault="00546A15" w:rsidP="00546A15">
      <w:pPr>
        <w:pStyle w:val="paragraph"/>
        <w:spacing w:before="0" w:beforeAutospacing="0" w:after="0" w:afterAutospacing="0"/>
        <w:textAlignment w:val="baseline"/>
        <w:rPr>
          <w:rFonts w:ascii="Segoe UI" w:hAnsi="Segoe UI" w:cs="Segoe UI"/>
          <w:color w:val="000000"/>
          <w:sz w:val="18"/>
          <w:szCs w:val="18"/>
          <w:lang w:val="en-US"/>
        </w:rPr>
      </w:pPr>
      <w:r w:rsidRPr="007D7059">
        <w:rPr>
          <w:rStyle w:val="normaltextrun"/>
          <w:rFonts w:ascii="Calibri" w:hAnsi="Calibri" w:cs="Calibri"/>
          <w:color w:val="000000"/>
          <w:sz w:val="22"/>
          <w:szCs w:val="22"/>
          <w:lang w:val="en-US"/>
        </w:rPr>
        <w:t>7. high blood pressure.mp.</w:t>
      </w:r>
      <w:r w:rsidRPr="007D7059">
        <w:rPr>
          <w:rStyle w:val="eop"/>
          <w:color w:val="000000"/>
          <w:sz w:val="22"/>
          <w:szCs w:val="22"/>
          <w:lang w:val="en-US"/>
        </w:rPr>
        <w:t> </w:t>
      </w:r>
    </w:p>
    <w:p w14:paraId="52C28672" w14:textId="77777777" w:rsidR="00546A15" w:rsidRPr="007D7059" w:rsidRDefault="00546A15" w:rsidP="00546A15">
      <w:pPr>
        <w:pStyle w:val="paragraph"/>
        <w:spacing w:before="0" w:beforeAutospacing="0" w:after="0" w:afterAutospacing="0"/>
        <w:textAlignment w:val="baseline"/>
        <w:rPr>
          <w:rFonts w:ascii="Segoe UI" w:hAnsi="Segoe UI" w:cs="Segoe UI"/>
          <w:color w:val="000000"/>
          <w:sz w:val="18"/>
          <w:szCs w:val="18"/>
          <w:lang w:val="en-US"/>
        </w:rPr>
      </w:pPr>
      <w:r w:rsidRPr="007D7059">
        <w:rPr>
          <w:rStyle w:val="normaltextrun"/>
          <w:rFonts w:ascii="Calibri" w:hAnsi="Calibri" w:cs="Calibri"/>
          <w:color w:val="000000"/>
          <w:sz w:val="22"/>
          <w:szCs w:val="22"/>
          <w:lang w:val="en-US"/>
        </w:rPr>
        <w:t>8. hypertens*.mp.</w:t>
      </w:r>
      <w:r w:rsidRPr="007D7059">
        <w:rPr>
          <w:rStyle w:val="eop"/>
          <w:color w:val="000000"/>
          <w:sz w:val="22"/>
          <w:szCs w:val="22"/>
          <w:lang w:val="en-US"/>
        </w:rPr>
        <w:t> </w:t>
      </w:r>
    </w:p>
    <w:p w14:paraId="0BACA13A" w14:textId="77777777" w:rsidR="00546A15" w:rsidRPr="007D7059" w:rsidRDefault="00546A15" w:rsidP="00546A15">
      <w:pPr>
        <w:pStyle w:val="paragraph"/>
        <w:spacing w:before="0" w:beforeAutospacing="0" w:after="0" w:afterAutospacing="0"/>
        <w:textAlignment w:val="baseline"/>
        <w:rPr>
          <w:rFonts w:ascii="Segoe UI" w:hAnsi="Segoe UI" w:cs="Segoe UI"/>
          <w:color w:val="000000"/>
          <w:sz w:val="18"/>
          <w:szCs w:val="18"/>
          <w:lang w:val="en-US"/>
        </w:rPr>
      </w:pPr>
      <w:r w:rsidRPr="007D7059">
        <w:rPr>
          <w:rStyle w:val="normaltextrun"/>
          <w:rFonts w:ascii="Calibri" w:hAnsi="Calibri" w:cs="Calibri"/>
          <w:color w:val="000000"/>
          <w:sz w:val="22"/>
          <w:szCs w:val="22"/>
          <w:lang w:val="en-US"/>
        </w:rPr>
        <w:t>9. pre-eclamp*.mp.</w:t>
      </w:r>
      <w:r w:rsidRPr="007D7059">
        <w:rPr>
          <w:rStyle w:val="eop"/>
          <w:color w:val="000000"/>
          <w:sz w:val="22"/>
          <w:szCs w:val="22"/>
          <w:lang w:val="en-US"/>
        </w:rPr>
        <w:t> </w:t>
      </w:r>
    </w:p>
    <w:p w14:paraId="78B1F16D" w14:textId="77777777" w:rsidR="00546A15" w:rsidRPr="007D7059" w:rsidRDefault="00546A15" w:rsidP="00546A15">
      <w:pPr>
        <w:pStyle w:val="paragraph"/>
        <w:spacing w:before="0" w:beforeAutospacing="0" w:after="0" w:afterAutospacing="0"/>
        <w:textAlignment w:val="baseline"/>
        <w:rPr>
          <w:rFonts w:ascii="Segoe UI" w:hAnsi="Segoe UI" w:cs="Segoe UI"/>
          <w:color w:val="000000"/>
          <w:sz w:val="18"/>
          <w:szCs w:val="18"/>
          <w:lang w:val="en-US"/>
        </w:rPr>
      </w:pPr>
      <w:r w:rsidRPr="007D7059">
        <w:rPr>
          <w:rStyle w:val="normaltextrun"/>
          <w:rFonts w:ascii="Calibri" w:hAnsi="Calibri" w:cs="Calibri"/>
          <w:color w:val="000000"/>
          <w:sz w:val="22"/>
          <w:szCs w:val="22"/>
          <w:lang w:val="en-US"/>
        </w:rPr>
        <w:t>10. preeclamp*.mp.</w:t>
      </w:r>
      <w:r w:rsidRPr="007D7059">
        <w:rPr>
          <w:rStyle w:val="eop"/>
          <w:color w:val="000000"/>
          <w:sz w:val="22"/>
          <w:szCs w:val="22"/>
          <w:lang w:val="en-US"/>
        </w:rPr>
        <w:t> </w:t>
      </w:r>
    </w:p>
    <w:p w14:paraId="5D87EE1D" w14:textId="77777777" w:rsidR="00546A15" w:rsidRPr="007D7059" w:rsidRDefault="00546A15" w:rsidP="00546A15">
      <w:pPr>
        <w:pStyle w:val="paragraph"/>
        <w:spacing w:before="0" w:beforeAutospacing="0" w:after="0" w:afterAutospacing="0"/>
        <w:textAlignment w:val="baseline"/>
        <w:rPr>
          <w:rFonts w:ascii="Segoe UI" w:hAnsi="Segoe UI" w:cs="Segoe UI"/>
          <w:color w:val="000000"/>
          <w:sz w:val="18"/>
          <w:szCs w:val="18"/>
          <w:lang w:val="en-US"/>
        </w:rPr>
      </w:pPr>
      <w:r w:rsidRPr="007D7059">
        <w:rPr>
          <w:rStyle w:val="normaltextrun"/>
          <w:rFonts w:ascii="Calibri" w:hAnsi="Calibri" w:cs="Calibri"/>
          <w:color w:val="000000"/>
          <w:sz w:val="22"/>
          <w:szCs w:val="22"/>
          <w:lang w:val="en-US"/>
        </w:rPr>
        <w:t>11. HELLP.mp.</w:t>
      </w:r>
      <w:r w:rsidRPr="007D7059">
        <w:rPr>
          <w:rStyle w:val="eop"/>
          <w:color w:val="000000"/>
          <w:sz w:val="22"/>
          <w:szCs w:val="22"/>
          <w:lang w:val="en-US"/>
        </w:rPr>
        <w:t> </w:t>
      </w:r>
    </w:p>
    <w:p w14:paraId="42C6B0C4" w14:textId="77777777" w:rsidR="00546A15" w:rsidRPr="007D7059" w:rsidRDefault="00546A15" w:rsidP="00546A15">
      <w:pPr>
        <w:pStyle w:val="paragraph"/>
        <w:spacing w:before="0" w:beforeAutospacing="0" w:after="0" w:afterAutospacing="0"/>
        <w:textAlignment w:val="baseline"/>
        <w:rPr>
          <w:rFonts w:ascii="Segoe UI" w:hAnsi="Segoe UI" w:cs="Segoe UI"/>
          <w:color w:val="000000"/>
          <w:sz w:val="18"/>
          <w:szCs w:val="18"/>
          <w:lang w:val="en-US"/>
        </w:rPr>
      </w:pPr>
      <w:r w:rsidRPr="007D7059">
        <w:rPr>
          <w:rStyle w:val="normaltextrun"/>
          <w:rFonts w:ascii="Calibri" w:hAnsi="Calibri" w:cs="Calibri"/>
          <w:color w:val="000000"/>
          <w:sz w:val="22"/>
          <w:szCs w:val="22"/>
          <w:lang w:val="en-US"/>
        </w:rPr>
        <w:t>12. 6 or 7 or 8 or 9 or 10 or 11</w:t>
      </w:r>
      <w:r w:rsidRPr="007D7059">
        <w:rPr>
          <w:rStyle w:val="eop"/>
          <w:color w:val="000000"/>
          <w:sz w:val="22"/>
          <w:szCs w:val="22"/>
          <w:lang w:val="en-US"/>
        </w:rPr>
        <w:t> </w:t>
      </w:r>
    </w:p>
    <w:p w14:paraId="5B782E10" w14:textId="77777777" w:rsidR="00546A15" w:rsidRPr="007D7059" w:rsidRDefault="00546A15" w:rsidP="00546A15">
      <w:pPr>
        <w:pStyle w:val="paragraph"/>
        <w:spacing w:before="0" w:beforeAutospacing="0" w:after="0" w:afterAutospacing="0"/>
        <w:textAlignment w:val="baseline"/>
        <w:rPr>
          <w:rFonts w:ascii="Segoe UI" w:hAnsi="Segoe UI" w:cs="Segoe UI"/>
          <w:color w:val="000000"/>
          <w:sz w:val="18"/>
          <w:szCs w:val="18"/>
          <w:lang w:val="en-US"/>
        </w:rPr>
      </w:pPr>
      <w:r w:rsidRPr="007D7059">
        <w:rPr>
          <w:rStyle w:val="normaltextrun"/>
          <w:rFonts w:ascii="Calibri" w:hAnsi="Calibri" w:cs="Calibri"/>
          <w:color w:val="000000"/>
          <w:sz w:val="22"/>
          <w:szCs w:val="22"/>
          <w:lang w:val="en-US"/>
        </w:rPr>
        <w:t>13. case stud*.mp.</w:t>
      </w:r>
      <w:r w:rsidRPr="007D7059">
        <w:rPr>
          <w:rStyle w:val="eop"/>
          <w:color w:val="000000"/>
          <w:sz w:val="22"/>
          <w:szCs w:val="22"/>
          <w:lang w:val="en-US"/>
        </w:rPr>
        <w:t> </w:t>
      </w:r>
    </w:p>
    <w:p w14:paraId="2C8BF401" w14:textId="77777777" w:rsidR="00546A15" w:rsidRPr="007D7059" w:rsidRDefault="00546A15" w:rsidP="00546A15">
      <w:pPr>
        <w:pStyle w:val="paragraph"/>
        <w:spacing w:before="0" w:beforeAutospacing="0" w:after="0" w:afterAutospacing="0"/>
        <w:textAlignment w:val="baseline"/>
        <w:rPr>
          <w:rFonts w:ascii="Segoe UI" w:hAnsi="Segoe UI" w:cs="Segoe UI"/>
          <w:color w:val="000000"/>
          <w:sz w:val="18"/>
          <w:szCs w:val="18"/>
          <w:lang w:val="en-US"/>
        </w:rPr>
      </w:pPr>
      <w:r w:rsidRPr="007D7059">
        <w:rPr>
          <w:rStyle w:val="normaltextrun"/>
          <w:rFonts w:ascii="Calibri" w:hAnsi="Calibri" w:cs="Calibri"/>
          <w:color w:val="000000"/>
          <w:sz w:val="22"/>
          <w:szCs w:val="22"/>
          <w:lang w:val="en-US"/>
        </w:rPr>
        <w:t>14. case report.mp.</w:t>
      </w:r>
      <w:r w:rsidRPr="007D7059">
        <w:rPr>
          <w:rStyle w:val="eop"/>
          <w:color w:val="000000"/>
          <w:sz w:val="22"/>
          <w:szCs w:val="22"/>
          <w:lang w:val="en-US"/>
        </w:rPr>
        <w:t> </w:t>
      </w:r>
    </w:p>
    <w:p w14:paraId="101C9C30" w14:textId="77777777" w:rsidR="00546A15" w:rsidRPr="007D7059" w:rsidRDefault="00546A15" w:rsidP="00546A15">
      <w:pPr>
        <w:pStyle w:val="paragraph"/>
        <w:spacing w:before="0" w:beforeAutospacing="0" w:after="0" w:afterAutospacing="0"/>
        <w:textAlignment w:val="baseline"/>
        <w:rPr>
          <w:rFonts w:ascii="Segoe UI" w:hAnsi="Segoe UI" w:cs="Segoe UI"/>
          <w:color w:val="000000"/>
          <w:sz w:val="18"/>
          <w:szCs w:val="18"/>
          <w:lang w:val="en-US"/>
        </w:rPr>
      </w:pPr>
      <w:r w:rsidRPr="007D7059">
        <w:rPr>
          <w:rStyle w:val="normaltextrun"/>
          <w:rFonts w:ascii="Calibri" w:hAnsi="Calibri" w:cs="Calibri"/>
          <w:color w:val="000000"/>
          <w:sz w:val="22"/>
          <w:szCs w:val="22"/>
          <w:lang w:val="en-US"/>
        </w:rPr>
        <w:t>15. case series.mp.</w:t>
      </w:r>
      <w:r w:rsidRPr="007D7059">
        <w:rPr>
          <w:rStyle w:val="eop"/>
          <w:color w:val="000000"/>
          <w:sz w:val="22"/>
          <w:szCs w:val="22"/>
          <w:lang w:val="en-US"/>
        </w:rPr>
        <w:t> </w:t>
      </w:r>
    </w:p>
    <w:p w14:paraId="34A09E67" w14:textId="77777777" w:rsidR="00546A15" w:rsidRPr="007D7059" w:rsidRDefault="00546A15" w:rsidP="00546A15">
      <w:pPr>
        <w:pStyle w:val="paragraph"/>
        <w:spacing w:before="0" w:beforeAutospacing="0" w:after="0" w:afterAutospacing="0"/>
        <w:textAlignment w:val="baseline"/>
        <w:rPr>
          <w:rFonts w:ascii="Segoe UI" w:hAnsi="Segoe UI" w:cs="Segoe UI"/>
          <w:color w:val="000000"/>
          <w:sz w:val="18"/>
          <w:szCs w:val="18"/>
          <w:lang w:val="en-US"/>
        </w:rPr>
      </w:pPr>
      <w:r w:rsidRPr="007D7059">
        <w:rPr>
          <w:rStyle w:val="normaltextrun"/>
          <w:rFonts w:ascii="Calibri" w:hAnsi="Calibri" w:cs="Calibri"/>
          <w:color w:val="000000"/>
          <w:sz w:val="22"/>
          <w:szCs w:val="22"/>
          <w:lang w:val="en-US"/>
        </w:rPr>
        <w:t>16. 13 or 14 or 15</w:t>
      </w:r>
      <w:r w:rsidRPr="007D7059">
        <w:rPr>
          <w:rStyle w:val="eop"/>
          <w:color w:val="000000"/>
          <w:sz w:val="22"/>
          <w:szCs w:val="22"/>
          <w:lang w:val="en-US"/>
        </w:rPr>
        <w:t> </w:t>
      </w:r>
    </w:p>
    <w:p w14:paraId="10E99B67" w14:textId="77777777" w:rsidR="00546A15" w:rsidRPr="007D7059" w:rsidRDefault="00546A15" w:rsidP="00546A15">
      <w:pPr>
        <w:pStyle w:val="paragraph"/>
        <w:spacing w:before="0" w:beforeAutospacing="0" w:after="0" w:afterAutospacing="0"/>
        <w:textAlignment w:val="baseline"/>
        <w:rPr>
          <w:rFonts w:ascii="Segoe UI" w:hAnsi="Segoe UI" w:cs="Segoe UI"/>
          <w:color w:val="000000"/>
          <w:sz w:val="18"/>
          <w:szCs w:val="18"/>
          <w:lang w:val="en-US"/>
        </w:rPr>
      </w:pPr>
      <w:r w:rsidRPr="007D7059">
        <w:rPr>
          <w:rStyle w:val="normaltextrun"/>
          <w:rFonts w:ascii="Calibri" w:hAnsi="Calibri" w:cs="Calibri"/>
          <w:color w:val="000000"/>
          <w:sz w:val="22"/>
          <w:szCs w:val="22"/>
          <w:lang w:val="en-US"/>
        </w:rPr>
        <w:t>17. 5 and 12 and 16</w:t>
      </w:r>
      <w:r w:rsidRPr="007D7059">
        <w:rPr>
          <w:rStyle w:val="eop"/>
          <w:color w:val="000000"/>
          <w:sz w:val="22"/>
          <w:szCs w:val="22"/>
          <w:lang w:val="en-US"/>
        </w:rPr>
        <w:t> </w:t>
      </w:r>
    </w:p>
    <w:p w14:paraId="6CFB8AEB" w14:textId="77777777" w:rsidR="00546A15" w:rsidRPr="007D7059" w:rsidRDefault="00546A15" w:rsidP="00546A15">
      <w:pPr>
        <w:pStyle w:val="paragraph"/>
        <w:spacing w:before="0" w:beforeAutospacing="0" w:after="0" w:afterAutospacing="0"/>
        <w:textAlignment w:val="baseline"/>
        <w:rPr>
          <w:rFonts w:ascii="Segoe UI" w:hAnsi="Segoe UI" w:cs="Segoe UI"/>
          <w:color w:val="000000"/>
          <w:sz w:val="18"/>
          <w:szCs w:val="18"/>
          <w:lang w:val="en-US"/>
        </w:rPr>
      </w:pPr>
      <w:r w:rsidRPr="007D7059">
        <w:rPr>
          <w:rStyle w:val="normaltextrun"/>
          <w:rFonts w:ascii="Calibri" w:hAnsi="Calibri" w:cs="Calibri"/>
          <w:color w:val="000000"/>
          <w:sz w:val="22"/>
          <w:szCs w:val="22"/>
          <w:lang w:val="en-US"/>
        </w:rPr>
        <w:t>18. (random* or sham or placebo*).mp.</w:t>
      </w:r>
      <w:r w:rsidRPr="007D7059">
        <w:rPr>
          <w:rStyle w:val="eop"/>
          <w:color w:val="000000"/>
          <w:sz w:val="22"/>
          <w:szCs w:val="22"/>
          <w:lang w:val="en-US"/>
        </w:rPr>
        <w:t> </w:t>
      </w:r>
    </w:p>
    <w:p w14:paraId="090D44AC" w14:textId="77777777" w:rsidR="00546A15" w:rsidRPr="007D7059" w:rsidRDefault="00546A15" w:rsidP="00546A15">
      <w:pPr>
        <w:pStyle w:val="paragraph"/>
        <w:spacing w:before="0" w:beforeAutospacing="0" w:after="0" w:afterAutospacing="0"/>
        <w:textAlignment w:val="baseline"/>
        <w:rPr>
          <w:rFonts w:ascii="Segoe UI" w:hAnsi="Segoe UI" w:cs="Segoe UI"/>
          <w:color w:val="000000"/>
          <w:sz w:val="18"/>
          <w:szCs w:val="18"/>
          <w:lang w:val="en-US"/>
        </w:rPr>
      </w:pPr>
      <w:r w:rsidRPr="007D7059">
        <w:rPr>
          <w:rStyle w:val="normaltextrun"/>
          <w:rFonts w:ascii="Calibri" w:hAnsi="Calibri" w:cs="Calibri"/>
          <w:color w:val="000000"/>
          <w:sz w:val="22"/>
          <w:szCs w:val="22"/>
          <w:lang w:val="en-US"/>
        </w:rPr>
        <w:t>19. ((singl* or doubl*) adj (blind* or dumm* or mask*)).mp.</w:t>
      </w:r>
      <w:r w:rsidRPr="007D7059">
        <w:rPr>
          <w:rStyle w:val="eop"/>
          <w:color w:val="000000"/>
          <w:sz w:val="22"/>
          <w:szCs w:val="22"/>
          <w:lang w:val="en-US"/>
        </w:rPr>
        <w:t> </w:t>
      </w:r>
    </w:p>
    <w:p w14:paraId="5D103228" w14:textId="77777777" w:rsidR="00546A15" w:rsidRPr="007D7059" w:rsidRDefault="00546A15" w:rsidP="00546A15">
      <w:pPr>
        <w:pStyle w:val="paragraph"/>
        <w:spacing w:before="0" w:beforeAutospacing="0" w:after="0" w:afterAutospacing="0"/>
        <w:textAlignment w:val="baseline"/>
        <w:rPr>
          <w:rFonts w:ascii="Segoe UI" w:hAnsi="Segoe UI" w:cs="Segoe UI"/>
          <w:color w:val="000000"/>
          <w:sz w:val="18"/>
          <w:szCs w:val="18"/>
          <w:lang w:val="en-US"/>
        </w:rPr>
      </w:pPr>
      <w:r w:rsidRPr="007D7059">
        <w:rPr>
          <w:rStyle w:val="normaltextrun"/>
          <w:rFonts w:ascii="Calibri" w:hAnsi="Calibri" w:cs="Calibri"/>
          <w:color w:val="000000"/>
          <w:sz w:val="22"/>
          <w:szCs w:val="22"/>
          <w:lang w:val="en-US"/>
        </w:rPr>
        <w:t>20. (cohort adj stud*).mp.</w:t>
      </w:r>
      <w:r w:rsidRPr="007D7059">
        <w:rPr>
          <w:rStyle w:val="eop"/>
          <w:color w:val="000000"/>
          <w:sz w:val="22"/>
          <w:szCs w:val="22"/>
          <w:lang w:val="en-US"/>
        </w:rPr>
        <w:t> </w:t>
      </w:r>
    </w:p>
    <w:p w14:paraId="516100CC" w14:textId="77777777" w:rsidR="00546A15" w:rsidRPr="007D7059" w:rsidRDefault="00546A15" w:rsidP="00546A15">
      <w:pPr>
        <w:pStyle w:val="paragraph"/>
        <w:spacing w:before="0" w:beforeAutospacing="0" w:after="0" w:afterAutospacing="0"/>
        <w:textAlignment w:val="baseline"/>
        <w:rPr>
          <w:rFonts w:ascii="Segoe UI" w:hAnsi="Segoe UI" w:cs="Segoe UI"/>
          <w:color w:val="000000"/>
          <w:sz w:val="18"/>
          <w:szCs w:val="18"/>
          <w:lang w:val="en-US"/>
        </w:rPr>
      </w:pPr>
      <w:r w:rsidRPr="007D7059">
        <w:rPr>
          <w:rStyle w:val="normaltextrun"/>
          <w:rFonts w:ascii="Calibri" w:hAnsi="Calibri" w:cs="Calibri"/>
          <w:color w:val="000000"/>
          <w:sz w:val="22"/>
          <w:szCs w:val="22"/>
          <w:lang w:val="en-US"/>
        </w:rPr>
        <w:t>21. (meta-analysis or systematic review).mp.</w:t>
      </w:r>
      <w:r w:rsidRPr="007D7059">
        <w:rPr>
          <w:rStyle w:val="eop"/>
          <w:color w:val="000000"/>
          <w:sz w:val="22"/>
          <w:szCs w:val="22"/>
          <w:lang w:val="en-US"/>
        </w:rPr>
        <w:t> </w:t>
      </w:r>
    </w:p>
    <w:p w14:paraId="11686AE7" w14:textId="77777777" w:rsidR="00546A15" w:rsidRPr="007D7059" w:rsidRDefault="00546A15" w:rsidP="00546A15">
      <w:pPr>
        <w:pStyle w:val="paragraph"/>
        <w:spacing w:before="0" w:beforeAutospacing="0" w:after="0" w:afterAutospacing="0"/>
        <w:textAlignment w:val="baseline"/>
        <w:rPr>
          <w:rFonts w:ascii="Segoe UI" w:hAnsi="Segoe UI" w:cs="Segoe UI"/>
          <w:color w:val="000000"/>
          <w:sz w:val="18"/>
          <w:szCs w:val="18"/>
          <w:lang w:val="en-US"/>
        </w:rPr>
      </w:pPr>
      <w:r w:rsidRPr="007D7059">
        <w:rPr>
          <w:rStyle w:val="normaltextrun"/>
          <w:rFonts w:ascii="Calibri" w:hAnsi="Calibri" w:cs="Calibri"/>
          <w:color w:val="000000"/>
          <w:sz w:val="22"/>
          <w:szCs w:val="22"/>
          <w:lang w:val="en-US"/>
        </w:rPr>
        <w:t>22. 18 or 19 or 20 or 21</w:t>
      </w:r>
      <w:r w:rsidRPr="007D7059">
        <w:rPr>
          <w:rStyle w:val="eop"/>
          <w:color w:val="000000"/>
          <w:sz w:val="22"/>
          <w:szCs w:val="22"/>
          <w:lang w:val="en-US"/>
        </w:rPr>
        <w:t> </w:t>
      </w:r>
    </w:p>
    <w:p w14:paraId="6DD9DCC2" w14:textId="77777777" w:rsidR="00546A15" w:rsidRPr="007D7059" w:rsidRDefault="00546A15" w:rsidP="00546A15">
      <w:pPr>
        <w:pStyle w:val="paragraph"/>
        <w:spacing w:before="0" w:beforeAutospacing="0" w:after="0" w:afterAutospacing="0"/>
        <w:textAlignment w:val="baseline"/>
        <w:rPr>
          <w:rFonts w:ascii="Segoe UI" w:hAnsi="Segoe UI" w:cs="Segoe UI"/>
          <w:color w:val="000000"/>
          <w:sz w:val="18"/>
          <w:szCs w:val="18"/>
          <w:lang w:val="en-US"/>
        </w:rPr>
      </w:pPr>
      <w:r w:rsidRPr="007D7059">
        <w:rPr>
          <w:rStyle w:val="normaltextrun"/>
          <w:rFonts w:ascii="Calibri" w:hAnsi="Calibri" w:cs="Calibri"/>
          <w:color w:val="000000"/>
          <w:sz w:val="22"/>
          <w:szCs w:val="22"/>
          <w:lang w:val="en-US"/>
        </w:rPr>
        <w:t>23. 17 not 22</w:t>
      </w:r>
      <w:r w:rsidRPr="007D7059">
        <w:rPr>
          <w:rStyle w:val="eop"/>
          <w:color w:val="000000"/>
          <w:sz w:val="22"/>
          <w:szCs w:val="22"/>
          <w:lang w:val="en-US"/>
        </w:rPr>
        <w:t> </w:t>
      </w:r>
    </w:p>
    <w:p w14:paraId="59F6EB32" w14:textId="77777777" w:rsidR="00546A15" w:rsidRPr="007D7059" w:rsidRDefault="00546A15" w:rsidP="00546A15">
      <w:pPr>
        <w:pStyle w:val="paragraph"/>
        <w:spacing w:before="0" w:beforeAutospacing="0" w:after="0" w:afterAutospacing="0"/>
        <w:textAlignment w:val="baseline"/>
        <w:rPr>
          <w:rFonts w:ascii="Segoe UI" w:hAnsi="Segoe UI" w:cs="Segoe UI"/>
          <w:color w:val="000000"/>
          <w:sz w:val="18"/>
          <w:szCs w:val="18"/>
          <w:lang w:val="en-US"/>
        </w:rPr>
      </w:pPr>
      <w:r w:rsidRPr="007D7059">
        <w:rPr>
          <w:rStyle w:val="normaltextrun"/>
          <w:rFonts w:ascii="Calibri" w:hAnsi="Calibri" w:cs="Calibri"/>
          <w:color w:val="000000"/>
          <w:sz w:val="22"/>
          <w:szCs w:val="22"/>
          <w:lang w:val="en-US"/>
        </w:rPr>
        <w:t>24. limit 23 to human</w:t>
      </w:r>
      <w:r w:rsidRPr="007D7059">
        <w:rPr>
          <w:rStyle w:val="eop"/>
          <w:color w:val="000000"/>
          <w:sz w:val="22"/>
          <w:szCs w:val="22"/>
          <w:lang w:val="en-US"/>
        </w:rPr>
        <w:t> </w:t>
      </w:r>
    </w:p>
    <w:p w14:paraId="70A9CC94" w14:textId="6AC19FA0" w:rsidR="00546A15" w:rsidRPr="007D7059" w:rsidRDefault="00546A15" w:rsidP="00546A15">
      <w:pPr>
        <w:pStyle w:val="paragraph"/>
        <w:spacing w:before="0" w:beforeAutospacing="0" w:after="0" w:afterAutospacing="0"/>
        <w:textAlignment w:val="baseline"/>
        <w:rPr>
          <w:rStyle w:val="eop"/>
          <w:color w:val="000000"/>
          <w:sz w:val="22"/>
          <w:szCs w:val="22"/>
          <w:lang w:val="en-US"/>
        </w:rPr>
      </w:pPr>
      <w:r w:rsidRPr="007D7059">
        <w:rPr>
          <w:rStyle w:val="normaltextrun"/>
          <w:rFonts w:ascii="Calibri" w:hAnsi="Calibri" w:cs="Calibri"/>
          <w:color w:val="000000"/>
          <w:sz w:val="22"/>
          <w:szCs w:val="22"/>
          <w:lang w:val="en-US"/>
        </w:rPr>
        <w:t>25. limit 24 to English</w:t>
      </w:r>
    </w:p>
    <w:p w14:paraId="5A690D0C" w14:textId="14CC1DFB" w:rsidR="000057DB" w:rsidRPr="007D7059" w:rsidRDefault="000057DB" w:rsidP="00546A15">
      <w:pPr>
        <w:pStyle w:val="paragraph"/>
        <w:spacing w:before="0" w:beforeAutospacing="0" w:after="0" w:afterAutospacing="0"/>
        <w:textAlignment w:val="baseline"/>
        <w:rPr>
          <w:rStyle w:val="normaltextrun"/>
          <w:rFonts w:ascii="Calibri" w:hAnsi="Calibri" w:cs="Calibri"/>
          <w:color w:val="000000"/>
          <w:sz w:val="22"/>
          <w:szCs w:val="22"/>
          <w:lang w:val="en-US"/>
        </w:rPr>
      </w:pPr>
      <w:r w:rsidRPr="007D7059">
        <w:rPr>
          <w:rStyle w:val="normaltextrun"/>
          <w:rFonts w:ascii="Calibri" w:hAnsi="Calibri" w:cs="Calibri"/>
          <w:color w:val="000000"/>
          <w:lang w:val="en-US"/>
        </w:rPr>
        <w:t xml:space="preserve">(The use of the asterisk in the search strategy is to </w:t>
      </w:r>
      <w:r w:rsidR="005E10ED" w:rsidRPr="007D7059">
        <w:rPr>
          <w:rStyle w:val="normaltextrun"/>
          <w:rFonts w:ascii="Calibri" w:hAnsi="Calibri" w:cs="Calibri"/>
          <w:color w:val="000000"/>
          <w:sz w:val="22"/>
          <w:szCs w:val="22"/>
          <w:lang w:val="en-US"/>
        </w:rPr>
        <w:t>instruct the search engine to search for the root word and retrieve all alternative endings)</w:t>
      </w:r>
    </w:p>
    <w:p w14:paraId="23464EC6" w14:textId="085CE8AA" w:rsidR="00790687" w:rsidRPr="007D7059" w:rsidRDefault="00790687">
      <w:pPr>
        <w:rPr>
          <w:color w:val="000000"/>
        </w:rPr>
      </w:pPr>
      <w:r w:rsidRPr="007D7059">
        <w:rPr>
          <w:color w:val="000000"/>
        </w:rPr>
        <w:br w:type="page"/>
      </w:r>
    </w:p>
    <w:p w14:paraId="563C0CC0" w14:textId="77777777" w:rsidR="00384BC8" w:rsidRPr="007D7059" w:rsidRDefault="00384BC8" w:rsidP="00384BC8">
      <w:pPr>
        <w:pStyle w:val="Heading1"/>
        <w:rPr>
          <w:color w:val="000000"/>
        </w:rPr>
      </w:pPr>
      <w:bookmarkStart w:id="0" w:name="_Ref118545492"/>
      <w:r w:rsidRPr="007D7059">
        <w:rPr>
          <w:color w:val="000000"/>
        </w:rPr>
        <w:lastRenderedPageBreak/>
        <w:t>Appendix S2 – Quality Assessment of Included Case Reports</w:t>
      </w:r>
      <w:bookmarkEnd w:id="0"/>
    </w:p>
    <w:tbl>
      <w:tblPr>
        <w:tblStyle w:val="TableGrid"/>
        <w:tblW w:w="0" w:type="auto"/>
        <w:tblLook w:val="04A0" w:firstRow="1" w:lastRow="0" w:firstColumn="1" w:lastColumn="0" w:noHBand="0" w:noVBand="1"/>
      </w:tblPr>
      <w:tblGrid>
        <w:gridCol w:w="1293"/>
        <w:gridCol w:w="1444"/>
        <w:gridCol w:w="1160"/>
        <w:gridCol w:w="1380"/>
        <w:gridCol w:w="1301"/>
        <w:gridCol w:w="1480"/>
        <w:gridCol w:w="1287"/>
        <w:gridCol w:w="1486"/>
        <w:gridCol w:w="998"/>
        <w:gridCol w:w="1121"/>
      </w:tblGrid>
      <w:tr w:rsidR="00384BC8" w:rsidRPr="007D7059" w14:paraId="3AD7542A" w14:textId="77777777" w:rsidTr="00C67097">
        <w:tc>
          <w:tcPr>
            <w:tcW w:w="0" w:type="auto"/>
            <w:tcBorders>
              <w:bottom w:val="single" w:sz="4" w:space="0" w:color="auto"/>
            </w:tcBorders>
            <w:shd w:val="clear" w:color="auto" w:fill="85312F"/>
          </w:tcPr>
          <w:p w14:paraId="58C216CA" w14:textId="77777777" w:rsidR="00384BC8" w:rsidRPr="007D7059" w:rsidRDefault="00384BC8" w:rsidP="00C67097">
            <w:pPr>
              <w:textAlignment w:val="baseline"/>
              <w:rPr>
                <w:rFonts w:cs="Calibri"/>
                <w:color w:val="000000"/>
                <w:sz w:val="18"/>
                <w:szCs w:val="18"/>
                <w:lang w:val="en-US" w:eastAsia="en-CA"/>
              </w:rPr>
            </w:pPr>
            <w:r w:rsidRPr="007D7059">
              <w:rPr>
                <w:rFonts w:cs="Calibri"/>
                <w:color w:val="000000"/>
                <w:sz w:val="18"/>
                <w:szCs w:val="18"/>
                <w:lang w:val="en-US" w:eastAsia="en-CA"/>
              </w:rPr>
              <w:t xml:space="preserve">Author (and Year) </w:t>
            </w:r>
          </w:p>
        </w:tc>
        <w:tc>
          <w:tcPr>
            <w:tcW w:w="0" w:type="auto"/>
            <w:tcBorders>
              <w:bottom w:val="single" w:sz="4" w:space="0" w:color="auto"/>
            </w:tcBorders>
            <w:shd w:val="clear" w:color="auto" w:fill="85312F"/>
          </w:tcPr>
          <w:p w14:paraId="28F12996" w14:textId="77777777" w:rsidR="00384BC8" w:rsidRPr="007D7059" w:rsidRDefault="00384BC8" w:rsidP="00C67097">
            <w:pPr>
              <w:pStyle w:val="NormalWeb"/>
              <w:textAlignment w:val="baseline"/>
              <w:rPr>
                <w:rFonts w:ascii="Calibri" w:hAnsi="Calibri" w:cs="Calibri"/>
                <w:color w:val="000000"/>
                <w:sz w:val="18"/>
                <w:szCs w:val="18"/>
                <w:lang w:val="en-US" w:eastAsia="en-CA"/>
              </w:rPr>
            </w:pPr>
            <w:r w:rsidRPr="007D7059">
              <w:rPr>
                <w:rFonts w:ascii="Calibri" w:hAnsi="Calibri" w:cs="Calibri"/>
                <w:color w:val="000000"/>
                <w:sz w:val="18"/>
                <w:szCs w:val="18"/>
                <w:lang w:val="en-US" w:eastAsia="en-CA"/>
              </w:rPr>
              <w:t>Were Patient’s Demographic Characteristics Clearly Described?</w:t>
            </w:r>
          </w:p>
        </w:tc>
        <w:tc>
          <w:tcPr>
            <w:tcW w:w="0" w:type="auto"/>
            <w:tcBorders>
              <w:bottom w:val="single" w:sz="4" w:space="0" w:color="auto"/>
            </w:tcBorders>
            <w:shd w:val="clear" w:color="auto" w:fill="85312F"/>
          </w:tcPr>
          <w:p w14:paraId="46D5300A" w14:textId="77777777" w:rsidR="00384BC8" w:rsidRPr="007D7059" w:rsidRDefault="00384BC8" w:rsidP="00C67097">
            <w:pPr>
              <w:pStyle w:val="NormalWeb"/>
              <w:textAlignment w:val="baseline"/>
              <w:rPr>
                <w:rFonts w:ascii="Calibri" w:hAnsi="Calibri" w:cs="Calibri"/>
                <w:color w:val="000000"/>
                <w:sz w:val="18"/>
                <w:szCs w:val="18"/>
                <w:lang w:val="en-US" w:eastAsia="en-CA"/>
              </w:rPr>
            </w:pPr>
            <w:r w:rsidRPr="007D7059">
              <w:rPr>
                <w:rFonts w:ascii="Calibri" w:hAnsi="Calibri" w:cs="Calibri"/>
                <w:color w:val="000000"/>
                <w:sz w:val="18"/>
                <w:szCs w:val="18"/>
                <w:lang w:val="en-US" w:eastAsia="en-CA"/>
              </w:rPr>
              <w:t>Was the Patient’s History Clearly Described and Presented as a Timeline?</w:t>
            </w:r>
          </w:p>
        </w:tc>
        <w:tc>
          <w:tcPr>
            <w:tcW w:w="0" w:type="auto"/>
            <w:tcBorders>
              <w:bottom w:val="single" w:sz="4" w:space="0" w:color="auto"/>
            </w:tcBorders>
            <w:shd w:val="clear" w:color="auto" w:fill="85312F"/>
          </w:tcPr>
          <w:p w14:paraId="7BA0D395" w14:textId="77777777" w:rsidR="00384BC8" w:rsidRPr="007D7059" w:rsidRDefault="00384BC8" w:rsidP="00C67097">
            <w:pPr>
              <w:pStyle w:val="NormalWeb"/>
              <w:textAlignment w:val="baseline"/>
              <w:rPr>
                <w:rFonts w:ascii="Calibri" w:hAnsi="Calibri" w:cs="Calibri"/>
                <w:color w:val="000000"/>
                <w:sz w:val="18"/>
                <w:szCs w:val="18"/>
                <w:lang w:val="en-US" w:eastAsia="en-CA"/>
              </w:rPr>
            </w:pPr>
            <w:r w:rsidRPr="007D7059">
              <w:rPr>
                <w:rFonts w:ascii="Calibri" w:hAnsi="Calibri" w:cs="Calibri"/>
                <w:color w:val="000000"/>
                <w:sz w:val="18"/>
                <w:szCs w:val="18"/>
                <w:lang w:val="en-US" w:eastAsia="en-CA"/>
              </w:rPr>
              <w:t>Was the Current Clinical Condition of the Patient on Presentation Clearly Described?</w:t>
            </w:r>
          </w:p>
        </w:tc>
        <w:tc>
          <w:tcPr>
            <w:tcW w:w="0" w:type="auto"/>
            <w:tcBorders>
              <w:bottom w:val="single" w:sz="4" w:space="0" w:color="auto"/>
            </w:tcBorders>
            <w:shd w:val="clear" w:color="auto" w:fill="85312F"/>
          </w:tcPr>
          <w:p w14:paraId="63E2072B" w14:textId="77777777" w:rsidR="00384BC8" w:rsidRPr="007D7059" w:rsidRDefault="00384BC8" w:rsidP="00C67097">
            <w:pPr>
              <w:pStyle w:val="NormalWeb"/>
              <w:textAlignment w:val="baseline"/>
              <w:rPr>
                <w:rFonts w:ascii="Calibri" w:hAnsi="Calibri" w:cs="Calibri"/>
                <w:color w:val="000000"/>
                <w:sz w:val="18"/>
                <w:szCs w:val="18"/>
                <w:lang w:val="en-US" w:eastAsia="en-CA"/>
              </w:rPr>
            </w:pPr>
            <w:r w:rsidRPr="007D7059">
              <w:rPr>
                <w:rFonts w:ascii="Calibri" w:hAnsi="Calibri" w:cs="Calibri"/>
                <w:color w:val="000000"/>
                <w:sz w:val="18"/>
                <w:szCs w:val="18"/>
                <w:lang w:val="en-US" w:eastAsia="en-CA"/>
              </w:rPr>
              <w:t>Were Diagnostic Tests or Assessment Methods and the Results Clearly Described?</w:t>
            </w:r>
          </w:p>
        </w:tc>
        <w:tc>
          <w:tcPr>
            <w:tcW w:w="0" w:type="auto"/>
            <w:tcBorders>
              <w:bottom w:val="single" w:sz="4" w:space="0" w:color="auto"/>
            </w:tcBorders>
            <w:shd w:val="clear" w:color="auto" w:fill="85312F"/>
          </w:tcPr>
          <w:p w14:paraId="7139E931" w14:textId="77777777" w:rsidR="00384BC8" w:rsidRPr="007D7059" w:rsidRDefault="00384BC8" w:rsidP="00C67097">
            <w:pPr>
              <w:pStyle w:val="NormalWeb"/>
              <w:textAlignment w:val="baseline"/>
              <w:rPr>
                <w:rFonts w:ascii="Calibri" w:hAnsi="Calibri" w:cs="Calibri"/>
                <w:color w:val="000000"/>
                <w:sz w:val="18"/>
                <w:szCs w:val="18"/>
                <w:lang w:val="en-US" w:eastAsia="en-CA"/>
              </w:rPr>
            </w:pPr>
            <w:r w:rsidRPr="007D7059">
              <w:rPr>
                <w:rFonts w:ascii="Calibri" w:hAnsi="Calibri" w:cs="Calibri"/>
                <w:color w:val="000000"/>
                <w:sz w:val="18"/>
                <w:szCs w:val="18"/>
                <w:lang w:val="en-US" w:eastAsia="en-CA"/>
              </w:rPr>
              <w:t>Was the Intervention(s) or Treatment Procedure(S) Clearly Described?</w:t>
            </w:r>
          </w:p>
        </w:tc>
        <w:tc>
          <w:tcPr>
            <w:tcW w:w="0" w:type="auto"/>
            <w:tcBorders>
              <w:bottom w:val="single" w:sz="4" w:space="0" w:color="auto"/>
            </w:tcBorders>
            <w:shd w:val="clear" w:color="auto" w:fill="85312F"/>
          </w:tcPr>
          <w:p w14:paraId="55B3DE35" w14:textId="77777777" w:rsidR="00384BC8" w:rsidRPr="007D7059" w:rsidRDefault="00384BC8" w:rsidP="00C67097">
            <w:pPr>
              <w:pStyle w:val="NormalWeb"/>
              <w:textAlignment w:val="baseline"/>
              <w:rPr>
                <w:rFonts w:ascii="Calibri" w:hAnsi="Calibri" w:cs="Calibri"/>
                <w:color w:val="000000"/>
                <w:sz w:val="18"/>
                <w:szCs w:val="18"/>
                <w:lang w:val="en-US" w:eastAsia="en-CA"/>
              </w:rPr>
            </w:pPr>
            <w:r w:rsidRPr="007D7059">
              <w:rPr>
                <w:rFonts w:ascii="Calibri" w:hAnsi="Calibri" w:cs="Calibri"/>
                <w:color w:val="000000"/>
                <w:sz w:val="18"/>
                <w:szCs w:val="18"/>
                <w:lang w:val="en-US" w:eastAsia="en-CA"/>
              </w:rPr>
              <w:t>Was the Post-Intervention Clinical Condition Clearly Described?</w:t>
            </w:r>
          </w:p>
          <w:p w14:paraId="7060762F" w14:textId="77777777" w:rsidR="00384BC8" w:rsidRPr="007D7059" w:rsidRDefault="00384BC8" w:rsidP="00C67097">
            <w:pPr>
              <w:textAlignment w:val="baseline"/>
              <w:rPr>
                <w:rFonts w:cs="Calibri"/>
                <w:color w:val="000000"/>
                <w:sz w:val="18"/>
                <w:szCs w:val="18"/>
                <w:lang w:val="en-US" w:eastAsia="en-CA"/>
              </w:rPr>
            </w:pPr>
          </w:p>
        </w:tc>
        <w:tc>
          <w:tcPr>
            <w:tcW w:w="0" w:type="auto"/>
            <w:tcBorders>
              <w:bottom w:val="single" w:sz="4" w:space="0" w:color="auto"/>
            </w:tcBorders>
            <w:shd w:val="clear" w:color="auto" w:fill="85312F"/>
          </w:tcPr>
          <w:p w14:paraId="3FA2EE99" w14:textId="77777777" w:rsidR="00384BC8" w:rsidRPr="007D7059" w:rsidRDefault="00384BC8" w:rsidP="00C67097">
            <w:pPr>
              <w:textAlignment w:val="baseline"/>
              <w:rPr>
                <w:rFonts w:cs="Calibri"/>
                <w:color w:val="000000"/>
                <w:sz w:val="18"/>
                <w:szCs w:val="18"/>
                <w:lang w:val="en-US" w:eastAsia="en-CA"/>
              </w:rPr>
            </w:pPr>
            <w:r w:rsidRPr="007D7059">
              <w:rPr>
                <w:rFonts w:cs="Calibri"/>
                <w:color w:val="000000"/>
                <w:sz w:val="18"/>
                <w:szCs w:val="18"/>
                <w:lang w:val="en-US" w:eastAsia="en-CA"/>
              </w:rPr>
              <w:t>Were Adverse Events (Harms) or Unanticipated Events Identified and Clearly Described?</w:t>
            </w:r>
          </w:p>
        </w:tc>
        <w:tc>
          <w:tcPr>
            <w:tcW w:w="0" w:type="auto"/>
            <w:tcBorders>
              <w:bottom w:val="single" w:sz="4" w:space="0" w:color="auto"/>
            </w:tcBorders>
            <w:shd w:val="clear" w:color="auto" w:fill="85312F"/>
          </w:tcPr>
          <w:p w14:paraId="68A8316E" w14:textId="77777777" w:rsidR="00384BC8" w:rsidRPr="007D7059" w:rsidRDefault="00384BC8" w:rsidP="00C67097">
            <w:pPr>
              <w:textAlignment w:val="baseline"/>
              <w:rPr>
                <w:rFonts w:cs="Calibri"/>
                <w:color w:val="000000"/>
                <w:sz w:val="18"/>
                <w:szCs w:val="18"/>
                <w:lang w:val="en-US" w:eastAsia="en-CA"/>
              </w:rPr>
            </w:pPr>
            <w:r w:rsidRPr="007D7059">
              <w:rPr>
                <w:rFonts w:cs="Calibri"/>
                <w:color w:val="000000"/>
                <w:sz w:val="18"/>
                <w:szCs w:val="18"/>
                <w:lang w:val="en-US" w:eastAsia="en-CA"/>
              </w:rPr>
              <w:t>Does the Case Report Provide Take-Away Lessons?</w:t>
            </w:r>
          </w:p>
        </w:tc>
        <w:tc>
          <w:tcPr>
            <w:tcW w:w="0" w:type="auto"/>
            <w:tcBorders>
              <w:bottom w:val="single" w:sz="4" w:space="0" w:color="auto"/>
            </w:tcBorders>
            <w:shd w:val="clear" w:color="auto" w:fill="85312F"/>
          </w:tcPr>
          <w:p w14:paraId="177D3E9A" w14:textId="77777777" w:rsidR="00384BC8" w:rsidRPr="007D7059" w:rsidRDefault="00384BC8" w:rsidP="00C67097">
            <w:pPr>
              <w:textAlignment w:val="baseline"/>
              <w:rPr>
                <w:rFonts w:cs="Calibri"/>
                <w:color w:val="000000"/>
                <w:sz w:val="18"/>
                <w:szCs w:val="18"/>
                <w:lang w:val="en-US" w:eastAsia="en-CA"/>
              </w:rPr>
            </w:pPr>
            <w:r w:rsidRPr="007D7059">
              <w:rPr>
                <w:rFonts w:cs="Calibri"/>
                <w:color w:val="000000"/>
                <w:sz w:val="18"/>
                <w:szCs w:val="18"/>
                <w:lang w:val="en-US" w:eastAsia="en-CA"/>
              </w:rPr>
              <w:t>Final Quality Assessment</w:t>
            </w:r>
          </w:p>
        </w:tc>
      </w:tr>
      <w:tr w:rsidR="00384BC8" w:rsidRPr="007D7059" w14:paraId="252D5442"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1C4AE4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Abushoshah (2020)</w:t>
            </w:r>
            <w:r w:rsidRPr="007D7059">
              <w:rPr>
                <w:rFonts w:cs="Calibri"/>
                <w:color w:val="000000"/>
                <w:sz w:val="18"/>
                <w:szCs w:val="18"/>
                <w:vertAlign w:val="superscript"/>
                <w:lang w:val="en-US"/>
              </w:rPr>
              <w:t>46</w:t>
            </w:r>
            <w:r w:rsidRPr="007D7059">
              <w:rPr>
                <w:rFonts w:cs="Calibri"/>
                <w:color w:val="000000"/>
                <w:sz w:val="18"/>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15E4CD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9B6510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24F8EF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12BE17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B7535E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AA17DB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060A22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638C53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AF2F1A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180BE139"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06317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Al Ghamdi (2018)</w:t>
            </w:r>
            <w:r w:rsidRPr="007D7059">
              <w:rPr>
                <w:rFonts w:cs="Calibri"/>
                <w:color w:val="000000"/>
                <w:sz w:val="18"/>
                <w:szCs w:val="18"/>
                <w:vertAlign w:val="superscript"/>
                <w:lang w:val="en-US"/>
              </w:rPr>
              <w:t>47</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3A51CC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04E5AC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8FE807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693BAE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C7565E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ED2A3F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1E9D15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20FD0F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CF701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High</w:t>
            </w:r>
          </w:p>
        </w:tc>
      </w:tr>
      <w:tr w:rsidR="00384BC8" w:rsidRPr="007D7059" w14:paraId="4C5A825C"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CC0A6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Altalbishi (2015)</w:t>
            </w:r>
            <w:r w:rsidRPr="007D7059">
              <w:rPr>
                <w:rFonts w:cs="Calibri"/>
                <w:color w:val="000000"/>
                <w:sz w:val="18"/>
                <w:szCs w:val="18"/>
                <w:vertAlign w:val="superscript"/>
                <w:lang w:val="en-US"/>
              </w:rPr>
              <w:t>48</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0B7917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D556F9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1A674A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9D710F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AB3118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2B41F3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31D68A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A449DF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56C072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7A36EC3A"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747E98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Aoyagi (2015)</w:t>
            </w:r>
            <w:r w:rsidRPr="007D7059">
              <w:rPr>
                <w:rFonts w:cs="Calibri"/>
                <w:color w:val="000000"/>
                <w:sz w:val="18"/>
                <w:szCs w:val="18"/>
                <w:vertAlign w:val="superscript"/>
                <w:lang w:val="en-US"/>
              </w:rPr>
              <w:t>49</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CD78FC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4B4938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E8D472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CEFDFE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96DDCC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6BB0CF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0EE322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D07FA9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625FBB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612B24EC"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116F3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Araujo (2015)</w:t>
            </w:r>
            <w:r w:rsidRPr="007D7059">
              <w:rPr>
                <w:rFonts w:cs="Calibri"/>
                <w:color w:val="000000"/>
                <w:sz w:val="18"/>
                <w:szCs w:val="18"/>
                <w:vertAlign w:val="superscript"/>
                <w:lang w:val="en-US"/>
              </w:rPr>
              <w:t>50</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FE4A4D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193A7D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89B9D2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4E7DEA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E5529B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42F5B0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7C30E4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108911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0B3EA2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229ECF13"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345F8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Arcot (2015)</w:t>
            </w:r>
            <w:r w:rsidRPr="007D7059">
              <w:rPr>
                <w:rFonts w:cs="Calibri"/>
                <w:color w:val="000000"/>
                <w:sz w:val="18"/>
                <w:szCs w:val="18"/>
                <w:vertAlign w:val="superscript"/>
                <w:lang w:val="en-US"/>
              </w:rPr>
              <w:t>51</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740B5A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886713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8B1E36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B6DEF0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37724F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CD1567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5EF0B6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E95C8D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467FB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399A72FD"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17AD0D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Aronsohn (2015)</w:t>
            </w:r>
            <w:r w:rsidRPr="007D7059">
              <w:rPr>
                <w:rFonts w:cs="Calibri"/>
                <w:color w:val="000000"/>
                <w:sz w:val="18"/>
                <w:szCs w:val="18"/>
                <w:vertAlign w:val="superscript"/>
                <w:lang w:val="en-US"/>
              </w:rPr>
              <w:t>52</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FAA7FC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AF4CD8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C7EBFB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58E98F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A8E22E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9DCD69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82182A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89DF6D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137C7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High</w:t>
            </w:r>
          </w:p>
        </w:tc>
      </w:tr>
      <w:tr w:rsidR="00384BC8" w:rsidRPr="007D7059" w14:paraId="777765D8"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53A2F9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Artinger (2019)</w:t>
            </w:r>
            <w:r w:rsidRPr="007D7059">
              <w:rPr>
                <w:rFonts w:cs="Calibri"/>
                <w:color w:val="000000"/>
                <w:sz w:val="18"/>
                <w:szCs w:val="18"/>
                <w:vertAlign w:val="superscript"/>
                <w:lang w:val="en-US"/>
              </w:rPr>
              <w:t>53</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441CD3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B698FF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BC4D54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9375AB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B9FE85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0A1EF0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F5AF48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F646A0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43D60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261A56A4"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8B075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Atuk (2018)</w:t>
            </w:r>
            <w:r w:rsidRPr="007D7059">
              <w:rPr>
                <w:rFonts w:cs="Calibri"/>
                <w:color w:val="000000"/>
                <w:sz w:val="18"/>
                <w:szCs w:val="18"/>
                <w:vertAlign w:val="superscript"/>
                <w:lang w:val="en-US"/>
              </w:rPr>
              <w:t>54</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2A5F98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461ED0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BD0237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AED032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19F3CE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4F0FB7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BEC7E0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AAC364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AA0F5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6E8416D1"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7A9E9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Balachandar (2019)</w:t>
            </w:r>
            <w:r w:rsidRPr="007D7059">
              <w:rPr>
                <w:rFonts w:cs="Calibri"/>
                <w:color w:val="000000"/>
                <w:sz w:val="18"/>
                <w:szCs w:val="18"/>
                <w:vertAlign w:val="superscript"/>
                <w:lang w:val="en-US"/>
              </w:rPr>
              <w:t>55</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A236FA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C7F679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EB59A0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7E271F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53A8A0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1CF5B4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AEDC07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DFE1B0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85FCE8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255F58E3"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C6C4C1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Balci (2016)</w:t>
            </w:r>
            <w:r w:rsidRPr="007D7059">
              <w:rPr>
                <w:rFonts w:cs="Calibri"/>
                <w:color w:val="000000"/>
                <w:sz w:val="18"/>
                <w:szCs w:val="18"/>
                <w:vertAlign w:val="superscript"/>
                <w:lang w:val="en-US"/>
              </w:rPr>
              <w:t>56</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1AF9AB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8CF5D9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645133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2FDE2E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0F719F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2AC661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AD6154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1FB9EE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D0C211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2C074612"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5E1BFE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Belen (2015)</w:t>
            </w:r>
            <w:r w:rsidRPr="007D7059">
              <w:rPr>
                <w:rFonts w:cs="Calibri"/>
                <w:color w:val="000000"/>
                <w:sz w:val="18"/>
                <w:szCs w:val="18"/>
                <w:vertAlign w:val="superscript"/>
                <w:lang w:val="en-US"/>
              </w:rPr>
              <w:t>57</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08BC6A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D51B8C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32BAE7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DD21B0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0647E3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A49E7A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049DBC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C81F5E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0C4769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3D1A082F"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17DCA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Berdai (2016)</w:t>
            </w:r>
            <w:r w:rsidRPr="007D7059">
              <w:rPr>
                <w:rFonts w:cs="Calibri"/>
                <w:color w:val="000000"/>
                <w:sz w:val="18"/>
                <w:szCs w:val="18"/>
                <w:vertAlign w:val="superscript"/>
                <w:lang w:val="en-US"/>
              </w:rPr>
              <w:t>58</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478004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AAE897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4DB86F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4D6C16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DC63AF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8D04E6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A5C7BE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909B5B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48C154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High</w:t>
            </w:r>
          </w:p>
        </w:tc>
      </w:tr>
      <w:tr w:rsidR="00384BC8" w:rsidRPr="007D7059" w14:paraId="2DE16090"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B8CB6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Bijral (2018)</w:t>
            </w:r>
            <w:r w:rsidRPr="007D7059">
              <w:rPr>
                <w:rFonts w:cs="Calibri"/>
                <w:color w:val="000000"/>
                <w:sz w:val="18"/>
                <w:szCs w:val="18"/>
                <w:vertAlign w:val="superscript"/>
                <w:lang w:val="en-US"/>
              </w:rPr>
              <w:t>59</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E60814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74BECC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6C7C81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954EC5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9FC478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E50280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41BB02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5411FA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E67598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6EDABE91"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423EB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Booth (2018)</w:t>
            </w:r>
            <w:r w:rsidRPr="007D7059">
              <w:rPr>
                <w:rFonts w:cs="Calibri"/>
                <w:color w:val="000000"/>
                <w:sz w:val="18"/>
                <w:szCs w:val="18"/>
                <w:vertAlign w:val="superscript"/>
                <w:lang w:val="en-US"/>
              </w:rPr>
              <w:t>60</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A6CDA7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D067F0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D43B09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8DA7F8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15B1C6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F5CBA3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361797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D7CE89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BF41BC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00CE7FC3"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8CDA4A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Bradke (2020)</w:t>
            </w:r>
            <w:r w:rsidRPr="007D7059">
              <w:rPr>
                <w:rFonts w:cs="Calibri"/>
                <w:color w:val="000000"/>
                <w:sz w:val="18"/>
                <w:szCs w:val="18"/>
                <w:vertAlign w:val="superscript"/>
                <w:lang w:val="en-US"/>
              </w:rPr>
              <w:t>61</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4319A5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DF9E97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77F7F5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144C3A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613E85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4C439C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6EA472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4B8D9F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28FC6E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0E1C25C4"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D08084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Brownfoot (2018)</w:t>
            </w:r>
            <w:r w:rsidRPr="007D7059">
              <w:rPr>
                <w:rFonts w:cs="Calibri"/>
                <w:color w:val="000000"/>
                <w:sz w:val="18"/>
                <w:szCs w:val="18"/>
                <w:vertAlign w:val="superscript"/>
                <w:lang w:val="en-US"/>
              </w:rPr>
              <w:t>62</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832344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90B8A4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AC3994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CDBD05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7D524E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6F5EBB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3619D7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2E3602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EBDA2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2C378D19"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8E19AC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lastRenderedPageBreak/>
              <w:t>Cagan (2020)</w:t>
            </w:r>
            <w:r w:rsidRPr="007D7059">
              <w:rPr>
                <w:rFonts w:cs="Calibri"/>
                <w:color w:val="000000"/>
                <w:sz w:val="18"/>
                <w:szCs w:val="18"/>
                <w:vertAlign w:val="superscript"/>
                <w:lang w:val="en-US"/>
              </w:rPr>
              <w:t>63</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1FAD40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EA5CCD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9AF3C7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2AEEF6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C23244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B3373C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FEEB90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43BDE9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D6F31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65032021"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A2CBB3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Cao (2019)</w:t>
            </w:r>
            <w:r w:rsidRPr="007D7059">
              <w:rPr>
                <w:rFonts w:cs="Calibri"/>
                <w:color w:val="000000"/>
                <w:sz w:val="18"/>
                <w:szCs w:val="18"/>
                <w:vertAlign w:val="superscript"/>
                <w:lang w:val="en-US"/>
              </w:rPr>
              <w:t>64</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117239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FBD464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B3EC7C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282BBA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C654BB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516436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223DE5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515A45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A4E9DA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High</w:t>
            </w:r>
          </w:p>
        </w:tc>
      </w:tr>
      <w:tr w:rsidR="00384BC8" w:rsidRPr="007D7059" w14:paraId="3CF9E994"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3F4739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Celik (2015)</w:t>
            </w:r>
            <w:r w:rsidRPr="007D7059">
              <w:rPr>
                <w:rFonts w:cs="Calibri"/>
                <w:color w:val="000000"/>
                <w:sz w:val="18"/>
                <w:szCs w:val="18"/>
                <w:vertAlign w:val="superscript"/>
                <w:lang w:val="en-US"/>
              </w:rPr>
              <w:t>65</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404683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81FBEF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4ED8BD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81A212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D76A68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BDFE00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6A1B1C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42ECFB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2E3ECA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2BE9F451"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2ADB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Chan (2018)</w:t>
            </w:r>
            <w:r w:rsidRPr="007D7059">
              <w:rPr>
                <w:rFonts w:cs="Calibri"/>
                <w:color w:val="000000"/>
                <w:sz w:val="18"/>
                <w:szCs w:val="18"/>
                <w:vertAlign w:val="superscript"/>
                <w:lang w:val="en-US"/>
              </w:rPr>
              <w:t>66</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24FA60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4A1B5E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ACD65A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4C234C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96F804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597D57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CE420B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6C9314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744E3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107DC737"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94E9AF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Chen (2016)</w:t>
            </w:r>
            <w:r w:rsidRPr="007D7059">
              <w:rPr>
                <w:rFonts w:cs="Calibri"/>
                <w:color w:val="000000"/>
                <w:sz w:val="18"/>
                <w:szCs w:val="18"/>
                <w:vertAlign w:val="superscript"/>
                <w:lang w:val="en-US"/>
              </w:rPr>
              <w:t>67</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79C0A3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841A07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8B530E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A21A83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83F3CD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D0CFAE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602A67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EB8292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A105AF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High</w:t>
            </w:r>
          </w:p>
        </w:tc>
      </w:tr>
      <w:tr w:rsidR="00384BC8" w:rsidRPr="007D7059" w14:paraId="648D8EA5"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503F8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Chenkin (2016)</w:t>
            </w:r>
            <w:r w:rsidRPr="007D7059">
              <w:rPr>
                <w:rFonts w:cs="Calibri"/>
                <w:color w:val="000000"/>
                <w:sz w:val="18"/>
                <w:szCs w:val="18"/>
                <w:vertAlign w:val="superscript"/>
                <w:lang w:val="en-US"/>
              </w:rPr>
              <w:t>68</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5A200D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3085B4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2A1AA3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F0B3B5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CF0907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3E3C61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432CFC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C5A997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BECB6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465A2DE3"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A64F8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Chou (2016)</w:t>
            </w:r>
            <w:r w:rsidRPr="007D7059">
              <w:rPr>
                <w:rFonts w:cs="Calibri"/>
                <w:color w:val="000000"/>
                <w:sz w:val="18"/>
                <w:szCs w:val="18"/>
                <w:vertAlign w:val="superscript"/>
                <w:lang w:val="en-US"/>
              </w:rPr>
              <w:t>69</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8466E2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0FC7BC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12632C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176C4D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469A5E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40E3AD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0F39B6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C9E783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676CB1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7F8BA5C2"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9F331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Dag (2015)</w:t>
            </w:r>
            <w:r w:rsidRPr="007D7059">
              <w:rPr>
                <w:rFonts w:cs="Calibri"/>
                <w:color w:val="000000"/>
                <w:sz w:val="18"/>
                <w:szCs w:val="18"/>
                <w:vertAlign w:val="superscript"/>
                <w:lang w:val="en-US"/>
              </w:rPr>
              <w:t>70</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278844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476653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D16B4C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B21BAB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804CD8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B4DA62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CEC3EE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E34D1E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B6512B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59E2E950"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62F4E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Davies (2020)</w:t>
            </w:r>
            <w:r w:rsidRPr="007D7059">
              <w:rPr>
                <w:rFonts w:cs="Calibri"/>
                <w:color w:val="000000"/>
                <w:sz w:val="18"/>
                <w:szCs w:val="18"/>
                <w:vertAlign w:val="superscript"/>
                <w:lang w:val="en-US"/>
              </w:rPr>
              <w:t>71</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E5AB58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8F229C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D3959D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C38367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38E574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6B66BB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F4E7B0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0D1D26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C8232C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134EE4FF"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11D86F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El-Agwany (2016)</w:t>
            </w:r>
            <w:r w:rsidRPr="007D7059">
              <w:rPr>
                <w:rFonts w:cs="Calibri"/>
                <w:color w:val="000000"/>
                <w:sz w:val="18"/>
                <w:szCs w:val="18"/>
                <w:vertAlign w:val="superscript"/>
                <w:lang w:val="en-US"/>
              </w:rPr>
              <w:t>72</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4D08B7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F82983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0163CD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029BDA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C5E9C7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4A6774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13A88A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D9A434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214640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1FC033D8"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4B3CCC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El-Agwany (2016)</w:t>
            </w:r>
            <w:r w:rsidRPr="007D7059">
              <w:rPr>
                <w:rFonts w:cs="Calibri"/>
                <w:color w:val="000000"/>
                <w:sz w:val="18"/>
                <w:szCs w:val="18"/>
                <w:vertAlign w:val="superscript"/>
                <w:lang w:val="en-US"/>
              </w:rPr>
              <w:t>73</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0C496D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0DC4D3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E8B01E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5D513B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A617B9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8CF273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E20879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0FF0D3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3ABC56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142FC7FD"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91A70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Escobar (2019)</w:t>
            </w:r>
            <w:r w:rsidRPr="007D7059">
              <w:rPr>
                <w:rFonts w:cs="Calibri"/>
                <w:color w:val="000000"/>
                <w:sz w:val="18"/>
                <w:szCs w:val="18"/>
                <w:vertAlign w:val="superscript"/>
                <w:lang w:val="en-US"/>
              </w:rPr>
              <w:t>74</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DC1B54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B54105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3032E7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C19B3A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10D677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A46B51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59D248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88FBA6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CEE7C9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3001CA88"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81801D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Essa (2018)</w:t>
            </w:r>
            <w:r w:rsidRPr="007D7059">
              <w:rPr>
                <w:rFonts w:cs="Calibri"/>
                <w:color w:val="000000"/>
                <w:sz w:val="18"/>
                <w:szCs w:val="18"/>
                <w:vertAlign w:val="superscript"/>
                <w:lang w:val="en-US"/>
              </w:rPr>
              <w:t>75</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C0C43A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D8CBC6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B25A27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DD6E5F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841A8D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9F75E6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1EE746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3F3A5F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53226A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497BB62B"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C3928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Ferreira (2019)</w:t>
            </w:r>
            <w:r w:rsidRPr="007D7059">
              <w:rPr>
                <w:rFonts w:cs="Calibri"/>
                <w:color w:val="000000"/>
                <w:sz w:val="18"/>
                <w:szCs w:val="18"/>
                <w:vertAlign w:val="superscript"/>
                <w:lang w:val="en-US"/>
              </w:rPr>
              <w:t>76</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CD93E0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52E5FF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F24B8D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ED3BA5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BA16CB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AD43D6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B43CC7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306DDD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9799CA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6B16EDBF"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08611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Fervienza (2017)</w:t>
            </w:r>
            <w:r w:rsidRPr="007D7059">
              <w:rPr>
                <w:rFonts w:cs="Calibri"/>
                <w:color w:val="000000"/>
                <w:sz w:val="18"/>
                <w:szCs w:val="18"/>
                <w:vertAlign w:val="superscript"/>
                <w:lang w:val="en-US"/>
              </w:rPr>
              <w:t>77</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E80B40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A8724C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D9A643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702A8B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C0EF9B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58F237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F5096C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1B4FE2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6D7F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64ABE332"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ABB73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Fotiou (2016)</w:t>
            </w:r>
            <w:r w:rsidRPr="007D7059">
              <w:rPr>
                <w:rFonts w:cs="Calibri"/>
                <w:color w:val="000000"/>
                <w:sz w:val="18"/>
                <w:szCs w:val="18"/>
                <w:vertAlign w:val="superscript"/>
                <w:lang w:val="en-US"/>
              </w:rPr>
              <w:t>78</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BA18CE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FA8644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A1B94C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F27EE9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9F9BFC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D3FC8E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30A3C6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ABCEF8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D3DBDE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7A77BF92"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137D48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Fuchs (2016)</w:t>
            </w:r>
            <w:r w:rsidRPr="007D7059">
              <w:rPr>
                <w:rFonts w:cs="Calibri"/>
                <w:color w:val="000000"/>
                <w:sz w:val="18"/>
                <w:szCs w:val="18"/>
                <w:vertAlign w:val="superscript"/>
                <w:lang w:val="en-US"/>
              </w:rPr>
              <w:t>79</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5E1E17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5936D9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3DF3DA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64BF6D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B48AC0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DFB9AC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86D73C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A00391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59B1B6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75034C31"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EFD2CD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Gainder (2015)</w:t>
            </w:r>
            <w:r w:rsidRPr="007D7059">
              <w:rPr>
                <w:rFonts w:cs="Calibri"/>
                <w:color w:val="000000"/>
                <w:sz w:val="18"/>
                <w:szCs w:val="18"/>
                <w:vertAlign w:val="superscript"/>
                <w:lang w:val="en-US"/>
              </w:rPr>
              <w:t>80</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1AEF89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084B98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ECEAB7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993CC6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614F6F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D53251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9C2C88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093054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33F789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047A6EB3"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8EEB3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Ghazali (2019)</w:t>
            </w:r>
            <w:r w:rsidRPr="007D7059">
              <w:rPr>
                <w:rFonts w:cs="Calibri"/>
                <w:color w:val="000000"/>
                <w:sz w:val="18"/>
                <w:szCs w:val="18"/>
                <w:vertAlign w:val="superscript"/>
                <w:lang w:val="en-US"/>
              </w:rPr>
              <w:t>81</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7E34B5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5CD393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D17F3D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AF1DC7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BA4846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178009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3BA876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5E9544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5239A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02E2D71D"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7F570E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Ghorbanpour (2019)</w:t>
            </w:r>
            <w:r w:rsidRPr="007D7059">
              <w:rPr>
                <w:rFonts w:cs="Calibri"/>
                <w:color w:val="000000"/>
                <w:sz w:val="18"/>
                <w:szCs w:val="18"/>
                <w:vertAlign w:val="superscript"/>
                <w:lang w:val="en-US"/>
              </w:rPr>
              <w:t>82</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DF8BD9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A8D8A6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302FDF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4D4B15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EA3FF3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482E30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C4D768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2C8650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D92EB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23C65B90"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3632DD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Grimmett (2019)</w:t>
            </w:r>
            <w:r w:rsidRPr="007D7059">
              <w:rPr>
                <w:rFonts w:cs="Calibri"/>
                <w:color w:val="000000"/>
                <w:sz w:val="18"/>
                <w:szCs w:val="18"/>
                <w:vertAlign w:val="superscript"/>
                <w:lang w:val="en-US"/>
              </w:rPr>
              <w:t>83</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EE203F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FC0204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8A3516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C76E82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8B53D8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C05DBE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7D101E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843F45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20137C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41C4453F"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BB35D9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Guerby (2020)</w:t>
            </w:r>
            <w:r w:rsidRPr="007D7059">
              <w:rPr>
                <w:rFonts w:cs="Calibri"/>
                <w:color w:val="000000"/>
                <w:sz w:val="18"/>
                <w:szCs w:val="18"/>
                <w:vertAlign w:val="superscript"/>
                <w:lang w:val="en-US"/>
              </w:rPr>
              <w:t>84</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B1AE94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274778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91A3FF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F15FE3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9C56E7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62CF00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50119F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64E791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87549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0197CCD8"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1A1646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Guo (2018)</w:t>
            </w:r>
            <w:r w:rsidRPr="007D7059">
              <w:rPr>
                <w:rFonts w:cs="Calibri"/>
                <w:color w:val="000000"/>
                <w:sz w:val="18"/>
                <w:szCs w:val="18"/>
                <w:vertAlign w:val="superscript"/>
                <w:lang w:val="en-US"/>
              </w:rPr>
              <w:t>85</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796313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7EBDF3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EDFADC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6199E5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FDCC95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4252F5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19574B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DAC84F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E7535A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40C217B2"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9A1C0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Hakata (2019)</w:t>
            </w:r>
            <w:r w:rsidRPr="007D7059">
              <w:rPr>
                <w:rFonts w:cs="Calibri"/>
                <w:color w:val="000000"/>
                <w:sz w:val="18"/>
                <w:szCs w:val="18"/>
                <w:vertAlign w:val="superscript"/>
                <w:lang w:val="en-US"/>
              </w:rPr>
              <w:t>86</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E326D7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F9F797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4041D1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CDC675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E75AE6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3B1776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A3F2C5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494279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BEE77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47E539CC"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113D73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Halliday (2017)</w:t>
            </w:r>
            <w:r w:rsidRPr="007D7059">
              <w:rPr>
                <w:rFonts w:cs="Calibri"/>
                <w:color w:val="000000"/>
                <w:sz w:val="18"/>
                <w:szCs w:val="18"/>
                <w:vertAlign w:val="superscript"/>
                <w:lang w:val="en-US"/>
              </w:rPr>
              <w:t>87</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135154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C7D2D3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93C5F3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C1D785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19EF77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A87E00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9AB348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80A145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5BB923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5E98A998"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FE71D9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lastRenderedPageBreak/>
              <w:t>Hassan (2017)</w:t>
            </w:r>
            <w:r w:rsidRPr="007D7059">
              <w:rPr>
                <w:rFonts w:cs="Calibri"/>
                <w:color w:val="000000"/>
                <w:sz w:val="18"/>
                <w:szCs w:val="18"/>
                <w:vertAlign w:val="superscript"/>
                <w:lang w:val="en-US"/>
              </w:rPr>
              <w:t>88</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06681C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78D359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F4D9F3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FE21E7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0B8272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3C3E91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DD258A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9A08A3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EE4122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298957B3"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1AF271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Hauksdottir (2015)</w:t>
            </w:r>
            <w:r w:rsidRPr="007D7059">
              <w:rPr>
                <w:rFonts w:cs="Calibri"/>
                <w:color w:val="000000"/>
                <w:sz w:val="18"/>
                <w:szCs w:val="18"/>
                <w:vertAlign w:val="superscript"/>
                <w:lang w:val="en-US"/>
              </w:rPr>
              <w:t>89</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77BE61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736CB6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C273B5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81B4BA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A32D6A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B60D3D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CAB30B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E7918B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6B56FA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3CBDA965"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4F6359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Hayashi (2020)</w:t>
            </w:r>
            <w:r w:rsidRPr="007D7059">
              <w:rPr>
                <w:rFonts w:cs="Calibri"/>
                <w:color w:val="000000"/>
                <w:sz w:val="18"/>
                <w:szCs w:val="18"/>
                <w:vertAlign w:val="superscript"/>
                <w:lang w:val="en-US"/>
              </w:rPr>
              <w:t>90</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47280E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7C6F2D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65FA17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DC206E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78FC05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0D3473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460C36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F34406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296581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646C8319"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3184F0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Hinkson (2018)</w:t>
            </w:r>
            <w:r w:rsidRPr="007D7059">
              <w:rPr>
                <w:rFonts w:cs="Calibri"/>
                <w:color w:val="000000"/>
                <w:sz w:val="18"/>
                <w:szCs w:val="18"/>
                <w:vertAlign w:val="superscript"/>
                <w:lang w:val="en-US"/>
              </w:rPr>
              <w:t>91</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69C700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A825DA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650012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649DA9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A53920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315A86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0E94D8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15122E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46AA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62809318"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1EE4EA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Horazeck (2019)</w:t>
            </w:r>
            <w:r w:rsidRPr="007D7059">
              <w:rPr>
                <w:rFonts w:cs="Calibri"/>
                <w:color w:val="000000"/>
                <w:sz w:val="18"/>
                <w:szCs w:val="18"/>
                <w:vertAlign w:val="superscript"/>
                <w:lang w:val="en-US"/>
              </w:rPr>
              <w:t>92</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E4BCD6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D13005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D00FE5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A2A4FA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43ECA2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7DD359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C5EE24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F1CF0D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4FBFD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1C46A9E2"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997EBB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Horie (2019)</w:t>
            </w:r>
            <w:r w:rsidRPr="007D7059">
              <w:rPr>
                <w:rFonts w:cs="Calibri"/>
                <w:color w:val="000000"/>
                <w:sz w:val="18"/>
                <w:szCs w:val="18"/>
                <w:vertAlign w:val="superscript"/>
                <w:lang w:val="en-US"/>
              </w:rPr>
              <w:t>93</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439B55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4EE0AB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B1D047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3410CB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192A1D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156FC7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120086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4EFCAA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E3D99E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52D9FA70"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F010F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Hussain (2019)</w:t>
            </w:r>
            <w:r w:rsidRPr="007D7059">
              <w:rPr>
                <w:rFonts w:cs="Calibri"/>
                <w:color w:val="000000"/>
                <w:sz w:val="18"/>
                <w:szCs w:val="18"/>
                <w:vertAlign w:val="superscript"/>
                <w:lang w:val="en-US"/>
              </w:rPr>
              <w:t>94</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DC72FE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D86049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96AF3D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71A4B6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6CBEB1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806933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F4A983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BBE841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6DF62B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379C3D49"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F69883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Jugnanden (2020)</w:t>
            </w:r>
            <w:r w:rsidRPr="007D7059">
              <w:rPr>
                <w:rFonts w:cs="Calibri"/>
                <w:color w:val="000000"/>
                <w:sz w:val="18"/>
                <w:szCs w:val="18"/>
                <w:vertAlign w:val="superscript"/>
                <w:lang w:val="en-US"/>
              </w:rPr>
              <w:t>95</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E9C2EB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8B87F1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8F15F9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EEC03F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F60B66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C41822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829EC3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B5753F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03E0D9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512D302A"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E7F4C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Kaltofen (2019)</w:t>
            </w:r>
            <w:r w:rsidRPr="007D7059">
              <w:rPr>
                <w:rFonts w:cs="Calibri"/>
                <w:color w:val="000000"/>
                <w:sz w:val="18"/>
                <w:szCs w:val="18"/>
                <w:vertAlign w:val="superscript"/>
                <w:lang w:val="en-US"/>
              </w:rPr>
              <w:t>96</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0A67FA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E7B681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F55B01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552723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6F454C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66424C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AE2B78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6A8D2A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A6F5B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64993179"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D9DAE6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Kasai (2016)</w:t>
            </w:r>
            <w:r w:rsidRPr="007D7059">
              <w:rPr>
                <w:rFonts w:cs="Calibri"/>
                <w:color w:val="000000"/>
                <w:sz w:val="18"/>
                <w:szCs w:val="18"/>
                <w:vertAlign w:val="superscript"/>
                <w:lang w:val="en-US"/>
              </w:rPr>
              <w:t>98</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539460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140E18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119919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CF471F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8C56F4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94A6FA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7AB0FE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88CB78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6A786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2B10DF78"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0BE20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Kim (2020)</w:t>
            </w:r>
            <w:r w:rsidRPr="007D7059">
              <w:rPr>
                <w:rFonts w:cs="Calibri"/>
                <w:color w:val="000000"/>
                <w:sz w:val="18"/>
                <w:szCs w:val="18"/>
                <w:vertAlign w:val="superscript"/>
                <w:lang w:val="en-US"/>
              </w:rPr>
              <w:t>99</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6EBC03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D39363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6E11BE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4F8D49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900BD5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C6C583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3813D3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016AEA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1378C5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77AB3996"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159D8F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Kinay (2018)</w:t>
            </w:r>
            <w:r w:rsidRPr="007D7059">
              <w:rPr>
                <w:rFonts w:cs="Calibri"/>
                <w:color w:val="000000"/>
                <w:sz w:val="18"/>
                <w:szCs w:val="18"/>
                <w:vertAlign w:val="superscript"/>
                <w:lang w:val="en-US"/>
              </w:rPr>
              <w:t>100</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EE50B1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3E7544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C985F2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C888DE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DB8AC4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0B55BF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8969DA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529DD1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14812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54EA6603"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ECD24D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Kocher (2019)</w:t>
            </w:r>
            <w:r w:rsidRPr="007D7059">
              <w:rPr>
                <w:rFonts w:cs="Calibri"/>
                <w:color w:val="000000"/>
                <w:sz w:val="18"/>
                <w:szCs w:val="18"/>
                <w:vertAlign w:val="superscript"/>
                <w:lang w:val="en-US"/>
              </w:rPr>
              <w:t>101</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F0AC43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B172F4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37E805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70DEAF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BFBAE0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150AB3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EC476C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20D936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DDD7BF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1159930F"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F58576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Koseoglu (2017)</w:t>
            </w:r>
            <w:r w:rsidRPr="007D7059">
              <w:rPr>
                <w:rFonts w:cs="Calibri"/>
                <w:color w:val="000000"/>
                <w:sz w:val="18"/>
                <w:szCs w:val="18"/>
                <w:vertAlign w:val="superscript"/>
                <w:lang w:val="en-US"/>
              </w:rPr>
              <w:t>102</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B1E143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BFA36E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91838B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144C2A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5ECA2B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22C023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D5E558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70493A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5A2606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2D197DC4"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46B640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Kubota-Sjogren (2015)</w:t>
            </w:r>
            <w:r w:rsidRPr="007D7059">
              <w:rPr>
                <w:rFonts w:cs="Calibri"/>
                <w:color w:val="000000"/>
                <w:sz w:val="18"/>
                <w:szCs w:val="18"/>
                <w:vertAlign w:val="superscript"/>
                <w:lang w:val="en-US"/>
              </w:rPr>
              <w:t>103</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6E9B95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F76F83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21C709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818A70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4CB89C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F71B53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842E17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8D0794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0C8A97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High</w:t>
            </w:r>
          </w:p>
        </w:tc>
      </w:tr>
      <w:tr w:rsidR="00384BC8" w:rsidRPr="007D7059" w14:paraId="0F48CB64"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5FA8BA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Kumarasinghe (2017)</w:t>
            </w:r>
            <w:r w:rsidRPr="007D7059">
              <w:rPr>
                <w:rFonts w:cs="Calibri"/>
                <w:color w:val="000000"/>
                <w:sz w:val="18"/>
                <w:szCs w:val="18"/>
                <w:vertAlign w:val="superscript"/>
                <w:lang w:val="en-US"/>
              </w:rPr>
              <w:t>104</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7CBE3D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3F0756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AD43F5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B8EC76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F85336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411E6F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DD63E7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F271F9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F2CA5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0BAF4EA9"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6AF6AC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Kuwabara (2020)</w:t>
            </w:r>
            <w:r w:rsidRPr="007D7059">
              <w:rPr>
                <w:rFonts w:cs="Calibri"/>
                <w:color w:val="000000"/>
                <w:sz w:val="18"/>
                <w:szCs w:val="18"/>
                <w:vertAlign w:val="superscript"/>
                <w:lang w:val="en-US"/>
              </w:rPr>
              <w:t>105</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29F6D7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9384C8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FDC6AA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5F5391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B9C749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C3165A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E1666E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C7689A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A8BAE6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0D0EA5FC"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6972A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Lee,M (2017)</w:t>
            </w:r>
            <w:r w:rsidRPr="007D7059">
              <w:rPr>
                <w:rFonts w:cs="Calibri"/>
                <w:color w:val="000000"/>
                <w:sz w:val="18"/>
                <w:szCs w:val="18"/>
                <w:vertAlign w:val="superscript"/>
                <w:lang w:val="en-US"/>
              </w:rPr>
              <w:t>106</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B61230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88A792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3566EF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5EBAA2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CEAC13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503B6F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A8F2D5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1CA8BE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26663C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5AFC46B5"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6025C1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Lee, YS (2017)</w:t>
            </w:r>
            <w:r w:rsidRPr="007D7059">
              <w:rPr>
                <w:rFonts w:cs="Calibri"/>
                <w:color w:val="000000"/>
                <w:sz w:val="18"/>
                <w:szCs w:val="18"/>
                <w:vertAlign w:val="superscript"/>
                <w:lang w:val="en-US"/>
              </w:rPr>
              <w:t>107</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394746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142E2F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E0A237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5FFE1E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48B1C6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7CEB85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083091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DFFD01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DF6A4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1FA1B8C0"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317AB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Loh (2017)</w:t>
            </w:r>
            <w:r w:rsidRPr="007D7059">
              <w:rPr>
                <w:rFonts w:cs="Calibri"/>
                <w:color w:val="000000"/>
                <w:sz w:val="18"/>
                <w:szCs w:val="18"/>
                <w:vertAlign w:val="superscript"/>
                <w:lang w:val="en-US"/>
              </w:rPr>
              <w:t>108</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43D02E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3A5955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25EE54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D8E90E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15921D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3750D7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C92D44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7E6117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038D72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3EDB3D5A"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39543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Lokki (2020)</w:t>
            </w:r>
            <w:r w:rsidRPr="007D7059">
              <w:rPr>
                <w:rFonts w:cs="Calibri"/>
                <w:color w:val="000000"/>
                <w:sz w:val="18"/>
                <w:szCs w:val="18"/>
                <w:vertAlign w:val="superscript"/>
                <w:lang w:val="en-US"/>
              </w:rPr>
              <w:t>109</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460F8F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73B983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44B14D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F6BC2B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41ABAC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07D4B2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1B7DFD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61242E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9E241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7E4C08FE"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BCD8BF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Luna Russo (2015)</w:t>
            </w:r>
            <w:r w:rsidRPr="007D7059">
              <w:rPr>
                <w:rFonts w:cs="Calibri"/>
                <w:color w:val="000000"/>
                <w:sz w:val="18"/>
                <w:szCs w:val="18"/>
                <w:vertAlign w:val="superscript"/>
                <w:lang w:val="en-US"/>
              </w:rPr>
              <w:t>110</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77FA6F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7357E4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A3AC2E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B5533C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EB1056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828462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C1775C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B0DE44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EFC40B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2121C579"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601E7E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lastRenderedPageBreak/>
              <w:t>Manning (2018)</w:t>
            </w:r>
            <w:r w:rsidRPr="007D7059">
              <w:rPr>
                <w:rFonts w:cs="Calibri"/>
                <w:color w:val="000000"/>
                <w:sz w:val="18"/>
                <w:szCs w:val="18"/>
                <w:vertAlign w:val="superscript"/>
                <w:lang w:val="en-US"/>
              </w:rPr>
              <w:t>111</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22AEEB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4150C9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68FFCF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CE7F42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98E825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B2C0FD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4686DB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545F1A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7555EC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0FF07E04"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A16A0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Martingano (2018)</w:t>
            </w:r>
            <w:r w:rsidRPr="007D7059">
              <w:rPr>
                <w:rFonts w:cs="Calibri"/>
                <w:color w:val="000000"/>
                <w:sz w:val="18"/>
                <w:szCs w:val="18"/>
                <w:vertAlign w:val="superscript"/>
                <w:lang w:val="en-US"/>
              </w:rPr>
              <w:t>112</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66D7BC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132C7C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426FD9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6DAD9E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4E6432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0AB90B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0DB193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062318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21237B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50C4A838"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81F0FB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Martins (2017)</w:t>
            </w:r>
            <w:r w:rsidRPr="007D7059">
              <w:rPr>
                <w:rFonts w:cs="Calibri"/>
                <w:color w:val="000000"/>
                <w:sz w:val="18"/>
                <w:szCs w:val="18"/>
                <w:vertAlign w:val="superscript"/>
                <w:lang w:val="en-US"/>
              </w:rPr>
              <w:t>113</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AAA82B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A64CEB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85C0E0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E93665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7C9966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B9BF13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881B83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3855C7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E39217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440E0F68"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37640B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Mathias (2019)</w:t>
            </w:r>
            <w:r w:rsidRPr="007D7059">
              <w:rPr>
                <w:rFonts w:cs="Calibri"/>
                <w:color w:val="000000"/>
                <w:sz w:val="18"/>
                <w:szCs w:val="18"/>
                <w:vertAlign w:val="superscript"/>
                <w:lang w:val="en-US"/>
              </w:rPr>
              <w:t>114</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A9D743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57F28C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A4B73B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BA31A2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B2E5E5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CE6479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95420D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B7E08B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D22331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High</w:t>
            </w:r>
          </w:p>
        </w:tc>
      </w:tr>
      <w:tr w:rsidR="00384BC8" w:rsidRPr="007D7059" w14:paraId="5B7A2DDD"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A71E8C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Mikolajczyk (2017)</w:t>
            </w:r>
            <w:r w:rsidRPr="007D7059">
              <w:rPr>
                <w:rFonts w:cs="Calibri"/>
                <w:color w:val="000000"/>
                <w:sz w:val="18"/>
                <w:szCs w:val="18"/>
                <w:vertAlign w:val="superscript"/>
                <w:lang w:val="en-US"/>
              </w:rPr>
              <w:t>115</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EFB74D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FBDC9B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EF1915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46147E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310B44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2E0BA3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254D98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C2ABC9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91691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1ECCE97F"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93E574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Millan (2017)</w:t>
            </w:r>
            <w:r w:rsidRPr="007D7059">
              <w:rPr>
                <w:rFonts w:cs="Calibri"/>
                <w:color w:val="000000"/>
                <w:sz w:val="18"/>
                <w:szCs w:val="18"/>
                <w:vertAlign w:val="superscript"/>
                <w:lang w:val="en-US"/>
              </w:rPr>
              <w:t>116</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7A6BFB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314CA0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F9781D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25D661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42214F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A8AF95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08C2C2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C870B8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D1B30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217CB451"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6266AD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Mor (2015)</w:t>
            </w:r>
            <w:r w:rsidRPr="007D7059">
              <w:rPr>
                <w:rFonts w:cs="Calibri"/>
                <w:color w:val="000000"/>
                <w:sz w:val="18"/>
                <w:szCs w:val="18"/>
                <w:vertAlign w:val="superscript"/>
                <w:lang w:val="en-US"/>
              </w:rPr>
              <w:t>117</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ADD970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1F8C74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000FA6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094246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E465AF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C1C88C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DB7117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3266C7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41B970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375310D0"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1E4EA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Morgan (2019)</w:t>
            </w:r>
            <w:r w:rsidRPr="007D7059">
              <w:rPr>
                <w:rFonts w:cs="Calibri"/>
                <w:color w:val="000000"/>
                <w:sz w:val="18"/>
                <w:szCs w:val="18"/>
                <w:vertAlign w:val="superscript"/>
                <w:lang w:val="en-US"/>
              </w:rPr>
              <w:t>118</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DBD5F7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5038A6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3E08FA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8F36FB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E11202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20BA1B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3485EC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A69861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4ABD7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2E623223"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8B8D73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Morisawa (2020)</w:t>
            </w:r>
            <w:r w:rsidRPr="007D7059">
              <w:rPr>
                <w:rFonts w:cs="Calibri"/>
                <w:color w:val="000000"/>
                <w:sz w:val="18"/>
                <w:szCs w:val="18"/>
                <w:vertAlign w:val="superscript"/>
                <w:lang w:val="en-US"/>
              </w:rPr>
              <w:t>119</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6249EF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5F4131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F8E637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48B29A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9C96F3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FBB72E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53317E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428BD8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FCB2C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24A38EDF"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82A400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Morisawa (2015)</w:t>
            </w:r>
            <w:r w:rsidRPr="007D7059">
              <w:rPr>
                <w:rFonts w:cs="Calibri"/>
                <w:color w:val="000000"/>
                <w:sz w:val="18"/>
                <w:szCs w:val="18"/>
                <w:vertAlign w:val="superscript"/>
                <w:lang w:val="en-US"/>
              </w:rPr>
              <w:t>120</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7E657A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ABD941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5E6D17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2FF2C1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24AF7A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10B62D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CDC7DA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1CDEA9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ADFBD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24A34C40"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1ACCF1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Morton (2017)</w:t>
            </w:r>
            <w:r w:rsidRPr="007D7059">
              <w:rPr>
                <w:rFonts w:cs="Calibri"/>
                <w:color w:val="000000"/>
                <w:sz w:val="18"/>
                <w:szCs w:val="18"/>
                <w:vertAlign w:val="superscript"/>
                <w:lang w:val="en-US"/>
              </w:rPr>
              <w:t>121</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D91632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D96633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D68A20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21C9BB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E8FA0A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7136F0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F972E4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5D7C96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56BD2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520E0D02"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B0E6E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Mould (2020)</w:t>
            </w:r>
            <w:r w:rsidRPr="007D7059">
              <w:rPr>
                <w:rFonts w:cs="Calibri"/>
                <w:color w:val="000000"/>
                <w:sz w:val="18"/>
                <w:szCs w:val="18"/>
                <w:vertAlign w:val="superscript"/>
                <w:lang w:val="en-US"/>
              </w:rPr>
              <w:t>122</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895FEF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D63DAB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AC9ADA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617314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2CAAD0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45C30B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FC5DA8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45C9B0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FB3068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1E53D0C7"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015E6C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Moura (2019)</w:t>
            </w:r>
            <w:r w:rsidRPr="007D7059">
              <w:rPr>
                <w:rFonts w:cs="Calibri"/>
                <w:color w:val="000000"/>
                <w:sz w:val="18"/>
                <w:szCs w:val="18"/>
                <w:vertAlign w:val="superscript"/>
                <w:lang w:val="en-US"/>
              </w:rPr>
              <w:t>123</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34282E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9A5D83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A65028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01F16F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3C0C95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5F9C12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973391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461742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B2E04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6DA30734"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07D1DD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Mousseaux (2020)</w:t>
            </w:r>
            <w:r w:rsidRPr="007D7059">
              <w:rPr>
                <w:rFonts w:cs="Calibri"/>
                <w:color w:val="000000"/>
                <w:sz w:val="18"/>
                <w:szCs w:val="18"/>
                <w:vertAlign w:val="superscript"/>
                <w:lang w:val="en-US"/>
              </w:rPr>
              <w:t>124</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AEF6A4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DCCC1B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331665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930336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930025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1D7290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64E1F2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E0DEFB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7B1089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0519E12C"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258563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Nakakita (2015)</w:t>
            </w:r>
            <w:r w:rsidRPr="007D7059">
              <w:rPr>
                <w:rFonts w:cs="Calibri"/>
                <w:color w:val="000000"/>
                <w:sz w:val="18"/>
                <w:szCs w:val="18"/>
                <w:vertAlign w:val="superscript"/>
                <w:lang w:val="en-US"/>
              </w:rPr>
              <w:t>125</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1F1683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537915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FD0B45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4A43F3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C1AA66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56EB3C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2F4BF6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25EA20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7B1D2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High</w:t>
            </w:r>
          </w:p>
        </w:tc>
      </w:tr>
      <w:tr w:rsidR="00384BC8" w:rsidRPr="007D7059" w14:paraId="6CA1A51A"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CE0087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Narasimhulu (2015)</w:t>
            </w:r>
            <w:r w:rsidRPr="007D7059">
              <w:rPr>
                <w:rFonts w:cs="Calibri"/>
                <w:color w:val="000000"/>
                <w:sz w:val="18"/>
                <w:szCs w:val="18"/>
                <w:vertAlign w:val="superscript"/>
                <w:lang w:val="en-US"/>
              </w:rPr>
              <w:t>126</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9B1688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6044F8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E6B95E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062B10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52E723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1E1BBC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BED491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919A6A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1A865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59AF5988"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047D84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Okumura (2017)</w:t>
            </w:r>
            <w:r w:rsidRPr="007D7059">
              <w:rPr>
                <w:rFonts w:cs="Calibri"/>
                <w:color w:val="000000"/>
                <w:sz w:val="18"/>
                <w:szCs w:val="18"/>
                <w:vertAlign w:val="superscript"/>
                <w:lang w:val="en-US"/>
              </w:rPr>
              <w:t>127</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F41AD3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59E9CA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0ED6B3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F36288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BBE2BF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9AAA4C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27F9F7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5163F4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1872BF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576DCA0F"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0AA15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Otten (2017)</w:t>
            </w:r>
            <w:r w:rsidRPr="007D7059">
              <w:rPr>
                <w:rFonts w:cs="Calibri"/>
                <w:color w:val="000000"/>
                <w:sz w:val="18"/>
                <w:szCs w:val="18"/>
                <w:vertAlign w:val="superscript"/>
                <w:lang w:val="en-US"/>
              </w:rPr>
              <w:t>129</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DDBF51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A55A06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1F7B30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69D3B4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8F75A1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447517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F0DDFE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2549E2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441F3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19412A34"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9ED75D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Pacarada (2106)</w:t>
            </w:r>
            <w:r w:rsidRPr="007D7059">
              <w:rPr>
                <w:rFonts w:cs="Calibri"/>
                <w:color w:val="000000"/>
                <w:sz w:val="18"/>
                <w:szCs w:val="18"/>
                <w:vertAlign w:val="superscript"/>
                <w:lang w:val="en-US"/>
              </w:rPr>
              <w:t>130</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5CDC10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171C9F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55D953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233522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5E45C5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4B7673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AFEE81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01A530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CF0B44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7023D2D5"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3FCC83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Pritchard (2015)</w:t>
            </w:r>
            <w:r w:rsidRPr="007D7059">
              <w:rPr>
                <w:rFonts w:cs="Calibri"/>
                <w:color w:val="000000"/>
                <w:sz w:val="18"/>
                <w:szCs w:val="18"/>
                <w:vertAlign w:val="superscript"/>
                <w:lang w:val="en-US"/>
              </w:rPr>
              <w:t>131</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39A7A3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8506B4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030329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411ED1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EC0D56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6C7D90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BDD26F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E2C107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809D6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615A2A45"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95C21B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Quiros (2016)</w:t>
            </w:r>
            <w:r w:rsidRPr="007D7059">
              <w:rPr>
                <w:rFonts w:cs="Calibri"/>
                <w:color w:val="000000"/>
                <w:sz w:val="18"/>
                <w:szCs w:val="18"/>
                <w:vertAlign w:val="superscript"/>
                <w:lang w:val="en-US"/>
              </w:rPr>
              <w:t>132</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E86A93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F16C29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7337D8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D64AFF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ABF687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C17F0A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D790D5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800A88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C4F180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07C6795F"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1495D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lastRenderedPageBreak/>
              <w:t>Sarkissian (2018)</w:t>
            </w:r>
            <w:r w:rsidRPr="007D7059">
              <w:rPr>
                <w:rFonts w:cs="Calibri"/>
                <w:color w:val="000000"/>
                <w:sz w:val="18"/>
                <w:szCs w:val="18"/>
                <w:vertAlign w:val="superscript"/>
                <w:lang w:val="en-US"/>
              </w:rPr>
              <w:t>133</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FC483B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0FCCE1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D7AB89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809803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F883FE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9095CA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734991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7E1A4B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679553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0C1E2F7E"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2ADDF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Senthilnathan (2017)</w:t>
            </w:r>
            <w:r w:rsidRPr="007D7059">
              <w:rPr>
                <w:rFonts w:cs="Calibri"/>
                <w:color w:val="000000"/>
                <w:sz w:val="18"/>
                <w:szCs w:val="18"/>
                <w:vertAlign w:val="superscript"/>
                <w:lang w:val="en-US"/>
              </w:rPr>
              <w:t>134</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B915BB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2793EC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06AE97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08BF7B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4AAEDC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C703A3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8762AC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8548D4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EBCCD5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592A44AE"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10A0A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Shah (2018)</w:t>
            </w:r>
            <w:r w:rsidRPr="007D7059">
              <w:rPr>
                <w:rFonts w:cs="Calibri"/>
                <w:color w:val="000000"/>
                <w:sz w:val="18"/>
                <w:szCs w:val="18"/>
                <w:vertAlign w:val="superscript"/>
                <w:lang w:val="en-US"/>
              </w:rPr>
              <w:t>135</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1F11DF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A18203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A99C03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770F39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33D1B3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A497AB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FF4F29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30AF18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5E0B91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11246289"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599BB6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Sharma (2019)</w:t>
            </w:r>
            <w:r w:rsidRPr="007D7059">
              <w:rPr>
                <w:rFonts w:cs="Calibri"/>
                <w:color w:val="000000"/>
                <w:sz w:val="18"/>
                <w:szCs w:val="18"/>
                <w:vertAlign w:val="superscript"/>
                <w:lang w:val="en-US"/>
              </w:rPr>
              <w:t>136</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5B813D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1DF329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AA4D03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FD5273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F4D991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EF788E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94B2B7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3CFDE4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90414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2F43DE3D"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E4E84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Shirozu (2017)</w:t>
            </w:r>
            <w:r w:rsidRPr="007D7059">
              <w:rPr>
                <w:rFonts w:cs="Calibri"/>
                <w:color w:val="000000"/>
                <w:sz w:val="18"/>
                <w:szCs w:val="18"/>
                <w:vertAlign w:val="superscript"/>
                <w:lang w:val="en-US"/>
              </w:rPr>
              <w:t>137</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7AFC2B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CCD8E9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4E3315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AE86FD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218069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EC0B2A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191AF0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CF509B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81BD3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0E9FF14B"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B1911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Si (2017)</w:t>
            </w:r>
            <w:r w:rsidRPr="007D7059">
              <w:rPr>
                <w:rFonts w:cs="Calibri"/>
                <w:color w:val="000000"/>
                <w:sz w:val="18"/>
                <w:szCs w:val="18"/>
                <w:vertAlign w:val="superscript"/>
                <w:lang w:val="en-US"/>
              </w:rPr>
              <w:t>138</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C19064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712146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BA67C8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D0331B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E96EC9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EFEE55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3B068C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1B0B35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2DE20E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361E4FEE"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F87B6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Sienas (2018)</w:t>
            </w:r>
            <w:r w:rsidRPr="007D7059">
              <w:rPr>
                <w:rFonts w:cs="Calibri"/>
                <w:color w:val="000000"/>
                <w:sz w:val="18"/>
                <w:szCs w:val="18"/>
                <w:vertAlign w:val="superscript"/>
                <w:lang w:val="en-US"/>
              </w:rPr>
              <w:t>139</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FA2D7E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541058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A7D81E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BEE4D4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0181B2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7D75A8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BB8A41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57CD9C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1BBA10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5379120E"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3ED3FF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Suzuki (2020)</w:t>
            </w:r>
            <w:r w:rsidRPr="007D7059">
              <w:rPr>
                <w:rFonts w:cs="Calibri"/>
                <w:color w:val="000000"/>
                <w:sz w:val="18"/>
                <w:szCs w:val="18"/>
                <w:vertAlign w:val="superscript"/>
                <w:lang w:val="en-US"/>
              </w:rPr>
              <w:t>141</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FBCC7A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843CCA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C0ECFB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F42E63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4876E5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AA060E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5B1AC2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C26E74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84749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2CD4307E"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6773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Takahashi (2017)</w:t>
            </w:r>
            <w:r w:rsidRPr="007D7059">
              <w:rPr>
                <w:rFonts w:cs="Calibri"/>
                <w:color w:val="000000"/>
                <w:sz w:val="18"/>
                <w:szCs w:val="18"/>
                <w:vertAlign w:val="superscript"/>
                <w:lang w:val="en-US"/>
              </w:rPr>
              <w:t>142</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108EB9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E432C4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20604D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BF3C29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17D97B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A331FE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65CA10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A99C8B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8B6833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1DA62132"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551A0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Tanaka (2015)</w:t>
            </w:r>
            <w:r w:rsidRPr="007D7059">
              <w:rPr>
                <w:rFonts w:cs="Calibri"/>
                <w:color w:val="000000"/>
                <w:sz w:val="18"/>
                <w:szCs w:val="18"/>
                <w:vertAlign w:val="superscript"/>
                <w:lang w:val="en-US"/>
              </w:rPr>
              <w:t>143</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2D3761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5667FD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8431E0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1E3612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B13365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B18764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47E778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2BB776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CE0F86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4F1E6F6E"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54413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Tolefac (2018)</w:t>
            </w:r>
            <w:r w:rsidRPr="007D7059">
              <w:rPr>
                <w:rFonts w:cs="Calibri"/>
                <w:color w:val="000000"/>
                <w:sz w:val="18"/>
                <w:szCs w:val="18"/>
                <w:vertAlign w:val="superscript"/>
                <w:lang w:val="en-US"/>
              </w:rPr>
              <w:t>144</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056FB2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3EED48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C5BF71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F23107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F3C4AC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70E679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EA848B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78FA9E4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196BEB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226C7CE6"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A5B4B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Tolera (2018)</w:t>
            </w:r>
            <w:r w:rsidRPr="007D7059">
              <w:rPr>
                <w:rFonts w:cs="Calibri"/>
                <w:color w:val="000000"/>
                <w:sz w:val="18"/>
                <w:szCs w:val="18"/>
                <w:vertAlign w:val="superscript"/>
                <w:lang w:val="en-US"/>
              </w:rPr>
              <w:t>145</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9129D9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A34337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FA67FD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1835CB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78954E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A8B6CD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1DAB00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D9E9F3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4E785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6A9A2EB3"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0059B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Tran (2020)</w:t>
            </w:r>
            <w:r w:rsidRPr="007D7059">
              <w:rPr>
                <w:rFonts w:cs="Calibri"/>
                <w:color w:val="000000"/>
                <w:sz w:val="18"/>
                <w:szCs w:val="18"/>
                <w:vertAlign w:val="superscript"/>
                <w:lang w:val="en-US"/>
              </w:rPr>
              <w:t>146</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37EE3B4"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5F22D8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6C99CA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F8AF81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15BC91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93E6F8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B49E87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D67BCD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FC4C3D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6A4CC39F"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FE855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Tripathy (2018)</w:t>
            </w:r>
            <w:r w:rsidRPr="007D7059">
              <w:rPr>
                <w:rFonts w:cs="Calibri"/>
                <w:color w:val="000000"/>
                <w:sz w:val="18"/>
                <w:szCs w:val="18"/>
                <w:vertAlign w:val="superscript"/>
                <w:lang w:val="en-US"/>
              </w:rPr>
              <w:t>147</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A4DF4D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5BB658E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D7CB73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48D55A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D1CBD9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2A136D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DC1EE2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3D97D3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A6AD21"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70E9BF97"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DF9958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Troja (2015)</w:t>
            </w:r>
            <w:r w:rsidRPr="007D7059">
              <w:rPr>
                <w:rFonts w:cs="Calibri"/>
                <w:color w:val="000000"/>
                <w:sz w:val="18"/>
                <w:szCs w:val="18"/>
                <w:vertAlign w:val="superscript"/>
                <w:lang w:val="en-US"/>
              </w:rPr>
              <w:t>148</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AEA7C6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0B2D71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7F1F06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7A1A7D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FAFE06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941BE3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A2A3CB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168D77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E1E713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r w:rsidR="00384BC8" w:rsidRPr="007D7059" w14:paraId="7A75DE64"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7ECA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Tskhay (2016)</w:t>
            </w:r>
            <w:r w:rsidRPr="007D7059">
              <w:rPr>
                <w:rFonts w:cs="Calibri"/>
                <w:color w:val="000000"/>
                <w:sz w:val="18"/>
                <w:szCs w:val="18"/>
                <w:vertAlign w:val="superscript"/>
                <w:lang w:val="en-US"/>
              </w:rPr>
              <w:t>149</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7EFAD8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0E1A1A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B02B2A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18D3CC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260DB3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8C750D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174D28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9BD1BA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6DB69C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50ED2E53"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6E1A02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Vanden Eede (2018)</w:t>
            </w:r>
            <w:r w:rsidRPr="007D7059">
              <w:rPr>
                <w:rFonts w:cs="Calibri"/>
                <w:color w:val="000000"/>
                <w:sz w:val="18"/>
                <w:szCs w:val="18"/>
                <w:vertAlign w:val="superscript"/>
                <w:lang w:val="en-US"/>
              </w:rPr>
              <w:t>150</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8C9114A"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04A9350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A640BA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B201C20"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9E3C74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260A57D"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00B99D2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BCFAF6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989A78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22D4EAAC"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617142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Whitehead (2015)</w:t>
            </w:r>
            <w:r w:rsidRPr="007D7059">
              <w:rPr>
                <w:rFonts w:cs="Calibri"/>
                <w:color w:val="000000"/>
                <w:sz w:val="18"/>
                <w:szCs w:val="18"/>
                <w:vertAlign w:val="superscript"/>
                <w:lang w:val="en-US"/>
              </w:rPr>
              <w:t>151</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E6CC22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1D6155E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A28F21B"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4FDCCD5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4BDC8FC"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5FD4519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6F4B438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356B8AC9"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9B7FF9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Moderate</w:t>
            </w:r>
          </w:p>
        </w:tc>
      </w:tr>
      <w:tr w:rsidR="00384BC8" w:rsidRPr="007D7059" w14:paraId="2D6B6F4F" w14:textId="77777777" w:rsidTr="00C67097">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B7F8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Zhang (2019)</w:t>
            </w:r>
            <w:r w:rsidRPr="007D7059">
              <w:rPr>
                <w:rFonts w:cs="Calibri"/>
                <w:color w:val="000000"/>
                <w:sz w:val="18"/>
                <w:szCs w:val="18"/>
                <w:vertAlign w:val="superscript"/>
                <w:lang w:val="en-US"/>
              </w:rPr>
              <w:t>152</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4E9957D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6BCB59C6"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33FE123"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74ACDE3E"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26D6EB55"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1E0EEAA2"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FFEF9C"/>
            <w:vAlign w:val="bottom"/>
          </w:tcPr>
          <w:p w14:paraId="3D4BF8A8"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bottom"/>
          </w:tcPr>
          <w:p w14:paraId="268F1A87"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F96A2F" w14:textId="77777777" w:rsidR="00384BC8" w:rsidRPr="007D7059" w:rsidRDefault="00384BC8" w:rsidP="00C67097">
            <w:pPr>
              <w:rPr>
                <w:rFonts w:cs="Calibri"/>
                <w:color w:val="000000"/>
                <w:sz w:val="18"/>
                <w:szCs w:val="18"/>
                <w:lang w:val="en-US"/>
              </w:rPr>
            </w:pPr>
            <w:r w:rsidRPr="007D7059">
              <w:rPr>
                <w:rFonts w:cs="Calibri"/>
                <w:color w:val="000000"/>
                <w:sz w:val="18"/>
                <w:szCs w:val="18"/>
                <w:lang w:val="en-US"/>
              </w:rPr>
              <w:t>Low</w:t>
            </w:r>
          </w:p>
        </w:tc>
      </w:tr>
    </w:tbl>
    <w:p w14:paraId="0D99E233" w14:textId="77777777" w:rsidR="00384BC8" w:rsidRPr="007D7059" w:rsidRDefault="00384BC8" w:rsidP="00384BC8">
      <w:pPr>
        <w:rPr>
          <w:color w:val="000000"/>
        </w:rPr>
      </w:pPr>
    </w:p>
    <w:p w14:paraId="6F5681E5" w14:textId="2D838E88" w:rsidR="00384BC8" w:rsidRPr="007D7059" w:rsidRDefault="00384BC8">
      <w:pPr>
        <w:rPr>
          <w:color w:val="000000"/>
        </w:rPr>
      </w:pPr>
      <w:r w:rsidRPr="007D7059">
        <w:rPr>
          <w:color w:val="000000"/>
        </w:rPr>
        <w:br w:type="page"/>
      </w:r>
    </w:p>
    <w:p w14:paraId="36C77A08" w14:textId="77777777" w:rsidR="006F1C52" w:rsidRPr="007D7059" w:rsidRDefault="006F1C52" w:rsidP="006F1C52">
      <w:pPr>
        <w:pStyle w:val="Heading1"/>
        <w:rPr>
          <w:color w:val="000000"/>
        </w:rPr>
      </w:pPr>
      <w:bookmarkStart w:id="1" w:name="_Ref118545505"/>
      <w:r w:rsidRPr="007D7059">
        <w:rPr>
          <w:color w:val="000000"/>
        </w:rPr>
        <w:lastRenderedPageBreak/>
        <w:t>Appendix S3 – Quality Assessment of Included Case Series</w:t>
      </w:r>
      <w:bookmarkEnd w:id="1"/>
    </w:p>
    <w:tbl>
      <w:tblPr>
        <w:tblStyle w:val="TableGrid"/>
        <w:tblW w:w="5000" w:type="pct"/>
        <w:tblLook w:val="04A0" w:firstRow="1" w:lastRow="0" w:firstColumn="1" w:lastColumn="0" w:noHBand="0" w:noVBand="1"/>
      </w:tblPr>
      <w:tblGrid>
        <w:gridCol w:w="902"/>
        <w:gridCol w:w="841"/>
        <w:gridCol w:w="1045"/>
        <w:gridCol w:w="1149"/>
        <w:gridCol w:w="1125"/>
        <w:gridCol w:w="1125"/>
        <w:gridCol w:w="1219"/>
        <w:gridCol w:w="1125"/>
        <w:gridCol w:w="950"/>
        <w:gridCol w:w="1284"/>
        <w:gridCol w:w="1143"/>
        <w:gridCol w:w="1042"/>
      </w:tblGrid>
      <w:tr w:rsidR="006F1C52" w:rsidRPr="007D7059" w14:paraId="67C4972D" w14:textId="77777777" w:rsidTr="00C67097">
        <w:tc>
          <w:tcPr>
            <w:tcW w:w="376" w:type="pct"/>
            <w:tcBorders>
              <w:bottom w:val="single" w:sz="4" w:space="0" w:color="auto"/>
            </w:tcBorders>
            <w:shd w:val="clear" w:color="auto" w:fill="85312F"/>
          </w:tcPr>
          <w:p w14:paraId="1DA15D8D" w14:textId="77777777" w:rsidR="006F1C52" w:rsidRPr="007D7059" w:rsidRDefault="006F1C52" w:rsidP="00C67097">
            <w:pPr>
              <w:textAlignment w:val="baseline"/>
              <w:rPr>
                <w:rFonts w:cs="Calibri"/>
                <w:color w:val="000000"/>
                <w:sz w:val="18"/>
                <w:szCs w:val="18"/>
                <w:lang w:val="en-US" w:eastAsia="en-CA"/>
              </w:rPr>
            </w:pPr>
            <w:r w:rsidRPr="007D7059">
              <w:rPr>
                <w:rFonts w:cs="Calibri"/>
                <w:color w:val="000000"/>
                <w:sz w:val="18"/>
                <w:szCs w:val="18"/>
                <w:lang w:val="en-US" w:eastAsia="en-CA"/>
              </w:rPr>
              <w:t>Author (Year)</w:t>
            </w:r>
          </w:p>
        </w:tc>
        <w:tc>
          <w:tcPr>
            <w:tcW w:w="322" w:type="pct"/>
            <w:tcBorders>
              <w:bottom w:val="single" w:sz="4" w:space="0" w:color="auto"/>
            </w:tcBorders>
            <w:shd w:val="clear" w:color="auto" w:fill="85312F"/>
          </w:tcPr>
          <w:p w14:paraId="528E9921" w14:textId="77777777" w:rsidR="006F1C52" w:rsidRPr="007D7059" w:rsidRDefault="006F1C52" w:rsidP="00C67097">
            <w:pPr>
              <w:pStyle w:val="NormalWeb"/>
              <w:textAlignment w:val="baseline"/>
              <w:rPr>
                <w:rFonts w:ascii="Calibri" w:hAnsi="Calibri" w:cs="Calibri"/>
                <w:color w:val="000000"/>
                <w:sz w:val="18"/>
                <w:szCs w:val="18"/>
                <w:lang w:val="en-US" w:eastAsia="en-CA"/>
              </w:rPr>
            </w:pPr>
            <w:r w:rsidRPr="007D7059">
              <w:rPr>
                <w:rFonts w:ascii="Calibri" w:hAnsi="Calibri" w:cs="Calibri"/>
                <w:color w:val="000000"/>
                <w:sz w:val="18"/>
                <w:szCs w:val="18"/>
                <w:lang w:val="en-US" w:eastAsia="en-CA"/>
              </w:rPr>
              <w:t>Were There Clear Criteria for Inclusion in the Case Series?</w:t>
            </w:r>
          </w:p>
        </w:tc>
        <w:tc>
          <w:tcPr>
            <w:tcW w:w="406" w:type="pct"/>
            <w:tcBorders>
              <w:bottom w:val="single" w:sz="4" w:space="0" w:color="auto"/>
            </w:tcBorders>
            <w:shd w:val="clear" w:color="auto" w:fill="85312F"/>
          </w:tcPr>
          <w:p w14:paraId="43955597" w14:textId="77777777" w:rsidR="006F1C52" w:rsidRPr="007D7059" w:rsidRDefault="006F1C52" w:rsidP="00C67097">
            <w:pPr>
              <w:pStyle w:val="NormalWeb"/>
              <w:textAlignment w:val="baseline"/>
              <w:rPr>
                <w:rFonts w:ascii="Calibri" w:hAnsi="Calibri" w:cs="Calibri"/>
                <w:color w:val="000000"/>
                <w:sz w:val="18"/>
                <w:szCs w:val="18"/>
                <w:lang w:val="en-US" w:eastAsia="en-CA"/>
              </w:rPr>
            </w:pPr>
            <w:r w:rsidRPr="007D7059">
              <w:rPr>
                <w:rFonts w:ascii="Calibri" w:hAnsi="Calibri" w:cs="Calibri"/>
                <w:color w:val="000000"/>
                <w:sz w:val="18"/>
                <w:szCs w:val="18"/>
                <w:lang w:val="en-US" w:eastAsia="en-CA"/>
              </w:rPr>
              <w:t>Was the Condition Measured in a Standard, Reliable Way for all Participants Included in the Case Series?</w:t>
            </w:r>
          </w:p>
        </w:tc>
        <w:tc>
          <w:tcPr>
            <w:tcW w:w="445" w:type="pct"/>
            <w:tcBorders>
              <w:bottom w:val="single" w:sz="4" w:space="0" w:color="auto"/>
            </w:tcBorders>
            <w:shd w:val="clear" w:color="auto" w:fill="85312F"/>
          </w:tcPr>
          <w:p w14:paraId="53014A16" w14:textId="77777777" w:rsidR="006F1C52" w:rsidRPr="007D7059" w:rsidRDefault="006F1C52" w:rsidP="00C67097">
            <w:pPr>
              <w:pStyle w:val="NormalWeb"/>
              <w:textAlignment w:val="baseline"/>
              <w:rPr>
                <w:rFonts w:ascii="Calibri" w:hAnsi="Calibri" w:cs="Calibri"/>
                <w:color w:val="000000"/>
                <w:sz w:val="18"/>
                <w:szCs w:val="18"/>
                <w:lang w:val="en-US" w:eastAsia="en-CA"/>
              </w:rPr>
            </w:pPr>
            <w:r w:rsidRPr="007D7059">
              <w:rPr>
                <w:rFonts w:ascii="Calibri" w:hAnsi="Calibri" w:cs="Calibri"/>
                <w:color w:val="000000"/>
                <w:sz w:val="18"/>
                <w:szCs w:val="18"/>
                <w:lang w:val="en-US" w:eastAsia="en-CA"/>
              </w:rPr>
              <w:t>Were Valid Methods Used for Identification of the Condition for All Participants Included in the Case? Series?</w:t>
            </w:r>
          </w:p>
        </w:tc>
        <w:tc>
          <w:tcPr>
            <w:tcW w:w="438" w:type="pct"/>
            <w:tcBorders>
              <w:bottom w:val="single" w:sz="4" w:space="0" w:color="auto"/>
            </w:tcBorders>
            <w:shd w:val="clear" w:color="auto" w:fill="85312F"/>
          </w:tcPr>
          <w:p w14:paraId="73840BBA" w14:textId="77777777" w:rsidR="006F1C52" w:rsidRPr="007D7059" w:rsidRDefault="006F1C52" w:rsidP="00C67097">
            <w:pPr>
              <w:pStyle w:val="NormalWeb"/>
              <w:textAlignment w:val="baseline"/>
              <w:rPr>
                <w:rFonts w:ascii="Calibri" w:hAnsi="Calibri" w:cs="Calibri"/>
                <w:color w:val="000000"/>
                <w:sz w:val="18"/>
                <w:szCs w:val="18"/>
                <w:lang w:val="en-US" w:eastAsia="en-CA"/>
              </w:rPr>
            </w:pPr>
            <w:r w:rsidRPr="007D7059">
              <w:rPr>
                <w:rFonts w:ascii="Calibri" w:hAnsi="Calibri" w:cs="Calibri"/>
                <w:color w:val="000000"/>
                <w:sz w:val="18"/>
                <w:szCs w:val="18"/>
                <w:lang w:val="en-US" w:eastAsia="en-CA"/>
              </w:rPr>
              <w:t>Did the Case Series Have Consecutive Inclusion of Participants?</w:t>
            </w:r>
          </w:p>
        </w:tc>
        <w:tc>
          <w:tcPr>
            <w:tcW w:w="438" w:type="pct"/>
            <w:tcBorders>
              <w:bottom w:val="single" w:sz="4" w:space="0" w:color="auto"/>
            </w:tcBorders>
            <w:shd w:val="clear" w:color="auto" w:fill="85312F"/>
          </w:tcPr>
          <w:p w14:paraId="2BC2C154" w14:textId="77777777" w:rsidR="006F1C52" w:rsidRPr="007D7059" w:rsidRDefault="006F1C52" w:rsidP="00C67097">
            <w:pPr>
              <w:pStyle w:val="NormalWeb"/>
              <w:textAlignment w:val="baseline"/>
              <w:rPr>
                <w:rFonts w:ascii="Calibri" w:hAnsi="Calibri" w:cs="Calibri"/>
                <w:color w:val="000000"/>
                <w:sz w:val="18"/>
                <w:szCs w:val="18"/>
                <w:lang w:val="en-US" w:eastAsia="en-CA"/>
              </w:rPr>
            </w:pPr>
            <w:r w:rsidRPr="007D7059">
              <w:rPr>
                <w:rFonts w:ascii="Calibri" w:hAnsi="Calibri" w:cs="Calibri"/>
                <w:color w:val="000000"/>
                <w:sz w:val="18"/>
                <w:szCs w:val="18"/>
                <w:lang w:val="en-US" w:eastAsia="en-CA"/>
              </w:rPr>
              <w:t>Did the Case Series Have Complete Inclusion of Participants?</w:t>
            </w:r>
          </w:p>
        </w:tc>
        <w:tc>
          <w:tcPr>
            <w:tcW w:w="469" w:type="pct"/>
            <w:tcBorders>
              <w:bottom w:val="single" w:sz="4" w:space="0" w:color="auto"/>
            </w:tcBorders>
            <w:shd w:val="clear" w:color="auto" w:fill="85312F"/>
          </w:tcPr>
          <w:p w14:paraId="697F7693" w14:textId="77777777" w:rsidR="006F1C52" w:rsidRPr="007D7059" w:rsidRDefault="006F1C52" w:rsidP="00C67097">
            <w:pPr>
              <w:textAlignment w:val="baseline"/>
              <w:rPr>
                <w:rFonts w:cs="Calibri"/>
                <w:color w:val="000000"/>
                <w:sz w:val="18"/>
                <w:szCs w:val="18"/>
                <w:lang w:val="en-US" w:eastAsia="en-CA"/>
              </w:rPr>
            </w:pPr>
            <w:r w:rsidRPr="007D7059">
              <w:rPr>
                <w:rFonts w:cs="Calibri"/>
                <w:color w:val="000000"/>
                <w:sz w:val="18"/>
                <w:szCs w:val="18"/>
                <w:lang w:val="en-US" w:eastAsia="en-CA"/>
              </w:rPr>
              <w:t>Was There Clear Reporting of the Demographics of the Participants in the Study?</w:t>
            </w:r>
          </w:p>
        </w:tc>
        <w:tc>
          <w:tcPr>
            <w:tcW w:w="438" w:type="pct"/>
            <w:tcBorders>
              <w:bottom w:val="single" w:sz="4" w:space="0" w:color="auto"/>
            </w:tcBorders>
            <w:shd w:val="clear" w:color="auto" w:fill="85312F"/>
          </w:tcPr>
          <w:p w14:paraId="59F4D50B" w14:textId="77777777" w:rsidR="006F1C52" w:rsidRPr="007D7059" w:rsidRDefault="006F1C52" w:rsidP="00C67097">
            <w:pPr>
              <w:textAlignment w:val="baseline"/>
              <w:rPr>
                <w:rFonts w:cs="Calibri"/>
                <w:color w:val="000000"/>
                <w:sz w:val="18"/>
                <w:szCs w:val="18"/>
                <w:lang w:val="en-US" w:eastAsia="en-CA"/>
              </w:rPr>
            </w:pPr>
            <w:r w:rsidRPr="007D7059">
              <w:rPr>
                <w:rFonts w:cs="Calibri"/>
                <w:color w:val="000000"/>
                <w:sz w:val="18"/>
                <w:szCs w:val="18"/>
                <w:lang w:val="en-US" w:eastAsia="en-CA"/>
              </w:rPr>
              <w:t>Was There Clear Reporting of Clinical Information of the Participants?</w:t>
            </w:r>
          </w:p>
        </w:tc>
        <w:tc>
          <w:tcPr>
            <w:tcW w:w="354" w:type="pct"/>
            <w:tcBorders>
              <w:bottom w:val="single" w:sz="4" w:space="0" w:color="auto"/>
            </w:tcBorders>
            <w:shd w:val="clear" w:color="auto" w:fill="85312F"/>
          </w:tcPr>
          <w:p w14:paraId="209DF990" w14:textId="77777777" w:rsidR="006F1C52" w:rsidRPr="007D7059" w:rsidRDefault="006F1C52" w:rsidP="00C67097">
            <w:pPr>
              <w:textAlignment w:val="baseline"/>
              <w:rPr>
                <w:rFonts w:cs="Calibri"/>
                <w:color w:val="000000"/>
                <w:sz w:val="18"/>
                <w:szCs w:val="18"/>
                <w:lang w:val="en-US" w:eastAsia="en-CA"/>
              </w:rPr>
            </w:pPr>
            <w:r w:rsidRPr="007D7059">
              <w:rPr>
                <w:rFonts w:cs="Calibri"/>
                <w:color w:val="000000"/>
                <w:sz w:val="18"/>
                <w:szCs w:val="18"/>
                <w:lang w:val="en-US" w:eastAsia="en-CA"/>
              </w:rPr>
              <w:t>Were the Outcomes or Follow- up Results of Cases Clearly Reported?</w:t>
            </w:r>
          </w:p>
        </w:tc>
        <w:tc>
          <w:tcPr>
            <w:tcW w:w="479" w:type="pct"/>
            <w:tcBorders>
              <w:bottom w:val="single" w:sz="4" w:space="0" w:color="auto"/>
            </w:tcBorders>
            <w:shd w:val="clear" w:color="auto" w:fill="85312F"/>
          </w:tcPr>
          <w:p w14:paraId="677BD8BC" w14:textId="77777777" w:rsidR="006F1C52" w:rsidRPr="007D7059" w:rsidRDefault="006F1C52" w:rsidP="00C67097">
            <w:pPr>
              <w:textAlignment w:val="baseline"/>
              <w:rPr>
                <w:rFonts w:cs="Calibri"/>
                <w:color w:val="000000"/>
                <w:sz w:val="18"/>
                <w:szCs w:val="18"/>
                <w:lang w:val="en-US" w:eastAsia="en-CA"/>
              </w:rPr>
            </w:pPr>
            <w:r w:rsidRPr="007D7059">
              <w:rPr>
                <w:rFonts w:cs="Calibri"/>
                <w:color w:val="000000"/>
                <w:sz w:val="18"/>
                <w:szCs w:val="18"/>
                <w:lang w:val="en-US" w:eastAsia="en-CA"/>
              </w:rPr>
              <w:t>Was There Clear Reporting of the Presenting Site(S)/Clinic(S) Demographic Information?</w:t>
            </w:r>
          </w:p>
        </w:tc>
        <w:tc>
          <w:tcPr>
            <w:tcW w:w="437" w:type="pct"/>
            <w:tcBorders>
              <w:bottom w:val="single" w:sz="4" w:space="0" w:color="auto"/>
            </w:tcBorders>
            <w:shd w:val="clear" w:color="auto" w:fill="85312F"/>
          </w:tcPr>
          <w:p w14:paraId="153692D2" w14:textId="77777777" w:rsidR="006F1C52" w:rsidRPr="007D7059" w:rsidRDefault="006F1C52" w:rsidP="00C67097">
            <w:pPr>
              <w:textAlignment w:val="baseline"/>
              <w:rPr>
                <w:rFonts w:cs="Calibri"/>
                <w:color w:val="000000"/>
                <w:sz w:val="18"/>
                <w:szCs w:val="18"/>
                <w:lang w:val="en-US" w:eastAsia="en-CA"/>
              </w:rPr>
            </w:pPr>
            <w:r w:rsidRPr="007D7059">
              <w:rPr>
                <w:rFonts w:cs="Calibri"/>
                <w:color w:val="000000"/>
                <w:sz w:val="18"/>
                <w:szCs w:val="18"/>
                <w:lang w:val="en-US" w:eastAsia="en-CA"/>
              </w:rPr>
              <w:t>Was Statistical Analysis Appropriate?</w:t>
            </w:r>
          </w:p>
        </w:tc>
        <w:tc>
          <w:tcPr>
            <w:tcW w:w="397" w:type="pct"/>
            <w:tcBorders>
              <w:bottom w:val="single" w:sz="4" w:space="0" w:color="auto"/>
            </w:tcBorders>
            <w:shd w:val="clear" w:color="auto" w:fill="85312F"/>
          </w:tcPr>
          <w:p w14:paraId="69AB32B1" w14:textId="77777777" w:rsidR="006F1C52" w:rsidRPr="007D7059" w:rsidRDefault="006F1C52" w:rsidP="00C67097">
            <w:pPr>
              <w:textAlignment w:val="baseline"/>
              <w:rPr>
                <w:rFonts w:cs="Calibri"/>
                <w:color w:val="000000"/>
                <w:sz w:val="18"/>
                <w:szCs w:val="18"/>
                <w:lang w:val="en-US" w:eastAsia="en-CA"/>
              </w:rPr>
            </w:pPr>
            <w:r w:rsidRPr="007D7059">
              <w:rPr>
                <w:rFonts w:cs="Calibri"/>
                <w:color w:val="000000"/>
                <w:sz w:val="18"/>
                <w:szCs w:val="18"/>
                <w:lang w:val="en-US" w:eastAsia="en-CA"/>
              </w:rPr>
              <w:t>Final Quality Assessment</w:t>
            </w:r>
          </w:p>
        </w:tc>
      </w:tr>
      <w:tr w:rsidR="006F1C52" w:rsidRPr="007D7059" w14:paraId="208ED177" w14:textId="77777777" w:rsidTr="00C67097">
        <w:tc>
          <w:tcPr>
            <w:tcW w:w="376" w:type="pct"/>
            <w:tcBorders>
              <w:top w:val="single" w:sz="4" w:space="0" w:color="auto"/>
              <w:left w:val="single" w:sz="4" w:space="0" w:color="auto"/>
              <w:bottom w:val="single" w:sz="4" w:space="0" w:color="auto"/>
              <w:right w:val="single" w:sz="4" w:space="0" w:color="auto"/>
            </w:tcBorders>
            <w:shd w:val="clear" w:color="auto" w:fill="auto"/>
            <w:vAlign w:val="bottom"/>
          </w:tcPr>
          <w:p w14:paraId="7BE8823E" w14:textId="77777777" w:rsidR="006F1C52" w:rsidRPr="007D7059" w:rsidRDefault="006F1C52" w:rsidP="00C67097">
            <w:pPr>
              <w:rPr>
                <w:color w:val="000000"/>
                <w:sz w:val="18"/>
                <w:szCs w:val="18"/>
                <w:lang w:val="en-US"/>
              </w:rPr>
            </w:pPr>
            <w:r w:rsidRPr="007D7059">
              <w:rPr>
                <w:rFonts w:cs="Calibri"/>
                <w:color w:val="000000"/>
                <w:sz w:val="18"/>
                <w:szCs w:val="18"/>
                <w:lang w:val="en-US"/>
              </w:rPr>
              <w:t>Kanonge (2018)</w:t>
            </w:r>
            <w:r w:rsidRPr="007D7059">
              <w:rPr>
                <w:rFonts w:cs="Calibri"/>
                <w:color w:val="000000"/>
                <w:sz w:val="18"/>
                <w:szCs w:val="18"/>
                <w:vertAlign w:val="superscript"/>
                <w:lang w:val="en-US"/>
              </w:rPr>
              <w:t>97</w:t>
            </w:r>
          </w:p>
        </w:tc>
        <w:tc>
          <w:tcPr>
            <w:tcW w:w="322" w:type="pct"/>
            <w:tcBorders>
              <w:top w:val="single" w:sz="4" w:space="0" w:color="auto"/>
              <w:left w:val="single" w:sz="4" w:space="0" w:color="auto"/>
              <w:bottom w:val="single" w:sz="4" w:space="0" w:color="auto"/>
              <w:right w:val="single" w:sz="4" w:space="0" w:color="auto"/>
            </w:tcBorders>
            <w:shd w:val="clear" w:color="000000" w:fill="FFEF9C"/>
            <w:vAlign w:val="bottom"/>
          </w:tcPr>
          <w:p w14:paraId="21D9901E" w14:textId="77777777" w:rsidR="006F1C52" w:rsidRPr="007D7059" w:rsidRDefault="006F1C52" w:rsidP="00C67097">
            <w:pPr>
              <w:rPr>
                <w:color w:val="000000"/>
                <w:sz w:val="18"/>
                <w:szCs w:val="18"/>
                <w:lang w:val="en-US"/>
              </w:rPr>
            </w:pPr>
            <w:r w:rsidRPr="007D7059">
              <w:rPr>
                <w:rFonts w:cs="Calibri"/>
                <w:color w:val="000000"/>
                <w:sz w:val="18"/>
                <w:szCs w:val="18"/>
                <w:lang w:val="en-US"/>
              </w:rPr>
              <w:t>No</w:t>
            </w:r>
          </w:p>
        </w:tc>
        <w:tc>
          <w:tcPr>
            <w:tcW w:w="406" w:type="pct"/>
            <w:tcBorders>
              <w:top w:val="single" w:sz="4" w:space="0" w:color="auto"/>
              <w:left w:val="single" w:sz="4" w:space="0" w:color="auto"/>
              <w:bottom w:val="single" w:sz="4" w:space="0" w:color="auto"/>
              <w:right w:val="single" w:sz="4" w:space="0" w:color="auto"/>
            </w:tcBorders>
            <w:shd w:val="clear" w:color="000000" w:fill="FFEF9C"/>
            <w:vAlign w:val="bottom"/>
          </w:tcPr>
          <w:p w14:paraId="327A91A9" w14:textId="77777777" w:rsidR="006F1C52" w:rsidRPr="007D7059" w:rsidRDefault="006F1C52" w:rsidP="00C67097">
            <w:pPr>
              <w:rPr>
                <w:color w:val="000000"/>
                <w:sz w:val="18"/>
                <w:szCs w:val="18"/>
                <w:lang w:val="en-US"/>
              </w:rPr>
            </w:pPr>
            <w:r w:rsidRPr="007D7059">
              <w:rPr>
                <w:rFonts w:cs="Calibri"/>
                <w:color w:val="000000"/>
                <w:sz w:val="18"/>
                <w:szCs w:val="18"/>
                <w:lang w:val="en-US"/>
              </w:rPr>
              <w:t>No</w:t>
            </w:r>
          </w:p>
        </w:tc>
        <w:tc>
          <w:tcPr>
            <w:tcW w:w="445" w:type="pct"/>
            <w:tcBorders>
              <w:top w:val="single" w:sz="4" w:space="0" w:color="auto"/>
              <w:left w:val="single" w:sz="4" w:space="0" w:color="auto"/>
              <w:bottom w:val="single" w:sz="4" w:space="0" w:color="auto"/>
              <w:right w:val="single" w:sz="4" w:space="0" w:color="auto"/>
            </w:tcBorders>
            <w:shd w:val="clear" w:color="000000" w:fill="63BE7B"/>
            <w:vAlign w:val="bottom"/>
          </w:tcPr>
          <w:p w14:paraId="2332D42B" w14:textId="77777777" w:rsidR="006F1C52" w:rsidRPr="007D7059" w:rsidRDefault="006F1C52" w:rsidP="00C67097">
            <w:pPr>
              <w:rPr>
                <w:color w:val="000000"/>
                <w:sz w:val="18"/>
                <w:szCs w:val="18"/>
                <w:lang w:val="en-US"/>
              </w:rPr>
            </w:pPr>
            <w:r w:rsidRPr="007D7059">
              <w:rPr>
                <w:rFonts w:cs="Calibri"/>
                <w:color w:val="000000"/>
                <w:sz w:val="18"/>
                <w:szCs w:val="18"/>
                <w:lang w:val="en-US"/>
              </w:rPr>
              <w:t>Yes</w:t>
            </w:r>
          </w:p>
        </w:tc>
        <w:tc>
          <w:tcPr>
            <w:tcW w:w="438" w:type="pct"/>
            <w:tcBorders>
              <w:top w:val="single" w:sz="4" w:space="0" w:color="auto"/>
              <w:left w:val="single" w:sz="4" w:space="0" w:color="auto"/>
              <w:bottom w:val="single" w:sz="4" w:space="0" w:color="auto"/>
              <w:right w:val="single" w:sz="4" w:space="0" w:color="auto"/>
            </w:tcBorders>
            <w:shd w:val="clear" w:color="000000" w:fill="FFEF9C"/>
            <w:vAlign w:val="bottom"/>
          </w:tcPr>
          <w:p w14:paraId="70022BF1" w14:textId="77777777" w:rsidR="006F1C52" w:rsidRPr="007D7059" w:rsidRDefault="006F1C52" w:rsidP="00C67097">
            <w:pPr>
              <w:rPr>
                <w:color w:val="000000"/>
                <w:sz w:val="18"/>
                <w:szCs w:val="18"/>
                <w:lang w:val="en-US"/>
              </w:rPr>
            </w:pPr>
            <w:r w:rsidRPr="007D7059">
              <w:rPr>
                <w:rFonts w:cs="Calibri"/>
                <w:color w:val="000000"/>
                <w:sz w:val="18"/>
                <w:szCs w:val="18"/>
                <w:lang w:val="en-US"/>
              </w:rPr>
              <w:t>No</w:t>
            </w:r>
          </w:p>
        </w:tc>
        <w:tc>
          <w:tcPr>
            <w:tcW w:w="438" w:type="pct"/>
            <w:tcBorders>
              <w:top w:val="single" w:sz="4" w:space="0" w:color="auto"/>
              <w:left w:val="single" w:sz="4" w:space="0" w:color="auto"/>
              <w:bottom w:val="single" w:sz="4" w:space="0" w:color="auto"/>
              <w:right w:val="single" w:sz="4" w:space="0" w:color="auto"/>
            </w:tcBorders>
            <w:shd w:val="clear" w:color="000000" w:fill="FFEF9C"/>
            <w:vAlign w:val="bottom"/>
          </w:tcPr>
          <w:p w14:paraId="1E5CB0D8" w14:textId="77777777" w:rsidR="006F1C52" w:rsidRPr="007D7059" w:rsidRDefault="006F1C52" w:rsidP="00C67097">
            <w:pPr>
              <w:rPr>
                <w:color w:val="000000"/>
                <w:sz w:val="18"/>
                <w:szCs w:val="18"/>
                <w:lang w:val="en-US"/>
              </w:rPr>
            </w:pPr>
            <w:r w:rsidRPr="007D7059">
              <w:rPr>
                <w:rFonts w:cs="Calibri"/>
                <w:color w:val="000000"/>
                <w:sz w:val="18"/>
                <w:szCs w:val="18"/>
                <w:lang w:val="en-US"/>
              </w:rPr>
              <w:t>No</w:t>
            </w:r>
          </w:p>
        </w:tc>
        <w:tc>
          <w:tcPr>
            <w:tcW w:w="469" w:type="pct"/>
            <w:tcBorders>
              <w:top w:val="single" w:sz="4" w:space="0" w:color="auto"/>
              <w:left w:val="single" w:sz="4" w:space="0" w:color="auto"/>
              <w:bottom w:val="single" w:sz="4" w:space="0" w:color="auto"/>
              <w:right w:val="single" w:sz="4" w:space="0" w:color="auto"/>
            </w:tcBorders>
            <w:shd w:val="clear" w:color="000000" w:fill="FFEF9C"/>
            <w:vAlign w:val="bottom"/>
          </w:tcPr>
          <w:p w14:paraId="64F8FE59" w14:textId="77777777" w:rsidR="006F1C52" w:rsidRPr="007D7059" w:rsidRDefault="006F1C52" w:rsidP="00C67097">
            <w:pPr>
              <w:rPr>
                <w:color w:val="000000"/>
                <w:sz w:val="18"/>
                <w:szCs w:val="18"/>
                <w:lang w:val="en-US"/>
              </w:rPr>
            </w:pPr>
            <w:r w:rsidRPr="007D7059">
              <w:rPr>
                <w:rFonts w:cs="Calibri"/>
                <w:color w:val="000000"/>
                <w:sz w:val="18"/>
                <w:szCs w:val="18"/>
                <w:lang w:val="en-US"/>
              </w:rPr>
              <w:t>No</w:t>
            </w:r>
          </w:p>
        </w:tc>
        <w:tc>
          <w:tcPr>
            <w:tcW w:w="438" w:type="pct"/>
            <w:tcBorders>
              <w:top w:val="single" w:sz="4" w:space="0" w:color="auto"/>
              <w:left w:val="single" w:sz="4" w:space="0" w:color="auto"/>
              <w:bottom w:val="single" w:sz="4" w:space="0" w:color="auto"/>
              <w:right w:val="single" w:sz="4" w:space="0" w:color="auto"/>
            </w:tcBorders>
            <w:shd w:val="clear" w:color="000000" w:fill="FFEF9C"/>
            <w:vAlign w:val="bottom"/>
          </w:tcPr>
          <w:p w14:paraId="3F4278CB" w14:textId="77777777" w:rsidR="006F1C52" w:rsidRPr="007D7059" w:rsidRDefault="006F1C52" w:rsidP="00C67097">
            <w:pPr>
              <w:rPr>
                <w:color w:val="000000"/>
                <w:sz w:val="18"/>
                <w:szCs w:val="18"/>
                <w:lang w:val="en-US"/>
              </w:rPr>
            </w:pPr>
            <w:r w:rsidRPr="007D7059">
              <w:rPr>
                <w:rFonts w:cs="Calibri"/>
                <w:color w:val="000000"/>
                <w:sz w:val="18"/>
                <w:szCs w:val="18"/>
                <w:lang w:val="en-US"/>
              </w:rPr>
              <w:t>No</w:t>
            </w:r>
          </w:p>
        </w:tc>
        <w:tc>
          <w:tcPr>
            <w:tcW w:w="354" w:type="pct"/>
            <w:tcBorders>
              <w:top w:val="single" w:sz="4" w:space="0" w:color="auto"/>
              <w:left w:val="single" w:sz="4" w:space="0" w:color="auto"/>
              <w:bottom w:val="single" w:sz="4" w:space="0" w:color="auto"/>
              <w:right w:val="single" w:sz="4" w:space="0" w:color="auto"/>
            </w:tcBorders>
            <w:shd w:val="clear" w:color="000000" w:fill="63BE7B"/>
            <w:vAlign w:val="bottom"/>
          </w:tcPr>
          <w:p w14:paraId="7420E320" w14:textId="77777777" w:rsidR="006F1C52" w:rsidRPr="007D7059" w:rsidRDefault="006F1C52" w:rsidP="00C67097">
            <w:pPr>
              <w:rPr>
                <w:color w:val="000000"/>
                <w:sz w:val="18"/>
                <w:szCs w:val="18"/>
                <w:lang w:val="en-US"/>
              </w:rPr>
            </w:pPr>
            <w:r w:rsidRPr="007D7059">
              <w:rPr>
                <w:rFonts w:cs="Calibri"/>
                <w:color w:val="000000"/>
                <w:sz w:val="18"/>
                <w:szCs w:val="18"/>
                <w:lang w:val="en-US"/>
              </w:rPr>
              <w:t>Yes</w:t>
            </w:r>
          </w:p>
        </w:tc>
        <w:tc>
          <w:tcPr>
            <w:tcW w:w="479" w:type="pct"/>
            <w:tcBorders>
              <w:top w:val="single" w:sz="4" w:space="0" w:color="auto"/>
              <w:left w:val="single" w:sz="4" w:space="0" w:color="auto"/>
              <w:bottom w:val="single" w:sz="4" w:space="0" w:color="auto"/>
              <w:right w:val="single" w:sz="4" w:space="0" w:color="auto"/>
            </w:tcBorders>
            <w:shd w:val="clear" w:color="000000" w:fill="FFEF9C"/>
            <w:vAlign w:val="bottom"/>
          </w:tcPr>
          <w:p w14:paraId="2CB64B98" w14:textId="77777777" w:rsidR="006F1C52" w:rsidRPr="007D7059" w:rsidRDefault="006F1C52" w:rsidP="00C67097">
            <w:pPr>
              <w:rPr>
                <w:color w:val="000000"/>
                <w:sz w:val="18"/>
                <w:szCs w:val="18"/>
                <w:lang w:val="en-US"/>
              </w:rPr>
            </w:pPr>
            <w:r w:rsidRPr="007D7059">
              <w:rPr>
                <w:rFonts w:cs="Calibri"/>
                <w:color w:val="000000"/>
                <w:sz w:val="18"/>
                <w:szCs w:val="18"/>
                <w:lang w:val="en-US"/>
              </w:rPr>
              <w:t>No</w:t>
            </w:r>
          </w:p>
        </w:tc>
        <w:tc>
          <w:tcPr>
            <w:tcW w:w="437" w:type="pct"/>
            <w:tcBorders>
              <w:top w:val="single" w:sz="4" w:space="0" w:color="auto"/>
              <w:left w:val="single" w:sz="4" w:space="0" w:color="auto"/>
              <w:bottom w:val="single" w:sz="4" w:space="0" w:color="auto"/>
              <w:right w:val="single" w:sz="4" w:space="0" w:color="auto"/>
            </w:tcBorders>
            <w:shd w:val="clear" w:color="000000" w:fill="FFEF9C"/>
            <w:vAlign w:val="bottom"/>
          </w:tcPr>
          <w:p w14:paraId="687EE18E" w14:textId="77777777" w:rsidR="006F1C52" w:rsidRPr="007D7059" w:rsidRDefault="006F1C52" w:rsidP="00C67097">
            <w:pPr>
              <w:rPr>
                <w:color w:val="000000"/>
                <w:sz w:val="18"/>
                <w:szCs w:val="18"/>
                <w:lang w:val="en-US"/>
              </w:rPr>
            </w:pPr>
            <w:r w:rsidRPr="007D7059">
              <w:rPr>
                <w:rFonts w:cs="Calibri"/>
                <w:color w:val="000000"/>
                <w:sz w:val="18"/>
                <w:szCs w:val="18"/>
                <w:lang w:val="en-US"/>
              </w:rPr>
              <w:t>No</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tcPr>
          <w:p w14:paraId="669FEE88" w14:textId="77777777" w:rsidR="006F1C52" w:rsidRPr="007D7059" w:rsidRDefault="006F1C52" w:rsidP="00C67097">
            <w:pPr>
              <w:rPr>
                <w:color w:val="000000"/>
                <w:sz w:val="18"/>
                <w:szCs w:val="18"/>
                <w:lang w:val="en-US"/>
              </w:rPr>
            </w:pPr>
            <w:r w:rsidRPr="007D7059">
              <w:rPr>
                <w:rFonts w:cs="Calibri"/>
                <w:color w:val="000000"/>
                <w:sz w:val="18"/>
                <w:szCs w:val="18"/>
                <w:lang w:val="en-US"/>
              </w:rPr>
              <w:t>Low</w:t>
            </w:r>
          </w:p>
        </w:tc>
      </w:tr>
      <w:tr w:rsidR="006F1C52" w:rsidRPr="007D7059" w14:paraId="348C967D" w14:textId="77777777" w:rsidTr="00C67097">
        <w:tc>
          <w:tcPr>
            <w:tcW w:w="376" w:type="pct"/>
            <w:tcBorders>
              <w:top w:val="single" w:sz="4" w:space="0" w:color="auto"/>
              <w:left w:val="single" w:sz="4" w:space="0" w:color="auto"/>
              <w:bottom w:val="single" w:sz="4" w:space="0" w:color="auto"/>
              <w:right w:val="single" w:sz="4" w:space="0" w:color="auto"/>
            </w:tcBorders>
            <w:shd w:val="clear" w:color="auto" w:fill="auto"/>
            <w:vAlign w:val="bottom"/>
          </w:tcPr>
          <w:p w14:paraId="220697F3" w14:textId="77777777" w:rsidR="006F1C52" w:rsidRPr="007D7059" w:rsidRDefault="006F1C52" w:rsidP="00C67097">
            <w:pPr>
              <w:rPr>
                <w:color w:val="000000"/>
                <w:sz w:val="18"/>
                <w:szCs w:val="18"/>
                <w:lang w:val="en-US"/>
              </w:rPr>
            </w:pPr>
            <w:r w:rsidRPr="007D7059">
              <w:rPr>
                <w:rFonts w:cs="Calibri"/>
                <w:color w:val="000000"/>
                <w:sz w:val="18"/>
                <w:szCs w:val="18"/>
                <w:lang w:val="en-US"/>
              </w:rPr>
              <w:t>Oliveira (2017)</w:t>
            </w:r>
            <w:r w:rsidRPr="007D7059">
              <w:rPr>
                <w:rFonts w:cs="Calibri"/>
                <w:color w:val="000000"/>
                <w:sz w:val="18"/>
                <w:szCs w:val="18"/>
                <w:vertAlign w:val="superscript"/>
                <w:lang w:val="en-US"/>
              </w:rPr>
              <w:t>128</w:t>
            </w:r>
          </w:p>
        </w:tc>
        <w:tc>
          <w:tcPr>
            <w:tcW w:w="322" w:type="pct"/>
            <w:tcBorders>
              <w:top w:val="single" w:sz="4" w:space="0" w:color="auto"/>
              <w:left w:val="single" w:sz="4" w:space="0" w:color="auto"/>
              <w:bottom w:val="single" w:sz="4" w:space="0" w:color="auto"/>
              <w:right w:val="single" w:sz="4" w:space="0" w:color="auto"/>
            </w:tcBorders>
            <w:shd w:val="clear" w:color="000000" w:fill="63BE7B"/>
            <w:vAlign w:val="bottom"/>
          </w:tcPr>
          <w:p w14:paraId="72001752" w14:textId="77777777" w:rsidR="006F1C52" w:rsidRPr="007D7059" w:rsidRDefault="006F1C52" w:rsidP="00C67097">
            <w:pPr>
              <w:rPr>
                <w:color w:val="000000"/>
                <w:sz w:val="18"/>
                <w:szCs w:val="18"/>
                <w:lang w:val="en-US"/>
              </w:rPr>
            </w:pPr>
            <w:r w:rsidRPr="007D7059">
              <w:rPr>
                <w:rFonts w:cs="Calibri"/>
                <w:color w:val="000000"/>
                <w:sz w:val="18"/>
                <w:szCs w:val="18"/>
                <w:lang w:val="en-US"/>
              </w:rPr>
              <w:t>Yes</w:t>
            </w:r>
          </w:p>
        </w:tc>
        <w:tc>
          <w:tcPr>
            <w:tcW w:w="406" w:type="pct"/>
            <w:tcBorders>
              <w:top w:val="single" w:sz="4" w:space="0" w:color="auto"/>
              <w:left w:val="single" w:sz="4" w:space="0" w:color="auto"/>
              <w:bottom w:val="single" w:sz="4" w:space="0" w:color="auto"/>
              <w:right w:val="single" w:sz="4" w:space="0" w:color="auto"/>
            </w:tcBorders>
            <w:shd w:val="clear" w:color="000000" w:fill="63BE7B"/>
            <w:vAlign w:val="bottom"/>
          </w:tcPr>
          <w:p w14:paraId="088BA106" w14:textId="77777777" w:rsidR="006F1C52" w:rsidRPr="007D7059" w:rsidRDefault="006F1C52" w:rsidP="00C67097">
            <w:pPr>
              <w:rPr>
                <w:color w:val="000000"/>
                <w:sz w:val="18"/>
                <w:szCs w:val="18"/>
                <w:lang w:val="en-US"/>
              </w:rPr>
            </w:pPr>
            <w:r w:rsidRPr="007D7059">
              <w:rPr>
                <w:rFonts w:cs="Calibri"/>
                <w:color w:val="000000"/>
                <w:sz w:val="18"/>
                <w:szCs w:val="18"/>
                <w:lang w:val="en-US"/>
              </w:rPr>
              <w:t>Yes</w:t>
            </w:r>
          </w:p>
        </w:tc>
        <w:tc>
          <w:tcPr>
            <w:tcW w:w="445" w:type="pct"/>
            <w:tcBorders>
              <w:top w:val="single" w:sz="4" w:space="0" w:color="auto"/>
              <w:left w:val="single" w:sz="4" w:space="0" w:color="auto"/>
              <w:bottom w:val="single" w:sz="4" w:space="0" w:color="auto"/>
              <w:right w:val="single" w:sz="4" w:space="0" w:color="auto"/>
            </w:tcBorders>
            <w:shd w:val="clear" w:color="000000" w:fill="63BE7B"/>
            <w:vAlign w:val="bottom"/>
          </w:tcPr>
          <w:p w14:paraId="6FAD1CF2" w14:textId="77777777" w:rsidR="006F1C52" w:rsidRPr="007D7059" w:rsidRDefault="006F1C52" w:rsidP="00C67097">
            <w:pPr>
              <w:rPr>
                <w:color w:val="000000"/>
                <w:sz w:val="18"/>
                <w:szCs w:val="18"/>
                <w:lang w:val="en-US"/>
              </w:rPr>
            </w:pPr>
            <w:r w:rsidRPr="007D7059">
              <w:rPr>
                <w:rFonts w:cs="Calibri"/>
                <w:color w:val="000000"/>
                <w:sz w:val="18"/>
                <w:szCs w:val="18"/>
                <w:lang w:val="en-US"/>
              </w:rPr>
              <w:t>Yes</w:t>
            </w:r>
          </w:p>
        </w:tc>
        <w:tc>
          <w:tcPr>
            <w:tcW w:w="438" w:type="pct"/>
            <w:tcBorders>
              <w:top w:val="single" w:sz="4" w:space="0" w:color="auto"/>
              <w:left w:val="single" w:sz="4" w:space="0" w:color="auto"/>
              <w:bottom w:val="single" w:sz="4" w:space="0" w:color="auto"/>
              <w:right w:val="single" w:sz="4" w:space="0" w:color="auto"/>
            </w:tcBorders>
            <w:shd w:val="clear" w:color="000000" w:fill="FFEF9C"/>
            <w:vAlign w:val="bottom"/>
          </w:tcPr>
          <w:p w14:paraId="5F3C71D7" w14:textId="77777777" w:rsidR="006F1C52" w:rsidRPr="007D7059" w:rsidRDefault="006F1C52" w:rsidP="00C67097">
            <w:pPr>
              <w:rPr>
                <w:color w:val="000000"/>
                <w:sz w:val="18"/>
                <w:szCs w:val="18"/>
                <w:lang w:val="en-US"/>
              </w:rPr>
            </w:pPr>
            <w:r w:rsidRPr="007D7059">
              <w:rPr>
                <w:rFonts w:cs="Calibri"/>
                <w:color w:val="000000"/>
                <w:sz w:val="18"/>
                <w:szCs w:val="18"/>
                <w:lang w:val="en-US"/>
              </w:rPr>
              <w:t>No</w:t>
            </w:r>
          </w:p>
        </w:tc>
        <w:tc>
          <w:tcPr>
            <w:tcW w:w="438" w:type="pct"/>
            <w:tcBorders>
              <w:top w:val="single" w:sz="4" w:space="0" w:color="auto"/>
              <w:left w:val="single" w:sz="4" w:space="0" w:color="auto"/>
              <w:bottom w:val="single" w:sz="4" w:space="0" w:color="auto"/>
              <w:right w:val="single" w:sz="4" w:space="0" w:color="auto"/>
            </w:tcBorders>
            <w:shd w:val="clear" w:color="000000" w:fill="FFEF9C"/>
            <w:vAlign w:val="bottom"/>
          </w:tcPr>
          <w:p w14:paraId="2CE81DBF" w14:textId="77777777" w:rsidR="006F1C52" w:rsidRPr="007D7059" w:rsidRDefault="006F1C52" w:rsidP="00C67097">
            <w:pPr>
              <w:rPr>
                <w:color w:val="000000"/>
                <w:sz w:val="18"/>
                <w:szCs w:val="18"/>
                <w:lang w:val="en-US"/>
              </w:rPr>
            </w:pPr>
            <w:r w:rsidRPr="007D7059">
              <w:rPr>
                <w:rFonts w:cs="Calibri"/>
                <w:color w:val="000000"/>
                <w:sz w:val="18"/>
                <w:szCs w:val="18"/>
                <w:lang w:val="en-US"/>
              </w:rPr>
              <w:t>No</w:t>
            </w:r>
          </w:p>
        </w:tc>
        <w:tc>
          <w:tcPr>
            <w:tcW w:w="469" w:type="pct"/>
            <w:tcBorders>
              <w:top w:val="single" w:sz="4" w:space="0" w:color="auto"/>
              <w:left w:val="single" w:sz="4" w:space="0" w:color="auto"/>
              <w:bottom w:val="single" w:sz="4" w:space="0" w:color="auto"/>
              <w:right w:val="single" w:sz="4" w:space="0" w:color="auto"/>
            </w:tcBorders>
            <w:shd w:val="clear" w:color="000000" w:fill="FFEF9C"/>
            <w:vAlign w:val="bottom"/>
          </w:tcPr>
          <w:p w14:paraId="5FC9FDA7" w14:textId="77777777" w:rsidR="006F1C52" w:rsidRPr="007D7059" w:rsidRDefault="006F1C52" w:rsidP="00C67097">
            <w:pPr>
              <w:rPr>
                <w:color w:val="000000"/>
                <w:sz w:val="18"/>
                <w:szCs w:val="18"/>
                <w:lang w:val="en-US"/>
              </w:rPr>
            </w:pPr>
            <w:r w:rsidRPr="007D7059">
              <w:rPr>
                <w:rFonts w:cs="Calibri"/>
                <w:color w:val="000000"/>
                <w:sz w:val="18"/>
                <w:szCs w:val="18"/>
                <w:lang w:val="en-US"/>
              </w:rPr>
              <w:t>No</w:t>
            </w:r>
          </w:p>
        </w:tc>
        <w:tc>
          <w:tcPr>
            <w:tcW w:w="438" w:type="pct"/>
            <w:tcBorders>
              <w:top w:val="single" w:sz="4" w:space="0" w:color="auto"/>
              <w:left w:val="single" w:sz="4" w:space="0" w:color="auto"/>
              <w:bottom w:val="single" w:sz="4" w:space="0" w:color="auto"/>
              <w:right w:val="single" w:sz="4" w:space="0" w:color="auto"/>
            </w:tcBorders>
            <w:shd w:val="clear" w:color="000000" w:fill="FFEF9C"/>
            <w:vAlign w:val="bottom"/>
          </w:tcPr>
          <w:p w14:paraId="6314E4A1" w14:textId="77777777" w:rsidR="006F1C52" w:rsidRPr="007D7059" w:rsidRDefault="006F1C52" w:rsidP="00C67097">
            <w:pPr>
              <w:rPr>
                <w:color w:val="000000"/>
                <w:sz w:val="18"/>
                <w:szCs w:val="18"/>
                <w:lang w:val="en-US"/>
              </w:rPr>
            </w:pPr>
            <w:r w:rsidRPr="007D7059">
              <w:rPr>
                <w:rFonts w:cs="Calibri"/>
                <w:color w:val="000000"/>
                <w:sz w:val="18"/>
                <w:szCs w:val="18"/>
                <w:lang w:val="en-US"/>
              </w:rPr>
              <w:t>No</w:t>
            </w:r>
          </w:p>
        </w:tc>
        <w:tc>
          <w:tcPr>
            <w:tcW w:w="354" w:type="pct"/>
            <w:tcBorders>
              <w:top w:val="single" w:sz="4" w:space="0" w:color="auto"/>
              <w:left w:val="single" w:sz="4" w:space="0" w:color="auto"/>
              <w:bottom w:val="single" w:sz="4" w:space="0" w:color="auto"/>
              <w:right w:val="single" w:sz="4" w:space="0" w:color="auto"/>
            </w:tcBorders>
            <w:shd w:val="clear" w:color="000000" w:fill="FFEF9C"/>
            <w:vAlign w:val="bottom"/>
          </w:tcPr>
          <w:p w14:paraId="3393E315" w14:textId="77777777" w:rsidR="006F1C52" w:rsidRPr="007D7059" w:rsidRDefault="006F1C52" w:rsidP="00C67097">
            <w:pPr>
              <w:rPr>
                <w:color w:val="000000"/>
                <w:sz w:val="18"/>
                <w:szCs w:val="18"/>
                <w:lang w:val="en-US"/>
              </w:rPr>
            </w:pPr>
            <w:r w:rsidRPr="007D7059">
              <w:rPr>
                <w:rFonts w:cs="Calibri"/>
                <w:color w:val="000000"/>
                <w:sz w:val="18"/>
                <w:szCs w:val="18"/>
                <w:lang w:val="en-US"/>
              </w:rPr>
              <w:t>No</w:t>
            </w:r>
          </w:p>
        </w:tc>
        <w:tc>
          <w:tcPr>
            <w:tcW w:w="479" w:type="pct"/>
            <w:tcBorders>
              <w:top w:val="single" w:sz="4" w:space="0" w:color="auto"/>
              <w:left w:val="single" w:sz="4" w:space="0" w:color="auto"/>
              <w:bottom w:val="single" w:sz="4" w:space="0" w:color="auto"/>
              <w:right w:val="single" w:sz="4" w:space="0" w:color="auto"/>
            </w:tcBorders>
            <w:shd w:val="clear" w:color="000000" w:fill="FFEF9C"/>
            <w:vAlign w:val="bottom"/>
          </w:tcPr>
          <w:p w14:paraId="4B7B7A5D" w14:textId="77777777" w:rsidR="006F1C52" w:rsidRPr="007D7059" w:rsidRDefault="006F1C52" w:rsidP="00C67097">
            <w:pPr>
              <w:rPr>
                <w:color w:val="000000"/>
                <w:sz w:val="18"/>
                <w:szCs w:val="18"/>
                <w:lang w:val="en-US"/>
              </w:rPr>
            </w:pPr>
            <w:r w:rsidRPr="007D7059">
              <w:rPr>
                <w:rFonts w:cs="Calibri"/>
                <w:color w:val="000000"/>
                <w:sz w:val="18"/>
                <w:szCs w:val="18"/>
                <w:lang w:val="en-US"/>
              </w:rPr>
              <w:t>No</w:t>
            </w:r>
          </w:p>
        </w:tc>
        <w:tc>
          <w:tcPr>
            <w:tcW w:w="437" w:type="pct"/>
            <w:tcBorders>
              <w:top w:val="single" w:sz="4" w:space="0" w:color="auto"/>
              <w:left w:val="single" w:sz="4" w:space="0" w:color="auto"/>
              <w:bottom w:val="single" w:sz="4" w:space="0" w:color="auto"/>
              <w:right w:val="single" w:sz="4" w:space="0" w:color="auto"/>
            </w:tcBorders>
            <w:shd w:val="clear" w:color="000000" w:fill="63BE7B"/>
            <w:vAlign w:val="bottom"/>
          </w:tcPr>
          <w:p w14:paraId="5B12248A" w14:textId="77777777" w:rsidR="006F1C52" w:rsidRPr="007D7059" w:rsidRDefault="006F1C52" w:rsidP="00C67097">
            <w:pPr>
              <w:rPr>
                <w:color w:val="000000"/>
                <w:sz w:val="18"/>
                <w:szCs w:val="18"/>
                <w:lang w:val="en-US"/>
              </w:rPr>
            </w:pPr>
            <w:r w:rsidRPr="007D7059">
              <w:rPr>
                <w:rFonts w:cs="Calibri"/>
                <w:color w:val="000000"/>
                <w:sz w:val="18"/>
                <w:szCs w:val="18"/>
                <w:lang w:val="en-US"/>
              </w:rPr>
              <w:t>Yes</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tcPr>
          <w:p w14:paraId="6210AB68" w14:textId="77777777" w:rsidR="006F1C52" w:rsidRPr="007D7059" w:rsidRDefault="006F1C52" w:rsidP="00C67097">
            <w:pPr>
              <w:rPr>
                <w:color w:val="000000"/>
                <w:sz w:val="18"/>
                <w:szCs w:val="18"/>
                <w:lang w:val="en-US"/>
              </w:rPr>
            </w:pPr>
            <w:r w:rsidRPr="007D7059">
              <w:rPr>
                <w:rFonts w:cs="Calibri"/>
                <w:color w:val="000000"/>
                <w:sz w:val="18"/>
                <w:szCs w:val="18"/>
                <w:lang w:val="en-US"/>
              </w:rPr>
              <w:t>Moderate</w:t>
            </w:r>
          </w:p>
        </w:tc>
      </w:tr>
      <w:tr w:rsidR="006F1C52" w:rsidRPr="007D7059" w14:paraId="48EFC79A" w14:textId="77777777" w:rsidTr="00C67097">
        <w:tc>
          <w:tcPr>
            <w:tcW w:w="376" w:type="pct"/>
            <w:tcBorders>
              <w:top w:val="single" w:sz="4" w:space="0" w:color="auto"/>
              <w:left w:val="single" w:sz="4" w:space="0" w:color="auto"/>
              <w:bottom w:val="single" w:sz="4" w:space="0" w:color="auto"/>
              <w:right w:val="single" w:sz="4" w:space="0" w:color="auto"/>
            </w:tcBorders>
            <w:shd w:val="clear" w:color="auto" w:fill="auto"/>
            <w:vAlign w:val="bottom"/>
          </w:tcPr>
          <w:p w14:paraId="10760DDC" w14:textId="77777777" w:rsidR="006F1C52" w:rsidRPr="007D7059" w:rsidRDefault="006F1C52" w:rsidP="00C67097">
            <w:pPr>
              <w:rPr>
                <w:color w:val="000000"/>
                <w:sz w:val="18"/>
                <w:szCs w:val="18"/>
                <w:lang w:val="en-US"/>
              </w:rPr>
            </w:pPr>
            <w:r w:rsidRPr="007D7059">
              <w:rPr>
                <w:rFonts w:cs="Calibri"/>
                <w:color w:val="000000"/>
                <w:sz w:val="18"/>
                <w:szCs w:val="18"/>
                <w:lang w:val="en-US"/>
              </w:rPr>
              <w:t>Suryawan (2020)</w:t>
            </w:r>
            <w:r w:rsidRPr="007D7059">
              <w:rPr>
                <w:rFonts w:cs="Calibri"/>
                <w:color w:val="000000"/>
                <w:sz w:val="18"/>
                <w:szCs w:val="18"/>
                <w:vertAlign w:val="superscript"/>
                <w:lang w:val="en-US"/>
              </w:rPr>
              <w:t>140</w:t>
            </w:r>
          </w:p>
        </w:tc>
        <w:tc>
          <w:tcPr>
            <w:tcW w:w="322" w:type="pct"/>
            <w:tcBorders>
              <w:top w:val="single" w:sz="4" w:space="0" w:color="auto"/>
              <w:left w:val="single" w:sz="4" w:space="0" w:color="auto"/>
              <w:bottom w:val="single" w:sz="4" w:space="0" w:color="auto"/>
              <w:right w:val="single" w:sz="4" w:space="0" w:color="auto"/>
            </w:tcBorders>
            <w:shd w:val="clear" w:color="000000" w:fill="FFEF9C"/>
            <w:vAlign w:val="bottom"/>
          </w:tcPr>
          <w:p w14:paraId="1BFE593C" w14:textId="77777777" w:rsidR="006F1C52" w:rsidRPr="007D7059" w:rsidRDefault="006F1C52" w:rsidP="00C67097">
            <w:pPr>
              <w:rPr>
                <w:color w:val="000000"/>
                <w:sz w:val="18"/>
                <w:szCs w:val="18"/>
                <w:lang w:val="en-US"/>
              </w:rPr>
            </w:pPr>
            <w:r w:rsidRPr="007D7059">
              <w:rPr>
                <w:rFonts w:cs="Calibri"/>
                <w:color w:val="000000"/>
                <w:sz w:val="18"/>
                <w:szCs w:val="18"/>
                <w:lang w:val="en-US"/>
              </w:rPr>
              <w:t>No</w:t>
            </w:r>
          </w:p>
        </w:tc>
        <w:tc>
          <w:tcPr>
            <w:tcW w:w="406" w:type="pct"/>
            <w:tcBorders>
              <w:top w:val="single" w:sz="4" w:space="0" w:color="auto"/>
              <w:left w:val="single" w:sz="4" w:space="0" w:color="auto"/>
              <w:bottom w:val="single" w:sz="4" w:space="0" w:color="auto"/>
              <w:right w:val="single" w:sz="4" w:space="0" w:color="auto"/>
            </w:tcBorders>
            <w:shd w:val="clear" w:color="000000" w:fill="FFEF9C"/>
            <w:vAlign w:val="bottom"/>
          </w:tcPr>
          <w:p w14:paraId="07B22200" w14:textId="77777777" w:rsidR="006F1C52" w:rsidRPr="007D7059" w:rsidRDefault="006F1C52" w:rsidP="00C67097">
            <w:pPr>
              <w:rPr>
                <w:color w:val="000000"/>
                <w:sz w:val="18"/>
                <w:szCs w:val="18"/>
                <w:lang w:val="en-US"/>
              </w:rPr>
            </w:pPr>
            <w:r w:rsidRPr="007D7059">
              <w:rPr>
                <w:rFonts w:cs="Calibri"/>
                <w:color w:val="000000"/>
                <w:sz w:val="18"/>
                <w:szCs w:val="18"/>
                <w:lang w:val="en-US"/>
              </w:rPr>
              <w:t>No</w:t>
            </w:r>
          </w:p>
        </w:tc>
        <w:tc>
          <w:tcPr>
            <w:tcW w:w="445" w:type="pct"/>
            <w:tcBorders>
              <w:top w:val="single" w:sz="4" w:space="0" w:color="auto"/>
              <w:left w:val="single" w:sz="4" w:space="0" w:color="auto"/>
              <w:bottom w:val="single" w:sz="4" w:space="0" w:color="auto"/>
              <w:right w:val="single" w:sz="4" w:space="0" w:color="auto"/>
            </w:tcBorders>
            <w:shd w:val="clear" w:color="000000" w:fill="63BE7B"/>
            <w:vAlign w:val="bottom"/>
          </w:tcPr>
          <w:p w14:paraId="57CF0D40" w14:textId="77777777" w:rsidR="006F1C52" w:rsidRPr="007D7059" w:rsidRDefault="006F1C52" w:rsidP="00C67097">
            <w:pPr>
              <w:rPr>
                <w:color w:val="000000"/>
                <w:sz w:val="18"/>
                <w:szCs w:val="18"/>
                <w:lang w:val="en-US"/>
              </w:rPr>
            </w:pPr>
            <w:r w:rsidRPr="007D7059">
              <w:rPr>
                <w:rFonts w:cs="Calibri"/>
                <w:color w:val="000000"/>
                <w:sz w:val="18"/>
                <w:szCs w:val="18"/>
                <w:lang w:val="en-US"/>
              </w:rPr>
              <w:t>Yes</w:t>
            </w:r>
          </w:p>
        </w:tc>
        <w:tc>
          <w:tcPr>
            <w:tcW w:w="438" w:type="pct"/>
            <w:tcBorders>
              <w:top w:val="single" w:sz="4" w:space="0" w:color="auto"/>
              <w:left w:val="single" w:sz="4" w:space="0" w:color="auto"/>
              <w:bottom w:val="single" w:sz="4" w:space="0" w:color="auto"/>
              <w:right w:val="single" w:sz="4" w:space="0" w:color="auto"/>
            </w:tcBorders>
            <w:shd w:val="clear" w:color="000000" w:fill="FFEF9C"/>
            <w:vAlign w:val="bottom"/>
          </w:tcPr>
          <w:p w14:paraId="3D3C3361" w14:textId="77777777" w:rsidR="006F1C52" w:rsidRPr="007D7059" w:rsidRDefault="006F1C52" w:rsidP="00C67097">
            <w:pPr>
              <w:rPr>
                <w:color w:val="000000"/>
                <w:sz w:val="18"/>
                <w:szCs w:val="18"/>
                <w:lang w:val="en-US"/>
              </w:rPr>
            </w:pPr>
            <w:r w:rsidRPr="007D7059">
              <w:rPr>
                <w:rFonts w:cs="Calibri"/>
                <w:color w:val="000000"/>
                <w:sz w:val="18"/>
                <w:szCs w:val="18"/>
                <w:lang w:val="en-US"/>
              </w:rPr>
              <w:t>No</w:t>
            </w:r>
          </w:p>
        </w:tc>
        <w:tc>
          <w:tcPr>
            <w:tcW w:w="438" w:type="pct"/>
            <w:tcBorders>
              <w:top w:val="single" w:sz="4" w:space="0" w:color="auto"/>
              <w:left w:val="single" w:sz="4" w:space="0" w:color="auto"/>
              <w:bottom w:val="single" w:sz="4" w:space="0" w:color="auto"/>
              <w:right w:val="single" w:sz="4" w:space="0" w:color="auto"/>
            </w:tcBorders>
            <w:shd w:val="clear" w:color="000000" w:fill="FFEF9C"/>
            <w:vAlign w:val="bottom"/>
          </w:tcPr>
          <w:p w14:paraId="498BF5FE" w14:textId="77777777" w:rsidR="006F1C52" w:rsidRPr="007D7059" w:rsidRDefault="006F1C52" w:rsidP="00C67097">
            <w:pPr>
              <w:rPr>
                <w:color w:val="000000"/>
                <w:sz w:val="18"/>
                <w:szCs w:val="18"/>
                <w:lang w:val="en-US"/>
              </w:rPr>
            </w:pPr>
            <w:r w:rsidRPr="007D7059">
              <w:rPr>
                <w:rFonts w:cs="Calibri"/>
                <w:color w:val="000000"/>
                <w:sz w:val="18"/>
                <w:szCs w:val="18"/>
                <w:lang w:val="en-US"/>
              </w:rPr>
              <w:t>No</w:t>
            </w:r>
          </w:p>
        </w:tc>
        <w:tc>
          <w:tcPr>
            <w:tcW w:w="469" w:type="pct"/>
            <w:tcBorders>
              <w:top w:val="single" w:sz="4" w:space="0" w:color="auto"/>
              <w:left w:val="single" w:sz="4" w:space="0" w:color="auto"/>
              <w:bottom w:val="single" w:sz="4" w:space="0" w:color="auto"/>
              <w:right w:val="single" w:sz="4" w:space="0" w:color="auto"/>
            </w:tcBorders>
            <w:shd w:val="clear" w:color="000000" w:fill="FFEF9C"/>
            <w:vAlign w:val="bottom"/>
          </w:tcPr>
          <w:p w14:paraId="1968DE61" w14:textId="77777777" w:rsidR="006F1C52" w:rsidRPr="007D7059" w:rsidRDefault="006F1C52" w:rsidP="00C67097">
            <w:pPr>
              <w:rPr>
                <w:color w:val="000000"/>
                <w:sz w:val="18"/>
                <w:szCs w:val="18"/>
                <w:lang w:val="en-US"/>
              </w:rPr>
            </w:pPr>
            <w:r w:rsidRPr="007D7059">
              <w:rPr>
                <w:rFonts w:cs="Calibri"/>
                <w:color w:val="000000"/>
                <w:sz w:val="18"/>
                <w:szCs w:val="18"/>
                <w:lang w:val="en-US"/>
              </w:rPr>
              <w:t>No</w:t>
            </w:r>
          </w:p>
        </w:tc>
        <w:tc>
          <w:tcPr>
            <w:tcW w:w="438" w:type="pct"/>
            <w:tcBorders>
              <w:top w:val="single" w:sz="4" w:space="0" w:color="auto"/>
              <w:left w:val="single" w:sz="4" w:space="0" w:color="auto"/>
              <w:bottom w:val="single" w:sz="4" w:space="0" w:color="auto"/>
              <w:right w:val="single" w:sz="4" w:space="0" w:color="auto"/>
            </w:tcBorders>
            <w:shd w:val="clear" w:color="000000" w:fill="63BE7B"/>
            <w:vAlign w:val="bottom"/>
          </w:tcPr>
          <w:p w14:paraId="6727DF31" w14:textId="77777777" w:rsidR="006F1C52" w:rsidRPr="007D7059" w:rsidRDefault="006F1C52" w:rsidP="00C67097">
            <w:pPr>
              <w:rPr>
                <w:color w:val="000000"/>
                <w:sz w:val="18"/>
                <w:szCs w:val="18"/>
                <w:lang w:val="en-US"/>
              </w:rPr>
            </w:pPr>
            <w:r w:rsidRPr="007D7059">
              <w:rPr>
                <w:rFonts w:cs="Calibri"/>
                <w:color w:val="000000"/>
                <w:sz w:val="18"/>
                <w:szCs w:val="18"/>
                <w:lang w:val="en-US"/>
              </w:rPr>
              <w:t>Yes</w:t>
            </w:r>
          </w:p>
        </w:tc>
        <w:tc>
          <w:tcPr>
            <w:tcW w:w="354" w:type="pct"/>
            <w:tcBorders>
              <w:top w:val="single" w:sz="4" w:space="0" w:color="auto"/>
              <w:left w:val="single" w:sz="4" w:space="0" w:color="auto"/>
              <w:bottom w:val="single" w:sz="4" w:space="0" w:color="auto"/>
              <w:right w:val="single" w:sz="4" w:space="0" w:color="auto"/>
            </w:tcBorders>
            <w:shd w:val="clear" w:color="000000" w:fill="FFEF9C"/>
            <w:vAlign w:val="bottom"/>
          </w:tcPr>
          <w:p w14:paraId="7FAA3E3A" w14:textId="77777777" w:rsidR="006F1C52" w:rsidRPr="007D7059" w:rsidRDefault="006F1C52" w:rsidP="00C67097">
            <w:pPr>
              <w:rPr>
                <w:color w:val="000000"/>
                <w:sz w:val="18"/>
                <w:szCs w:val="18"/>
                <w:lang w:val="en-US"/>
              </w:rPr>
            </w:pPr>
            <w:r w:rsidRPr="007D7059">
              <w:rPr>
                <w:rFonts w:cs="Calibri"/>
                <w:color w:val="000000"/>
                <w:sz w:val="18"/>
                <w:szCs w:val="18"/>
                <w:lang w:val="en-US"/>
              </w:rPr>
              <w:t>No</w:t>
            </w:r>
          </w:p>
        </w:tc>
        <w:tc>
          <w:tcPr>
            <w:tcW w:w="479" w:type="pct"/>
            <w:tcBorders>
              <w:top w:val="single" w:sz="4" w:space="0" w:color="auto"/>
              <w:left w:val="single" w:sz="4" w:space="0" w:color="auto"/>
              <w:bottom w:val="single" w:sz="4" w:space="0" w:color="auto"/>
              <w:right w:val="single" w:sz="4" w:space="0" w:color="auto"/>
            </w:tcBorders>
            <w:shd w:val="clear" w:color="000000" w:fill="FFEF9C"/>
            <w:vAlign w:val="bottom"/>
          </w:tcPr>
          <w:p w14:paraId="412238B2" w14:textId="77777777" w:rsidR="006F1C52" w:rsidRPr="007D7059" w:rsidRDefault="006F1C52" w:rsidP="00C67097">
            <w:pPr>
              <w:rPr>
                <w:color w:val="000000"/>
                <w:sz w:val="18"/>
                <w:szCs w:val="18"/>
                <w:lang w:val="en-US"/>
              </w:rPr>
            </w:pPr>
            <w:r w:rsidRPr="007D7059">
              <w:rPr>
                <w:rFonts w:cs="Calibri"/>
                <w:color w:val="000000"/>
                <w:sz w:val="18"/>
                <w:szCs w:val="18"/>
                <w:lang w:val="en-US"/>
              </w:rPr>
              <w:t>No</w:t>
            </w:r>
          </w:p>
        </w:tc>
        <w:tc>
          <w:tcPr>
            <w:tcW w:w="437" w:type="pct"/>
            <w:tcBorders>
              <w:top w:val="single" w:sz="4" w:space="0" w:color="auto"/>
              <w:left w:val="single" w:sz="4" w:space="0" w:color="auto"/>
              <w:bottom w:val="single" w:sz="4" w:space="0" w:color="auto"/>
              <w:right w:val="single" w:sz="4" w:space="0" w:color="auto"/>
            </w:tcBorders>
            <w:shd w:val="clear" w:color="000000" w:fill="63BE7B"/>
            <w:vAlign w:val="bottom"/>
          </w:tcPr>
          <w:p w14:paraId="58E5E7CB" w14:textId="77777777" w:rsidR="006F1C52" w:rsidRPr="007D7059" w:rsidRDefault="006F1C52" w:rsidP="00C67097">
            <w:pPr>
              <w:rPr>
                <w:color w:val="000000"/>
                <w:sz w:val="18"/>
                <w:szCs w:val="18"/>
                <w:lang w:val="en-US"/>
              </w:rPr>
            </w:pPr>
            <w:r w:rsidRPr="007D7059">
              <w:rPr>
                <w:rFonts w:cs="Calibri"/>
                <w:color w:val="000000"/>
                <w:sz w:val="18"/>
                <w:szCs w:val="18"/>
                <w:lang w:val="en-US"/>
              </w:rPr>
              <w:t>Yes</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tcPr>
          <w:p w14:paraId="06FA3C81" w14:textId="77777777" w:rsidR="006F1C52" w:rsidRPr="007D7059" w:rsidRDefault="006F1C52" w:rsidP="00C67097">
            <w:pPr>
              <w:rPr>
                <w:color w:val="000000"/>
                <w:sz w:val="18"/>
                <w:szCs w:val="18"/>
                <w:lang w:val="en-US"/>
              </w:rPr>
            </w:pPr>
            <w:r w:rsidRPr="007D7059">
              <w:rPr>
                <w:rFonts w:cs="Calibri"/>
                <w:color w:val="000000"/>
                <w:sz w:val="18"/>
                <w:szCs w:val="18"/>
                <w:lang w:val="en-US"/>
              </w:rPr>
              <w:t>Low</w:t>
            </w:r>
          </w:p>
        </w:tc>
      </w:tr>
    </w:tbl>
    <w:p w14:paraId="31C93544" w14:textId="77777777" w:rsidR="006F1C52" w:rsidRPr="007D7059" w:rsidRDefault="006F1C52" w:rsidP="006F1C52">
      <w:pPr>
        <w:rPr>
          <w:color w:val="000000"/>
        </w:rPr>
      </w:pPr>
    </w:p>
    <w:p w14:paraId="2AFFC795" w14:textId="300C1E25" w:rsidR="006F1C52" w:rsidRPr="007D7059" w:rsidRDefault="006F1C52">
      <w:pPr>
        <w:rPr>
          <w:color w:val="000000"/>
        </w:rPr>
      </w:pPr>
      <w:r w:rsidRPr="007D7059">
        <w:rPr>
          <w:color w:val="000000"/>
        </w:rPr>
        <w:br w:type="page"/>
      </w:r>
    </w:p>
    <w:p w14:paraId="5B2CECF0" w14:textId="77777777" w:rsidR="00EC32DE" w:rsidRPr="007D7059" w:rsidRDefault="00EC32DE" w:rsidP="00EC32DE">
      <w:pPr>
        <w:pStyle w:val="Heading1"/>
        <w:rPr>
          <w:color w:val="000000"/>
        </w:rPr>
      </w:pPr>
      <w:bookmarkStart w:id="2" w:name="_Ref120049151"/>
      <w:r w:rsidRPr="007D7059">
        <w:rPr>
          <w:color w:val="000000"/>
        </w:rPr>
        <w:lastRenderedPageBreak/>
        <w:t>Appendix S4 –Hypotheses of Included Studies</w:t>
      </w:r>
      <w:bookmarkEnd w:id="2"/>
    </w:p>
    <w:tbl>
      <w:tblPr>
        <w:tblW w:w="129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80"/>
        <w:gridCol w:w="10972"/>
      </w:tblGrid>
      <w:tr w:rsidR="00EC32DE" w:rsidRPr="007D7059" w14:paraId="0B11EB52" w14:textId="77777777" w:rsidTr="001A1091">
        <w:trPr>
          <w:trHeight w:val="300"/>
        </w:trPr>
        <w:tc>
          <w:tcPr>
            <w:tcW w:w="1980" w:type="dxa"/>
            <w:shd w:val="clear" w:color="auto" w:fill="85312F"/>
            <w:vAlign w:val="center"/>
            <w:hideMark/>
          </w:tcPr>
          <w:p w14:paraId="658AA24E" w14:textId="77777777" w:rsidR="00EC32DE" w:rsidRPr="007D7059" w:rsidRDefault="00EC32DE" w:rsidP="00C67097">
            <w:pPr>
              <w:spacing w:line="240" w:lineRule="auto"/>
              <w:textAlignment w:val="baseline"/>
              <w:rPr>
                <w:rFonts w:ascii="Segoe UI" w:hAnsi="Segoe UI" w:cs="Segoe UI"/>
                <w:b/>
                <w:bCs/>
                <w:color w:val="000000"/>
                <w:sz w:val="18"/>
                <w:szCs w:val="18"/>
                <w:lang w:eastAsia="en-CA"/>
              </w:rPr>
            </w:pPr>
            <w:r w:rsidRPr="007D7059">
              <w:rPr>
                <w:rFonts w:ascii="Calibri" w:hAnsi="Calibri" w:cs="Calibri"/>
                <w:color w:val="000000"/>
                <w:szCs w:val="20"/>
                <w:lang w:eastAsia="en-CA"/>
              </w:rPr>
              <w:t>Study (Author and Year)</w:t>
            </w:r>
            <w:r w:rsidRPr="007D7059">
              <w:rPr>
                <w:rFonts w:ascii="Calibri" w:hAnsi="Calibri" w:cs="Calibri"/>
                <w:b/>
                <w:bCs/>
                <w:color w:val="000000"/>
                <w:szCs w:val="20"/>
                <w:lang w:eastAsia="en-CA"/>
              </w:rPr>
              <w:t> </w:t>
            </w:r>
          </w:p>
        </w:tc>
        <w:tc>
          <w:tcPr>
            <w:tcW w:w="10972" w:type="dxa"/>
            <w:shd w:val="clear" w:color="auto" w:fill="85312F"/>
            <w:hideMark/>
          </w:tcPr>
          <w:p w14:paraId="1281727D" w14:textId="77777777" w:rsidR="00EC32DE" w:rsidRPr="007D7059" w:rsidRDefault="00EC32DE" w:rsidP="00C67097">
            <w:pPr>
              <w:spacing w:line="240" w:lineRule="auto"/>
              <w:textAlignment w:val="baseline"/>
              <w:rPr>
                <w:rFonts w:ascii="Segoe UI" w:hAnsi="Segoe UI" w:cs="Segoe UI"/>
                <w:b/>
                <w:bCs/>
                <w:color w:val="000000"/>
                <w:sz w:val="18"/>
                <w:szCs w:val="18"/>
                <w:lang w:eastAsia="en-CA"/>
              </w:rPr>
            </w:pPr>
            <w:r w:rsidRPr="007D7059">
              <w:rPr>
                <w:rFonts w:ascii="Calibri" w:hAnsi="Calibri" w:cs="Calibri"/>
                <w:color w:val="000000"/>
                <w:szCs w:val="20"/>
                <w:lang w:eastAsia="en-CA"/>
              </w:rPr>
              <w:t>Interpreted Hypothesis</w:t>
            </w:r>
            <w:r w:rsidRPr="007D7059">
              <w:rPr>
                <w:rFonts w:ascii="Calibri" w:hAnsi="Calibri" w:cs="Calibri"/>
                <w:b/>
                <w:bCs/>
                <w:color w:val="000000"/>
                <w:szCs w:val="20"/>
                <w:lang w:eastAsia="en-CA"/>
              </w:rPr>
              <w:t> </w:t>
            </w:r>
          </w:p>
        </w:tc>
      </w:tr>
      <w:tr w:rsidR="00EC32DE" w:rsidRPr="007D7059" w14:paraId="1165E1EB" w14:textId="77777777" w:rsidTr="001A1091">
        <w:trPr>
          <w:trHeight w:val="300"/>
        </w:trPr>
        <w:tc>
          <w:tcPr>
            <w:tcW w:w="1980" w:type="dxa"/>
            <w:shd w:val="clear" w:color="auto" w:fill="auto"/>
            <w:vAlign w:val="center"/>
            <w:hideMark/>
          </w:tcPr>
          <w:p w14:paraId="497D6E53" w14:textId="77777777" w:rsidR="00EC32DE" w:rsidRPr="007D7059" w:rsidRDefault="00EC32DE" w:rsidP="00C67097">
            <w:pPr>
              <w:spacing w:line="240" w:lineRule="auto"/>
              <w:textAlignment w:val="baseline"/>
              <w:rPr>
                <w:rFonts w:ascii="Segoe UI" w:hAnsi="Segoe UI" w:cs="Segoe UI"/>
                <w:b/>
                <w:bCs/>
                <w:color w:val="000000"/>
                <w:sz w:val="18"/>
                <w:szCs w:val="18"/>
                <w:lang w:eastAsia="en-CA"/>
              </w:rPr>
            </w:pPr>
            <w:r w:rsidRPr="007D7059">
              <w:rPr>
                <w:rFonts w:ascii="Calibri" w:hAnsi="Calibri" w:cs="Calibri"/>
                <w:color w:val="000000"/>
                <w:lang w:eastAsia="en-CA"/>
              </w:rPr>
              <w:t>Aronsohn (2015)</w:t>
            </w:r>
            <w:r w:rsidRPr="007D7059">
              <w:rPr>
                <w:rFonts w:ascii="Calibri" w:hAnsi="Calibri" w:cs="Calibri"/>
                <w:color w:val="000000"/>
                <w:vertAlign w:val="superscript"/>
                <w:lang w:eastAsia="en-CA"/>
              </w:rPr>
              <w:t>52</w:t>
            </w:r>
            <w:r w:rsidRPr="007D7059">
              <w:rPr>
                <w:rFonts w:ascii="Calibri" w:hAnsi="Calibri" w:cs="Calibri"/>
                <w:b/>
                <w:bCs/>
                <w:color w:val="000000"/>
                <w:lang w:eastAsia="en-CA"/>
              </w:rPr>
              <w:t> </w:t>
            </w:r>
          </w:p>
        </w:tc>
        <w:tc>
          <w:tcPr>
            <w:tcW w:w="10972" w:type="dxa"/>
            <w:shd w:val="clear" w:color="auto" w:fill="auto"/>
            <w:vAlign w:val="center"/>
            <w:hideMark/>
          </w:tcPr>
          <w:p w14:paraId="6BFE2F34" w14:textId="77777777" w:rsidR="00EC32DE" w:rsidRPr="007D7059" w:rsidRDefault="00EC32DE" w:rsidP="00C67097">
            <w:pPr>
              <w:spacing w:line="240" w:lineRule="auto"/>
              <w:textAlignment w:val="baseline"/>
              <w:rPr>
                <w:rFonts w:ascii="Segoe UI" w:hAnsi="Segoe UI" w:cs="Segoe UI"/>
                <w:color w:val="000000"/>
                <w:sz w:val="18"/>
                <w:szCs w:val="18"/>
                <w:lang w:eastAsia="en-CA"/>
              </w:rPr>
            </w:pPr>
            <w:r w:rsidRPr="007D7059">
              <w:rPr>
                <w:rFonts w:ascii="Calibri" w:hAnsi="Calibri" w:cs="Calibri"/>
                <w:color w:val="000000"/>
                <w:lang w:eastAsia="en-CA"/>
              </w:rPr>
              <w:t>Surgical treatment of enlarged thyroid in high-risk parturient may decrease the risk of cardiac arrest. </w:t>
            </w:r>
          </w:p>
        </w:tc>
      </w:tr>
      <w:tr w:rsidR="00EC32DE" w:rsidRPr="007D7059" w14:paraId="75362030" w14:textId="77777777" w:rsidTr="001A1091">
        <w:trPr>
          <w:trHeight w:val="300"/>
        </w:trPr>
        <w:tc>
          <w:tcPr>
            <w:tcW w:w="1980" w:type="dxa"/>
            <w:shd w:val="clear" w:color="auto" w:fill="auto"/>
            <w:vAlign w:val="center"/>
            <w:hideMark/>
          </w:tcPr>
          <w:p w14:paraId="0C98A9F3" w14:textId="77777777" w:rsidR="00EC32DE" w:rsidRPr="007D7059" w:rsidRDefault="00EC32DE" w:rsidP="00C67097">
            <w:pPr>
              <w:spacing w:line="240" w:lineRule="auto"/>
              <w:textAlignment w:val="baseline"/>
              <w:rPr>
                <w:rFonts w:ascii="Segoe UI" w:hAnsi="Segoe UI" w:cs="Segoe UI"/>
                <w:b/>
                <w:bCs/>
                <w:color w:val="000000"/>
                <w:sz w:val="18"/>
                <w:szCs w:val="18"/>
                <w:lang w:eastAsia="en-CA"/>
              </w:rPr>
            </w:pPr>
            <w:r w:rsidRPr="007D7059">
              <w:rPr>
                <w:rFonts w:ascii="Calibri" w:hAnsi="Calibri" w:cs="Calibri"/>
                <w:color w:val="000000"/>
                <w:lang w:eastAsia="en-CA"/>
              </w:rPr>
              <w:t>Balci (2016)</w:t>
            </w:r>
            <w:r w:rsidRPr="007D7059">
              <w:rPr>
                <w:rFonts w:ascii="Calibri" w:hAnsi="Calibri" w:cs="Calibri"/>
                <w:color w:val="000000"/>
                <w:vertAlign w:val="superscript"/>
                <w:lang w:eastAsia="en-CA"/>
              </w:rPr>
              <w:t>56</w:t>
            </w:r>
            <w:r w:rsidRPr="007D7059">
              <w:rPr>
                <w:rFonts w:ascii="Calibri" w:hAnsi="Calibri" w:cs="Calibri"/>
                <w:b/>
                <w:bCs/>
                <w:color w:val="000000"/>
                <w:lang w:eastAsia="en-CA"/>
              </w:rPr>
              <w:t> </w:t>
            </w:r>
          </w:p>
        </w:tc>
        <w:tc>
          <w:tcPr>
            <w:tcW w:w="10972" w:type="dxa"/>
            <w:shd w:val="clear" w:color="auto" w:fill="auto"/>
            <w:vAlign w:val="center"/>
            <w:hideMark/>
          </w:tcPr>
          <w:p w14:paraId="57BC7DE2" w14:textId="77777777" w:rsidR="00EC32DE" w:rsidRPr="007D7059" w:rsidRDefault="00EC32DE" w:rsidP="00C67097">
            <w:pPr>
              <w:spacing w:line="240" w:lineRule="auto"/>
              <w:textAlignment w:val="baseline"/>
              <w:rPr>
                <w:rFonts w:ascii="Segoe UI" w:hAnsi="Segoe UI" w:cs="Segoe UI"/>
                <w:color w:val="000000"/>
                <w:sz w:val="18"/>
                <w:szCs w:val="18"/>
                <w:lang w:eastAsia="en-CA"/>
              </w:rPr>
            </w:pPr>
            <w:r w:rsidRPr="007D7059">
              <w:rPr>
                <w:rFonts w:ascii="Calibri" w:hAnsi="Calibri" w:cs="Calibri"/>
                <w:color w:val="000000"/>
                <w:lang w:eastAsia="en-CA"/>
              </w:rPr>
              <w:t>Incomplete separation of the placenta in cases of intrauterine death of one twin, in cases of a discordance in dichorionic twins gestation, may be associated with the return of preeclampsia after initial resolution. </w:t>
            </w:r>
          </w:p>
        </w:tc>
      </w:tr>
      <w:tr w:rsidR="00EC32DE" w:rsidRPr="007D7059" w14:paraId="3BA00648" w14:textId="77777777" w:rsidTr="001A1091">
        <w:trPr>
          <w:trHeight w:val="300"/>
        </w:trPr>
        <w:tc>
          <w:tcPr>
            <w:tcW w:w="1980" w:type="dxa"/>
            <w:shd w:val="clear" w:color="auto" w:fill="auto"/>
            <w:vAlign w:val="center"/>
            <w:hideMark/>
          </w:tcPr>
          <w:p w14:paraId="387DD084" w14:textId="77777777" w:rsidR="00EC32DE" w:rsidRPr="007D7059" w:rsidRDefault="00EC32DE" w:rsidP="00C67097">
            <w:pPr>
              <w:spacing w:line="240" w:lineRule="auto"/>
              <w:textAlignment w:val="baseline"/>
              <w:rPr>
                <w:rFonts w:ascii="Segoe UI" w:hAnsi="Segoe UI" w:cs="Segoe UI"/>
                <w:b/>
                <w:bCs/>
                <w:color w:val="000000"/>
                <w:sz w:val="18"/>
                <w:szCs w:val="18"/>
                <w:lang w:eastAsia="en-CA"/>
              </w:rPr>
            </w:pPr>
            <w:r w:rsidRPr="007D7059">
              <w:rPr>
                <w:rFonts w:ascii="Calibri" w:hAnsi="Calibri" w:cs="Calibri"/>
                <w:color w:val="000000"/>
                <w:lang w:eastAsia="en-CA"/>
              </w:rPr>
              <w:t>Brownfoot (2018)</w:t>
            </w:r>
            <w:r w:rsidRPr="007D7059">
              <w:rPr>
                <w:rFonts w:ascii="Calibri" w:hAnsi="Calibri" w:cs="Calibri"/>
                <w:color w:val="000000"/>
                <w:vertAlign w:val="superscript"/>
                <w:lang w:eastAsia="en-CA"/>
              </w:rPr>
              <w:t>62</w:t>
            </w:r>
            <w:r w:rsidRPr="007D7059">
              <w:rPr>
                <w:rFonts w:ascii="Calibri" w:hAnsi="Calibri" w:cs="Calibri"/>
                <w:b/>
                <w:bCs/>
                <w:color w:val="000000"/>
                <w:lang w:eastAsia="en-CA"/>
              </w:rPr>
              <w:t> </w:t>
            </w:r>
          </w:p>
        </w:tc>
        <w:tc>
          <w:tcPr>
            <w:tcW w:w="10972" w:type="dxa"/>
            <w:shd w:val="clear" w:color="auto" w:fill="auto"/>
            <w:vAlign w:val="center"/>
            <w:hideMark/>
          </w:tcPr>
          <w:p w14:paraId="4DB53430" w14:textId="77777777" w:rsidR="00EC32DE" w:rsidRPr="007D7059" w:rsidRDefault="00EC32DE" w:rsidP="00C67097">
            <w:pPr>
              <w:spacing w:line="240" w:lineRule="auto"/>
              <w:textAlignment w:val="baseline"/>
              <w:rPr>
                <w:rFonts w:ascii="Segoe UI" w:hAnsi="Segoe UI" w:cs="Segoe UI"/>
                <w:color w:val="000000"/>
                <w:sz w:val="18"/>
                <w:szCs w:val="18"/>
                <w:lang w:eastAsia="en-CA"/>
              </w:rPr>
            </w:pPr>
            <w:r w:rsidRPr="007D7059">
              <w:rPr>
                <w:rFonts w:ascii="Calibri" w:hAnsi="Calibri" w:cs="Calibri"/>
                <w:color w:val="000000"/>
                <w:lang w:eastAsia="en-CA"/>
              </w:rPr>
              <w:t>Sildenafil administration in patients with periviable pregnancy and preeclampsia maybe associated with prolonged gestation and improved outcomes. </w:t>
            </w:r>
          </w:p>
        </w:tc>
      </w:tr>
      <w:tr w:rsidR="00EC32DE" w:rsidRPr="007D7059" w14:paraId="73458E3C" w14:textId="77777777" w:rsidTr="001A1091">
        <w:trPr>
          <w:trHeight w:val="300"/>
        </w:trPr>
        <w:tc>
          <w:tcPr>
            <w:tcW w:w="1980" w:type="dxa"/>
            <w:shd w:val="clear" w:color="auto" w:fill="auto"/>
            <w:vAlign w:val="center"/>
            <w:hideMark/>
          </w:tcPr>
          <w:p w14:paraId="051DC0C4" w14:textId="77777777" w:rsidR="00EC32DE" w:rsidRPr="007D7059" w:rsidRDefault="00EC32DE" w:rsidP="00C67097">
            <w:pPr>
              <w:spacing w:line="240" w:lineRule="auto"/>
              <w:textAlignment w:val="baseline"/>
              <w:rPr>
                <w:rFonts w:ascii="Segoe UI" w:hAnsi="Segoe UI" w:cs="Segoe UI"/>
                <w:b/>
                <w:bCs/>
                <w:color w:val="000000"/>
                <w:sz w:val="18"/>
                <w:szCs w:val="18"/>
                <w:lang w:eastAsia="en-CA"/>
              </w:rPr>
            </w:pPr>
            <w:r w:rsidRPr="007D7059">
              <w:rPr>
                <w:rFonts w:ascii="Calibri" w:hAnsi="Calibri" w:cs="Calibri"/>
                <w:color w:val="000000"/>
                <w:lang w:eastAsia="en-CA"/>
              </w:rPr>
              <w:t>Chen (2016)</w:t>
            </w:r>
            <w:r w:rsidRPr="007D7059">
              <w:rPr>
                <w:rFonts w:ascii="Calibri" w:hAnsi="Calibri" w:cs="Calibri"/>
                <w:color w:val="000000"/>
                <w:vertAlign w:val="superscript"/>
                <w:lang w:eastAsia="en-CA"/>
              </w:rPr>
              <w:t>67</w:t>
            </w:r>
            <w:r w:rsidRPr="007D7059">
              <w:rPr>
                <w:rFonts w:ascii="Calibri" w:hAnsi="Calibri" w:cs="Calibri"/>
                <w:b/>
                <w:bCs/>
                <w:color w:val="000000"/>
                <w:lang w:eastAsia="en-CA"/>
              </w:rPr>
              <w:t> </w:t>
            </w:r>
          </w:p>
        </w:tc>
        <w:tc>
          <w:tcPr>
            <w:tcW w:w="10972" w:type="dxa"/>
            <w:shd w:val="clear" w:color="auto" w:fill="auto"/>
            <w:vAlign w:val="center"/>
            <w:hideMark/>
          </w:tcPr>
          <w:p w14:paraId="6178D30D" w14:textId="77777777" w:rsidR="00EC32DE" w:rsidRPr="007D7059" w:rsidRDefault="00EC32DE" w:rsidP="00C67097">
            <w:pPr>
              <w:spacing w:line="240" w:lineRule="auto"/>
              <w:textAlignment w:val="baseline"/>
              <w:rPr>
                <w:rFonts w:ascii="Segoe UI" w:hAnsi="Segoe UI" w:cs="Segoe UI"/>
                <w:color w:val="000000"/>
                <w:sz w:val="18"/>
                <w:szCs w:val="18"/>
                <w:lang w:eastAsia="en-CA"/>
              </w:rPr>
            </w:pPr>
            <w:r w:rsidRPr="007D7059">
              <w:rPr>
                <w:rFonts w:ascii="Calibri" w:hAnsi="Calibri" w:cs="Calibri"/>
                <w:color w:val="000000"/>
                <w:lang w:eastAsia="en-CA"/>
              </w:rPr>
              <w:t>Unidentified factors or triggers in the maternal serum at initial presentation of preeclampsia was responsible for producing “dangerous” or "toxic trophoblastic debris" leading to deterioration of the condition through endothelial activation. </w:t>
            </w:r>
          </w:p>
        </w:tc>
      </w:tr>
      <w:tr w:rsidR="00EC32DE" w:rsidRPr="007D7059" w14:paraId="6EA64556" w14:textId="77777777" w:rsidTr="001A1091">
        <w:trPr>
          <w:trHeight w:val="300"/>
        </w:trPr>
        <w:tc>
          <w:tcPr>
            <w:tcW w:w="1980" w:type="dxa"/>
            <w:shd w:val="clear" w:color="auto" w:fill="auto"/>
            <w:vAlign w:val="center"/>
            <w:hideMark/>
          </w:tcPr>
          <w:p w14:paraId="4E6E7EF2" w14:textId="77777777" w:rsidR="00EC32DE" w:rsidRPr="007D7059" w:rsidRDefault="00EC32DE" w:rsidP="00C67097">
            <w:pPr>
              <w:spacing w:line="240" w:lineRule="auto"/>
              <w:textAlignment w:val="baseline"/>
              <w:rPr>
                <w:rFonts w:ascii="Segoe UI" w:hAnsi="Segoe UI" w:cs="Segoe UI"/>
                <w:b/>
                <w:bCs/>
                <w:color w:val="000000"/>
                <w:sz w:val="18"/>
                <w:szCs w:val="18"/>
                <w:lang w:eastAsia="en-CA"/>
              </w:rPr>
            </w:pPr>
            <w:r w:rsidRPr="007D7059">
              <w:rPr>
                <w:rFonts w:ascii="Calibri" w:hAnsi="Calibri" w:cs="Calibri"/>
                <w:color w:val="000000"/>
                <w:lang w:eastAsia="en-CA"/>
              </w:rPr>
              <w:t>Fotiou (2016)</w:t>
            </w:r>
            <w:r w:rsidRPr="007D7059">
              <w:rPr>
                <w:rFonts w:ascii="Calibri" w:hAnsi="Calibri" w:cs="Calibri"/>
                <w:color w:val="000000"/>
                <w:vertAlign w:val="superscript"/>
                <w:lang w:eastAsia="en-CA"/>
              </w:rPr>
              <w:t>78</w:t>
            </w:r>
            <w:r w:rsidRPr="007D7059">
              <w:rPr>
                <w:rFonts w:ascii="Calibri" w:hAnsi="Calibri" w:cs="Calibri"/>
                <w:b/>
                <w:bCs/>
                <w:color w:val="000000"/>
                <w:vertAlign w:val="superscript"/>
                <w:lang w:eastAsia="en-CA"/>
              </w:rPr>
              <w:t> </w:t>
            </w:r>
          </w:p>
        </w:tc>
        <w:tc>
          <w:tcPr>
            <w:tcW w:w="10972" w:type="dxa"/>
            <w:shd w:val="clear" w:color="auto" w:fill="auto"/>
            <w:vAlign w:val="center"/>
            <w:hideMark/>
          </w:tcPr>
          <w:p w14:paraId="0008DA2B" w14:textId="77777777" w:rsidR="00EC32DE" w:rsidRPr="007D7059" w:rsidRDefault="00EC32DE" w:rsidP="00C67097">
            <w:pPr>
              <w:spacing w:line="240" w:lineRule="auto"/>
              <w:textAlignment w:val="baseline"/>
              <w:rPr>
                <w:rFonts w:ascii="Segoe UI" w:hAnsi="Segoe UI" w:cs="Segoe UI"/>
                <w:color w:val="000000"/>
                <w:sz w:val="18"/>
                <w:szCs w:val="18"/>
                <w:lang w:eastAsia="en-CA"/>
              </w:rPr>
            </w:pPr>
            <w:r w:rsidRPr="007D7059">
              <w:rPr>
                <w:rFonts w:ascii="Calibri" w:hAnsi="Calibri" w:cs="Calibri"/>
                <w:color w:val="000000"/>
                <w:lang w:eastAsia="en-CA"/>
              </w:rPr>
              <w:t>Elevated uric acid and potassium concentration, as well as cysteine to methionine ratio in amniotic fluid, may be associated with preeclampsia. </w:t>
            </w:r>
          </w:p>
        </w:tc>
      </w:tr>
      <w:tr w:rsidR="00EC32DE" w:rsidRPr="007D7059" w14:paraId="5D7B3F71" w14:textId="77777777" w:rsidTr="001A1091">
        <w:trPr>
          <w:trHeight w:val="300"/>
        </w:trPr>
        <w:tc>
          <w:tcPr>
            <w:tcW w:w="1980" w:type="dxa"/>
            <w:shd w:val="clear" w:color="auto" w:fill="auto"/>
            <w:vAlign w:val="center"/>
            <w:hideMark/>
          </w:tcPr>
          <w:p w14:paraId="7BBEEA67" w14:textId="77777777" w:rsidR="00EC32DE" w:rsidRPr="007D7059" w:rsidRDefault="00EC32DE" w:rsidP="00C67097">
            <w:pPr>
              <w:spacing w:line="240" w:lineRule="auto"/>
              <w:textAlignment w:val="baseline"/>
              <w:rPr>
                <w:rFonts w:ascii="Segoe UI" w:hAnsi="Segoe UI" w:cs="Segoe UI"/>
                <w:b/>
                <w:bCs/>
                <w:color w:val="000000"/>
                <w:sz w:val="18"/>
                <w:szCs w:val="18"/>
                <w:lang w:eastAsia="en-CA"/>
              </w:rPr>
            </w:pPr>
            <w:r w:rsidRPr="007D7059">
              <w:rPr>
                <w:rFonts w:ascii="Calibri" w:hAnsi="Calibri" w:cs="Calibri"/>
                <w:color w:val="000000"/>
                <w:lang w:eastAsia="en-CA"/>
              </w:rPr>
              <w:t>Fuchs (2016)</w:t>
            </w:r>
            <w:r w:rsidRPr="007D7059">
              <w:rPr>
                <w:rFonts w:ascii="Calibri" w:hAnsi="Calibri" w:cs="Calibri"/>
                <w:color w:val="000000"/>
                <w:vertAlign w:val="superscript"/>
                <w:lang w:eastAsia="en-CA"/>
              </w:rPr>
              <w:t>79</w:t>
            </w:r>
            <w:r w:rsidRPr="007D7059">
              <w:rPr>
                <w:rFonts w:ascii="Calibri" w:hAnsi="Calibri" w:cs="Calibri"/>
                <w:b/>
                <w:bCs/>
                <w:color w:val="000000"/>
                <w:vertAlign w:val="superscript"/>
                <w:lang w:eastAsia="en-CA"/>
              </w:rPr>
              <w:t> </w:t>
            </w:r>
          </w:p>
        </w:tc>
        <w:tc>
          <w:tcPr>
            <w:tcW w:w="10972" w:type="dxa"/>
            <w:shd w:val="clear" w:color="auto" w:fill="auto"/>
            <w:vAlign w:val="center"/>
            <w:hideMark/>
          </w:tcPr>
          <w:p w14:paraId="66336A20" w14:textId="77777777" w:rsidR="00EC32DE" w:rsidRPr="007D7059" w:rsidRDefault="00EC32DE" w:rsidP="00C67097">
            <w:pPr>
              <w:spacing w:line="240" w:lineRule="auto"/>
              <w:textAlignment w:val="baseline"/>
              <w:rPr>
                <w:rFonts w:ascii="Segoe UI" w:hAnsi="Segoe UI" w:cs="Segoe UI"/>
                <w:color w:val="000000"/>
                <w:sz w:val="18"/>
                <w:szCs w:val="18"/>
                <w:lang w:eastAsia="en-CA"/>
              </w:rPr>
            </w:pPr>
            <w:r w:rsidRPr="007D7059">
              <w:rPr>
                <w:rFonts w:ascii="Calibri" w:hAnsi="Calibri" w:cs="Calibri"/>
                <w:color w:val="000000"/>
                <w:lang w:eastAsia="en-CA"/>
              </w:rPr>
              <w:t>Selective feticide in cases of a discordance in dichorionic twins gestation may help resolve HELLP syndrome. </w:t>
            </w:r>
          </w:p>
        </w:tc>
      </w:tr>
      <w:tr w:rsidR="00EC32DE" w:rsidRPr="007D7059" w14:paraId="1AE339D0" w14:textId="77777777" w:rsidTr="001A1091">
        <w:trPr>
          <w:trHeight w:val="300"/>
        </w:trPr>
        <w:tc>
          <w:tcPr>
            <w:tcW w:w="1980" w:type="dxa"/>
            <w:shd w:val="clear" w:color="auto" w:fill="auto"/>
            <w:vAlign w:val="center"/>
            <w:hideMark/>
          </w:tcPr>
          <w:p w14:paraId="5C3DA884" w14:textId="77777777" w:rsidR="00EC32DE" w:rsidRPr="007D7059" w:rsidRDefault="00EC32DE" w:rsidP="00C67097">
            <w:pPr>
              <w:spacing w:line="240" w:lineRule="auto"/>
              <w:textAlignment w:val="baseline"/>
              <w:rPr>
                <w:rFonts w:ascii="Segoe UI" w:hAnsi="Segoe UI" w:cs="Segoe UI"/>
                <w:b/>
                <w:bCs/>
                <w:color w:val="000000"/>
                <w:sz w:val="18"/>
                <w:szCs w:val="18"/>
                <w:lang w:eastAsia="en-CA"/>
              </w:rPr>
            </w:pPr>
            <w:r w:rsidRPr="007D7059">
              <w:rPr>
                <w:rFonts w:ascii="Calibri" w:hAnsi="Calibri" w:cs="Calibri"/>
                <w:color w:val="000000"/>
                <w:lang w:eastAsia="en-CA"/>
              </w:rPr>
              <w:t>Ghazali (2019)</w:t>
            </w:r>
            <w:r w:rsidRPr="007D7059">
              <w:rPr>
                <w:rFonts w:ascii="Calibri" w:hAnsi="Calibri" w:cs="Calibri"/>
                <w:color w:val="000000"/>
                <w:vertAlign w:val="superscript"/>
                <w:lang w:eastAsia="en-CA"/>
              </w:rPr>
              <w:t>81</w:t>
            </w:r>
          </w:p>
        </w:tc>
        <w:tc>
          <w:tcPr>
            <w:tcW w:w="10972" w:type="dxa"/>
            <w:shd w:val="clear" w:color="auto" w:fill="auto"/>
            <w:vAlign w:val="center"/>
            <w:hideMark/>
          </w:tcPr>
          <w:p w14:paraId="4476C152" w14:textId="77777777" w:rsidR="00EC32DE" w:rsidRPr="007D7059" w:rsidRDefault="00EC32DE" w:rsidP="00C67097">
            <w:pPr>
              <w:spacing w:line="240" w:lineRule="auto"/>
              <w:textAlignment w:val="baseline"/>
              <w:rPr>
                <w:rFonts w:ascii="Segoe UI" w:hAnsi="Segoe UI" w:cs="Segoe UI"/>
                <w:color w:val="000000"/>
                <w:sz w:val="18"/>
                <w:szCs w:val="18"/>
                <w:lang w:eastAsia="en-CA"/>
              </w:rPr>
            </w:pPr>
            <w:r w:rsidRPr="007D7059">
              <w:rPr>
                <w:rFonts w:ascii="Calibri" w:hAnsi="Calibri" w:cs="Calibri"/>
                <w:color w:val="000000"/>
                <w:lang w:eastAsia="en-CA"/>
              </w:rPr>
              <w:t>In patients with preeclampsia and nephrotic range proteinuria, hypoalbuminemia may be a contributing factor to hyponatremia and ascites. </w:t>
            </w:r>
          </w:p>
        </w:tc>
      </w:tr>
      <w:tr w:rsidR="00EC32DE" w:rsidRPr="007D7059" w14:paraId="0BADC44C" w14:textId="77777777" w:rsidTr="001A1091">
        <w:trPr>
          <w:trHeight w:val="300"/>
        </w:trPr>
        <w:tc>
          <w:tcPr>
            <w:tcW w:w="1980" w:type="dxa"/>
            <w:shd w:val="clear" w:color="auto" w:fill="auto"/>
            <w:vAlign w:val="center"/>
            <w:hideMark/>
          </w:tcPr>
          <w:p w14:paraId="1A2D9DEE" w14:textId="77777777" w:rsidR="00EC32DE" w:rsidRPr="007D7059" w:rsidRDefault="00EC32DE" w:rsidP="00C67097">
            <w:pPr>
              <w:spacing w:line="240" w:lineRule="auto"/>
              <w:textAlignment w:val="baseline"/>
              <w:rPr>
                <w:rFonts w:ascii="Segoe UI" w:hAnsi="Segoe UI" w:cs="Segoe UI"/>
                <w:b/>
                <w:bCs/>
                <w:color w:val="000000"/>
                <w:sz w:val="18"/>
                <w:szCs w:val="18"/>
                <w:lang w:eastAsia="en-CA"/>
              </w:rPr>
            </w:pPr>
            <w:r w:rsidRPr="007D7059">
              <w:rPr>
                <w:rFonts w:ascii="Calibri" w:hAnsi="Calibri" w:cs="Calibri"/>
                <w:color w:val="000000"/>
                <w:lang w:eastAsia="en-CA"/>
              </w:rPr>
              <w:t>Grimmett (2019)</w:t>
            </w:r>
            <w:r w:rsidRPr="007D7059">
              <w:rPr>
                <w:rFonts w:ascii="Calibri" w:hAnsi="Calibri" w:cs="Calibri"/>
                <w:color w:val="000000"/>
                <w:vertAlign w:val="superscript"/>
                <w:lang w:eastAsia="en-CA"/>
              </w:rPr>
              <w:t>83</w:t>
            </w:r>
            <w:r w:rsidRPr="007D7059">
              <w:rPr>
                <w:rFonts w:ascii="Calibri" w:hAnsi="Calibri" w:cs="Calibri"/>
                <w:b/>
                <w:bCs/>
                <w:color w:val="000000"/>
                <w:lang w:eastAsia="en-CA"/>
              </w:rPr>
              <w:t> </w:t>
            </w:r>
          </w:p>
        </w:tc>
        <w:tc>
          <w:tcPr>
            <w:tcW w:w="10972" w:type="dxa"/>
            <w:shd w:val="clear" w:color="auto" w:fill="auto"/>
            <w:vAlign w:val="center"/>
            <w:hideMark/>
          </w:tcPr>
          <w:p w14:paraId="6310843B" w14:textId="77777777" w:rsidR="00EC32DE" w:rsidRPr="007D7059" w:rsidRDefault="00EC32DE" w:rsidP="00C67097">
            <w:pPr>
              <w:spacing w:line="240" w:lineRule="auto"/>
              <w:textAlignment w:val="baseline"/>
              <w:rPr>
                <w:rFonts w:ascii="Segoe UI" w:hAnsi="Segoe UI" w:cs="Segoe UI"/>
                <w:color w:val="000000"/>
                <w:sz w:val="18"/>
                <w:szCs w:val="18"/>
                <w:lang w:eastAsia="en-CA"/>
              </w:rPr>
            </w:pPr>
            <w:r w:rsidRPr="007D7059">
              <w:rPr>
                <w:rFonts w:ascii="Calibri" w:hAnsi="Calibri" w:cs="Calibri"/>
                <w:color w:val="000000"/>
                <w:lang w:eastAsia="en-CA"/>
              </w:rPr>
              <w:t>Preeclampsia may cause hyponatremia. </w:t>
            </w:r>
          </w:p>
        </w:tc>
      </w:tr>
      <w:tr w:rsidR="00EC32DE" w:rsidRPr="007D7059" w14:paraId="0FCBD9EA" w14:textId="77777777" w:rsidTr="001A1091">
        <w:trPr>
          <w:trHeight w:val="300"/>
        </w:trPr>
        <w:tc>
          <w:tcPr>
            <w:tcW w:w="1980" w:type="dxa"/>
            <w:shd w:val="clear" w:color="auto" w:fill="auto"/>
            <w:vAlign w:val="center"/>
            <w:hideMark/>
          </w:tcPr>
          <w:p w14:paraId="24504A90" w14:textId="77777777" w:rsidR="00EC32DE" w:rsidRPr="007D7059" w:rsidRDefault="00EC32DE" w:rsidP="00C67097">
            <w:pPr>
              <w:spacing w:line="240" w:lineRule="auto"/>
              <w:textAlignment w:val="baseline"/>
              <w:rPr>
                <w:rFonts w:ascii="Segoe UI" w:hAnsi="Segoe UI" w:cs="Segoe UI"/>
                <w:b/>
                <w:bCs/>
                <w:color w:val="000000"/>
                <w:sz w:val="18"/>
                <w:szCs w:val="18"/>
                <w:lang w:eastAsia="en-CA"/>
              </w:rPr>
            </w:pPr>
            <w:r w:rsidRPr="007D7059">
              <w:rPr>
                <w:rFonts w:ascii="Calibri" w:hAnsi="Calibri" w:cs="Calibri"/>
                <w:color w:val="000000"/>
                <w:lang w:eastAsia="en-CA"/>
              </w:rPr>
              <w:t>Guerby (2020)</w:t>
            </w:r>
            <w:r w:rsidRPr="007D7059">
              <w:rPr>
                <w:rFonts w:ascii="Calibri" w:hAnsi="Calibri" w:cs="Calibri"/>
                <w:color w:val="000000"/>
                <w:vertAlign w:val="superscript"/>
                <w:lang w:eastAsia="en-CA"/>
              </w:rPr>
              <w:t>84</w:t>
            </w:r>
            <w:r w:rsidRPr="007D7059">
              <w:rPr>
                <w:rFonts w:ascii="Calibri" w:hAnsi="Calibri" w:cs="Calibri"/>
                <w:b/>
                <w:bCs/>
                <w:color w:val="000000"/>
                <w:lang w:eastAsia="en-CA"/>
              </w:rPr>
              <w:t> </w:t>
            </w:r>
          </w:p>
        </w:tc>
        <w:tc>
          <w:tcPr>
            <w:tcW w:w="10972" w:type="dxa"/>
            <w:shd w:val="clear" w:color="auto" w:fill="auto"/>
            <w:vAlign w:val="center"/>
            <w:hideMark/>
          </w:tcPr>
          <w:p w14:paraId="37493D92" w14:textId="77777777" w:rsidR="00EC32DE" w:rsidRPr="007D7059" w:rsidRDefault="00EC32DE" w:rsidP="00C67097">
            <w:pPr>
              <w:spacing w:line="240" w:lineRule="auto"/>
              <w:textAlignment w:val="baseline"/>
              <w:rPr>
                <w:rFonts w:ascii="Segoe UI" w:hAnsi="Segoe UI" w:cs="Segoe UI"/>
                <w:color w:val="000000"/>
                <w:sz w:val="18"/>
                <w:szCs w:val="18"/>
                <w:lang w:eastAsia="en-CA"/>
              </w:rPr>
            </w:pPr>
            <w:r w:rsidRPr="007D7059">
              <w:rPr>
                <w:rFonts w:ascii="Calibri" w:hAnsi="Calibri" w:cs="Calibri"/>
                <w:color w:val="000000"/>
                <w:lang w:eastAsia="en-CA"/>
              </w:rPr>
              <w:t>Selective feticide in cases of a discordance in dichorionic twins gestation in the third trimester may be associated with a decrease in the substances involved in the physiopathology of preeclampsia and may lead to better maternal outcomes. </w:t>
            </w:r>
          </w:p>
        </w:tc>
      </w:tr>
      <w:tr w:rsidR="00EC32DE" w:rsidRPr="007D7059" w14:paraId="16FDCC08" w14:textId="77777777" w:rsidTr="001A1091">
        <w:trPr>
          <w:trHeight w:val="300"/>
        </w:trPr>
        <w:tc>
          <w:tcPr>
            <w:tcW w:w="1980" w:type="dxa"/>
            <w:shd w:val="clear" w:color="auto" w:fill="auto"/>
            <w:vAlign w:val="center"/>
            <w:hideMark/>
          </w:tcPr>
          <w:p w14:paraId="1A73B19D" w14:textId="77777777" w:rsidR="00EC32DE" w:rsidRPr="007D7059" w:rsidRDefault="00EC32DE" w:rsidP="00C67097">
            <w:pPr>
              <w:spacing w:line="240" w:lineRule="auto"/>
              <w:textAlignment w:val="baseline"/>
              <w:rPr>
                <w:rFonts w:ascii="Segoe UI" w:hAnsi="Segoe UI" w:cs="Segoe UI"/>
                <w:b/>
                <w:bCs/>
                <w:color w:val="000000"/>
                <w:sz w:val="18"/>
                <w:szCs w:val="18"/>
                <w:lang w:eastAsia="en-CA"/>
              </w:rPr>
            </w:pPr>
            <w:r w:rsidRPr="007D7059">
              <w:rPr>
                <w:rFonts w:ascii="Calibri" w:hAnsi="Calibri" w:cs="Calibri"/>
                <w:color w:val="000000"/>
                <w:lang w:eastAsia="en-CA"/>
              </w:rPr>
              <w:t>Hauksdottir (2015)</w:t>
            </w:r>
            <w:r w:rsidRPr="007D7059">
              <w:rPr>
                <w:rFonts w:ascii="Calibri" w:hAnsi="Calibri" w:cs="Calibri"/>
                <w:color w:val="000000"/>
                <w:vertAlign w:val="superscript"/>
                <w:lang w:eastAsia="en-CA"/>
              </w:rPr>
              <w:t>89</w:t>
            </w:r>
            <w:r w:rsidRPr="007D7059">
              <w:rPr>
                <w:rFonts w:ascii="Calibri" w:hAnsi="Calibri" w:cs="Calibri"/>
                <w:b/>
                <w:bCs/>
                <w:color w:val="000000"/>
                <w:lang w:eastAsia="en-CA"/>
              </w:rPr>
              <w:t> </w:t>
            </w:r>
          </w:p>
        </w:tc>
        <w:tc>
          <w:tcPr>
            <w:tcW w:w="10972" w:type="dxa"/>
            <w:shd w:val="clear" w:color="auto" w:fill="auto"/>
            <w:vAlign w:val="center"/>
            <w:hideMark/>
          </w:tcPr>
          <w:p w14:paraId="63719213" w14:textId="77777777" w:rsidR="00EC32DE" w:rsidRPr="007D7059" w:rsidRDefault="00EC32DE" w:rsidP="00C67097">
            <w:pPr>
              <w:spacing w:line="240" w:lineRule="auto"/>
              <w:textAlignment w:val="baseline"/>
              <w:rPr>
                <w:rFonts w:ascii="Segoe UI" w:hAnsi="Segoe UI" w:cs="Segoe UI"/>
                <w:color w:val="000000"/>
                <w:sz w:val="18"/>
                <w:szCs w:val="18"/>
                <w:lang w:eastAsia="en-CA"/>
              </w:rPr>
            </w:pPr>
            <w:r w:rsidRPr="007D7059">
              <w:rPr>
                <w:rFonts w:ascii="Calibri" w:hAnsi="Calibri" w:cs="Calibri"/>
                <w:color w:val="000000"/>
                <w:lang w:eastAsia="en-CA"/>
              </w:rPr>
              <w:t>Licorice ingestions in patients with an 11beta-HSD2 genetic defect may be associated with early severe preeclampsia. </w:t>
            </w:r>
          </w:p>
        </w:tc>
      </w:tr>
      <w:tr w:rsidR="00EC32DE" w:rsidRPr="007D7059" w14:paraId="1E0044AE" w14:textId="77777777" w:rsidTr="001A1091">
        <w:trPr>
          <w:trHeight w:val="300"/>
        </w:trPr>
        <w:tc>
          <w:tcPr>
            <w:tcW w:w="1980" w:type="dxa"/>
            <w:shd w:val="clear" w:color="auto" w:fill="auto"/>
            <w:vAlign w:val="center"/>
            <w:hideMark/>
          </w:tcPr>
          <w:p w14:paraId="2188FC51" w14:textId="77777777" w:rsidR="00EC32DE" w:rsidRPr="007D7059" w:rsidRDefault="00EC32DE" w:rsidP="00C67097">
            <w:pPr>
              <w:spacing w:line="240" w:lineRule="auto"/>
              <w:textAlignment w:val="baseline"/>
              <w:rPr>
                <w:rFonts w:ascii="Segoe UI" w:hAnsi="Segoe UI" w:cs="Segoe UI"/>
                <w:b/>
                <w:bCs/>
                <w:color w:val="000000"/>
                <w:sz w:val="18"/>
                <w:szCs w:val="18"/>
                <w:lang w:eastAsia="en-CA"/>
              </w:rPr>
            </w:pPr>
            <w:r w:rsidRPr="007D7059">
              <w:rPr>
                <w:rFonts w:ascii="Calibri" w:hAnsi="Calibri" w:cs="Calibri"/>
                <w:color w:val="000000"/>
                <w:lang w:eastAsia="en-CA"/>
              </w:rPr>
              <w:t>Hayashi (2020)</w:t>
            </w:r>
            <w:r w:rsidRPr="007D7059">
              <w:rPr>
                <w:rFonts w:ascii="Calibri" w:hAnsi="Calibri" w:cs="Calibri"/>
                <w:color w:val="000000"/>
                <w:vertAlign w:val="superscript"/>
                <w:lang w:eastAsia="en-CA"/>
              </w:rPr>
              <w:t>90</w:t>
            </w:r>
            <w:r w:rsidRPr="007D7059">
              <w:rPr>
                <w:rFonts w:ascii="Calibri" w:hAnsi="Calibri" w:cs="Calibri"/>
                <w:b/>
                <w:bCs/>
                <w:color w:val="000000"/>
                <w:lang w:eastAsia="en-CA"/>
              </w:rPr>
              <w:t> </w:t>
            </w:r>
          </w:p>
        </w:tc>
        <w:tc>
          <w:tcPr>
            <w:tcW w:w="10972" w:type="dxa"/>
            <w:shd w:val="clear" w:color="auto" w:fill="auto"/>
            <w:vAlign w:val="center"/>
            <w:hideMark/>
          </w:tcPr>
          <w:p w14:paraId="1F4465C0" w14:textId="77777777" w:rsidR="00EC32DE" w:rsidRPr="007D7059" w:rsidRDefault="00EC32DE" w:rsidP="00C67097">
            <w:pPr>
              <w:spacing w:line="240" w:lineRule="auto"/>
              <w:textAlignment w:val="baseline"/>
              <w:rPr>
                <w:rFonts w:ascii="Segoe UI" w:hAnsi="Segoe UI" w:cs="Segoe UI"/>
                <w:color w:val="000000"/>
                <w:sz w:val="18"/>
                <w:szCs w:val="18"/>
                <w:lang w:eastAsia="en-CA"/>
              </w:rPr>
            </w:pPr>
            <w:r w:rsidRPr="007D7059">
              <w:rPr>
                <w:rFonts w:ascii="Calibri" w:hAnsi="Calibri" w:cs="Calibri"/>
                <w:color w:val="000000"/>
                <w:lang w:eastAsia="en-CA"/>
              </w:rPr>
              <w:t>Spontaneous intrauterine death of a twin in a discordance in dichorionic twins gestation during the third trimester may be associated with the resolution of preeclampsia. </w:t>
            </w:r>
          </w:p>
        </w:tc>
      </w:tr>
      <w:tr w:rsidR="00EC32DE" w:rsidRPr="007D7059" w14:paraId="1F33F650" w14:textId="77777777" w:rsidTr="001A1091">
        <w:trPr>
          <w:trHeight w:val="300"/>
        </w:trPr>
        <w:tc>
          <w:tcPr>
            <w:tcW w:w="1980" w:type="dxa"/>
            <w:shd w:val="clear" w:color="auto" w:fill="auto"/>
            <w:vAlign w:val="center"/>
            <w:hideMark/>
          </w:tcPr>
          <w:p w14:paraId="0B577718" w14:textId="77777777" w:rsidR="00EC32DE" w:rsidRPr="007D7059" w:rsidRDefault="00EC32DE" w:rsidP="00C67097">
            <w:pPr>
              <w:spacing w:line="240" w:lineRule="auto"/>
              <w:textAlignment w:val="baseline"/>
              <w:rPr>
                <w:rFonts w:ascii="Segoe UI" w:hAnsi="Segoe UI" w:cs="Segoe UI"/>
                <w:b/>
                <w:bCs/>
                <w:color w:val="000000"/>
                <w:sz w:val="18"/>
                <w:szCs w:val="18"/>
                <w:lang w:eastAsia="en-CA"/>
              </w:rPr>
            </w:pPr>
            <w:r w:rsidRPr="007D7059">
              <w:rPr>
                <w:rFonts w:ascii="Calibri" w:hAnsi="Calibri" w:cs="Calibri"/>
                <w:color w:val="000000"/>
                <w:lang w:eastAsia="en-CA"/>
              </w:rPr>
              <w:t>Hinkson (2018)</w:t>
            </w:r>
            <w:r w:rsidRPr="007D7059">
              <w:rPr>
                <w:rFonts w:ascii="Calibri" w:hAnsi="Calibri" w:cs="Calibri"/>
                <w:color w:val="000000"/>
                <w:vertAlign w:val="superscript"/>
                <w:lang w:eastAsia="en-CA"/>
              </w:rPr>
              <w:t>91</w:t>
            </w:r>
            <w:r w:rsidRPr="007D7059">
              <w:rPr>
                <w:rFonts w:ascii="Calibri" w:hAnsi="Calibri" w:cs="Calibri"/>
                <w:b/>
                <w:bCs/>
                <w:color w:val="000000"/>
                <w:lang w:eastAsia="en-CA"/>
              </w:rPr>
              <w:t> </w:t>
            </w:r>
          </w:p>
        </w:tc>
        <w:tc>
          <w:tcPr>
            <w:tcW w:w="10972" w:type="dxa"/>
            <w:shd w:val="clear" w:color="auto" w:fill="auto"/>
            <w:vAlign w:val="center"/>
            <w:hideMark/>
          </w:tcPr>
          <w:p w14:paraId="358089D1" w14:textId="77777777" w:rsidR="00EC32DE" w:rsidRPr="007D7059" w:rsidRDefault="00EC32DE" w:rsidP="00C67097">
            <w:pPr>
              <w:spacing w:line="240" w:lineRule="auto"/>
              <w:textAlignment w:val="baseline"/>
              <w:rPr>
                <w:rFonts w:ascii="Segoe UI" w:hAnsi="Segoe UI" w:cs="Segoe UI"/>
                <w:color w:val="000000"/>
                <w:sz w:val="18"/>
                <w:szCs w:val="18"/>
                <w:lang w:eastAsia="en-CA"/>
              </w:rPr>
            </w:pPr>
            <w:r w:rsidRPr="007D7059">
              <w:rPr>
                <w:rFonts w:ascii="Calibri" w:hAnsi="Calibri" w:cs="Calibri"/>
                <w:color w:val="000000"/>
                <w:lang w:eastAsia="en-CA"/>
              </w:rPr>
              <w:t>Hyponatremia may be associated with adverse outcomes in patients with preeclampsia. </w:t>
            </w:r>
          </w:p>
        </w:tc>
      </w:tr>
      <w:tr w:rsidR="00EC32DE" w:rsidRPr="007D7059" w14:paraId="1BE53E6F" w14:textId="77777777" w:rsidTr="001A1091">
        <w:trPr>
          <w:trHeight w:val="300"/>
        </w:trPr>
        <w:tc>
          <w:tcPr>
            <w:tcW w:w="1980" w:type="dxa"/>
            <w:shd w:val="clear" w:color="auto" w:fill="auto"/>
            <w:vAlign w:val="center"/>
            <w:hideMark/>
          </w:tcPr>
          <w:p w14:paraId="277D174F" w14:textId="77777777" w:rsidR="00EC32DE" w:rsidRPr="007D7059" w:rsidRDefault="00EC32DE" w:rsidP="00C67097">
            <w:pPr>
              <w:spacing w:line="240" w:lineRule="auto"/>
              <w:textAlignment w:val="baseline"/>
              <w:rPr>
                <w:rFonts w:ascii="Segoe UI" w:hAnsi="Segoe UI" w:cs="Segoe UI"/>
                <w:b/>
                <w:bCs/>
                <w:color w:val="000000"/>
                <w:sz w:val="18"/>
                <w:szCs w:val="18"/>
                <w:lang w:eastAsia="en-CA"/>
              </w:rPr>
            </w:pPr>
            <w:r w:rsidRPr="007D7059">
              <w:rPr>
                <w:rFonts w:ascii="Calibri" w:hAnsi="Calibri" w:cs="Calibri"/>
                <w:color w:val="000000"/>
                <w:lang w:eastAsia="en-CA"/>
              </w:rPr>
              <w:lastRenderedPageBreak/>
              <w:t>Kim (2020)</w:t>
            </w:r>
            <w:r w:rsidRPr="007D7059">
              <w:rPr>
                <w:rFonts w:ascii="Calibri" w:hAnsi="Calibri" w:cs="Calibri"/>
                <w:color w:val="000000"/>
                <w:vertAlign w:val="superscript"/>
                <w:lang w:eastAsia="en-CA"/>
              </w:rPr>
              <w:t>99</w:t>
            </w:r>
            <w:r w:rsidRPr="007D7059">
              <w:rPr>
                <w:rFonts w:ascii="Calibri" w:hAnsi="Calibri" w:cs="Calibri"/>
                <w:b/>
                <w:bCs/>
                <w:color w:val="000000"/>
                <w:lang w:eastAsia="en-CA"/>
              </w:rPr>
              <w:t> </w:t>
            </w:r>
          </w:p>
        </w:tc>
        <w:tc>
          <w:tcPr>
            <w:tcW w:w="10972" w:type="dxa"/>
            <w:shd w:val="clear" w:color="auto" w:fill="auto"/>
            <w:vAlign w:val="center"/>
            <w:hideMark/>
          </w:tcPr>
          <w:p w14:paraId="04F3E6AD" w14:textId="77777777" w:rsidR="00EC32DE" w:rsidRPr="007D7059" w:rsidRDefault="00EC32DE" w:rsidP="00C67097">
            <w:pPr>
              <w:spacing w:line="240" w:lineRule="auto"/>
              <w:textAlignment w:val="baseline"/>
              <w:rPr>
                <w:rFonts w:ascii="Segoe UI" w:hAnsi="Segoe UI" w:cs="Segoe UI"/>
                <w:color w:val="000000"/>
                <w:sz w:val="18"/>
                <w:szCs w:val="18"/>
                <w:lang w:eastAsia="en-CA"/>
              </w:rPr>
            </w:pPr>
            <w:r w:rsidRPr="007D7059">
              <w:rPr>
                <w:rFonts w:ascii="Calibri" w:hAnsi="Calibri" w:cs="Calibri"/>
                <w:color w:val="000000"/>
                <w:lang w:eastAsia="en-CA"/>
              </w:rPr>
              <w:t>In patients with preeclampsia and obstructive sleep apnea, CPAP may help control blood pressure and prolong pregnancy. </w:t>
            </w:r>
          </w:p>
        </w:tc>
      </w:tr>
      <w:tr w:rsidR="00EC32DE" w:rsidRPr="007D7059" w14:paraId="455856D1" w14:textId="77777777" w:rsidTr="001A1091">
        <w:trPr>
          <w:trHeight w:val="300"/>
        </w:trPr>
        <w:tc>
          <w:tcPr>
            <w:tcW w:w="1980" w:type="dxa"/>
            <w:shd w:val="clear" w:color="auto" w:fill="auto"/>
            <w:vAlign w:val="center"/>
            <w:hideMark/>
          </w:tcPr>
          <w:p w14:paraId="4498FC05" w14:textId="77777777" w:rsidR="00EC32DE" w:rsidRPr="007D7059" w:rsidRDefault="00EC32DE" w:rsidP="00C67097">
            <w:pPr>
              <w:spacing w:line="240" w:lineRule="auto"/>
              <w:textAlignment w:val="baseline"/>
              <w:rPr>
                <w:rFonts w:ascii="Segoe UI" w:hAnsi="Segoe UI" w:cs="Segoe UI"/>
                <w:b/>
                <w:bCs/>
                <w:color w:val="000000"/>
                <w:sz w:val="18"/>
                <w:szCs w:val="18"/>
                <w:lang w:eastAsia="en-CA"/>
              </w:rPr>
            </w:pPr>
            <w:r w:rsidRPr="007D7059">
              <w:rPr>
                <w:rFonts w:ascii="Calibri" w:hAnsi="Calibri" w:cs="Calibri"/>
                <w:color w:val="000000"/>
                <w:lang w:eastAsia="en-CA"/>
              </w:rPr>
              <w:t>Kocher (2019)</w:t>
            </w:r>
            <w:r w:rsidRPr="007D7059">
              <w:rPr>
                <w:rFonts w:ascii="Calibri" w:hAnsi="Calibri" w:cs="Calibri"/>
                <w:color w:val="000000"/>
                <w:vertAlign w:val="superscript"/>
                <w:lang w:eastAsia="en-CA"/>
              </w:rPr>
              <w:t>101</w:t>
            </w:r>
            <w:r w:rsidRPr="007D7059">
              <w:rPr>
                <w:rFonts w:ascii="Calibri" w:hAnsi="Calibri" w:cs="Calibri"/>
                <w:b/>
                <w:bCs/>
                <w:color w:val="000000"/>
                <w:lang w:eastAsia="en-CA"/>
              </w:rPr>
              <w:t> </w:t>
            </w:r>
          </w:p>
        </w:tc>
        <w:tc>
          <w:tcPr>
            <w:tcW w:w="10972" w:type="dxa"/>
            <w:shd w:val="clear" w:color="auto" w:fill="auto"/>
            <w:vAlign w:val="center"/>
            <w:hideMark/>
          </w:tcPr>
          <w:p w14:paraId="3C092189" w14:textId="77777777" w:rsidR="00EC32DE" w:rsidRPr="007D7059" w:rsidRDefault="00EC32DE" w:rsidP="00C67097">
            <w:pPr>
              <w:spacing w:line="240" w:lineRule="auto"/>
              <w:textAlignment w:val="baseline"/>
              <w:rPr>
                <w:rFonts w:ascii="Segoe UI" w:hAnsi="Segoe UI" w:cs="Segoe UI"/>
                <w:color w:val="000000"/>
                <w:sz w:val="18"/>
                <w:szCs w:val="18"/>
                <w:lang w:eastAsia="en-CA"/>
              </w:rPr>
            </w:pPr>
            <w:r w:rsidRPr="007D7059">
              <w:rPr>
                <w:rFonts w:ascii="Calibri" w:hAnsi="Calibri" w:cs="Calibri"/>
                <w:color w:val="000000"/>
                <w:lang w:eastAsia="en-CA"/>
              </w:rPr>
              <w:t>Acupuncture therapy may be associated with positive outcomes in patients with preeclampsia. </w:t>
            </w:r>
          </w:p>
        </w:tc>
      </w:tr>
      <w:tr w:rsidR="00EC32DE" w:rsidRPr="007D7059" w14:paraId="2E645F90" w14:textId="77777777" w:rsidTr="001A1091">
        <w:trPr>
          <w:trHeight w:val="300"/>
        </w:trPr>
        <w:tc>
          <w:tcPr>
            <w:tcW w:w="1980" w:type="dxa"/>
            <w:shd w:val="clear" w:color="auto" w:fill="auto"/>
            <w:vAlign w:val="center"/>
            <w:hideMark/>
          </w:tcPr>
          <w:p w14:paraId="690765CB" w14:textId="77777777" w:rsidR="00EC32DE" w:rsidRPr="007D7059" w:rsidRDefault="00EC32DE" w:rsidP="00C67097">
            <w:pPr>
              <w:spacing w:line="240" w:lineRule="auto"/>
              <w:textAlignment w:val="baseline"/>
              <w:rPr>
                <w:rFonts w:ascii="Segoe UI" w:hAnsi="Segoe UI" w:cs="Segoe UI"/>
                <w:b/>
                <w:bCs/>
                <w:color w:val="000000"/>
                <w:sz w:val="18"/>
                <w:szCs w:val="18"/>
                <w:lang w:eastAsia="en-CA"/>
              </w:rPr>
            </w:pPr>
            <w:r w:rsidRPr="007D7059">
              <w:rPr>
                <w:rFonts w:ascii="Calibri" w:hAnsi="Calibri" w:cs="Calibri"/>
                <w:color w:val="000000"/>
                <w:lang w:eastAsia="en-CA"/>
              </w:rPr>
              <w:t>Kuwabara (2020)</w:t>
            </w:r>
            <w:r w:rsidRPr="007D7059">
              <w:rPr>
                <w:rFonts w:ascii="Calibri" w:hAnsi="Calibri" w:cs="Calibri"/>
                <w:color w:val="000000"/>
                <w:vertAlign w:val="superscript"/>
                <w:lang w:eastAsia="en-CA"/>
              </w:rPr>
              <w:t>105</w:t>
            </w:r>
            <w:r w:rsidRPr="007D7059">
              <w:rPr>
                <w:rFonts w:ascii="Calibri" w:hAnsi="Calibri" w:cs="Calibri"/>
                <w:b/>
                <w:bCs/>
                <w:color w:val="000000"/>
                <w:lang w:eastAsia="en-CA"/>
              </w:rPr>
              <w:t> </w:t>
            </w:r>
          </w:p>
        </w:tc>
        <w:tc>
          <w:tcPr>
            <w:tcW w:w="10972" w:type="dxa"/>
            <w:shd w:val="clear" w:color="auto" w:fill="auto"/>
            <w:vAlign w:val="center"/>
            <w:hideMark/>
          </w:tcPr>
          <w:p w14:paraId="5BD8FCBA" w14:textId="77777777" w:rsidR="00EC32DE" w:rsidRPr="007D7059" w:rsidRDefault="00EC32DE" w:rsidP="00C67097">
            <w:pPr>
              <w:spacing w:line="240" w:lineRule="auto"/>
              <w:textAlignment w:val="baseline"/>
              <w:rPr>
                <w:rFonts w:ascii="Segoe UI" w:hAnsi="Segoe UI" w:cs="Segoe UI"/>
                <w:color w:val="000000"/>
                <w:sz w:val="18"/>
                <w:szCs w:val="18"/>
                <w:lang w:eastAsia="en-CA"/>
              </w:rPr>
            </w:pPr>
            <w:r w:rsidRPr="007D7059">
              <w:rPr>
                <w:rFonts w:ascii="Calibri" w:hAnsi="Calibri" w:cs="Calibri"/>
                <w:color w:val="000000"/>
                <w:lang w:eastAsia="en-CA"/>
              </w:rPr>
              <w:t>Enhanced expression of sFlt-1 in the syncytiotrophoblast may be part of the etiology of preeclampsia in patients with placental mesenchymal dysplasia. </w:t>
            </w:r>
          </w:p>
        </w:tc>
      </w:tr>
      <w:tr w:rsidR="00EC32DE" w:rsidRPr="007D7059" w14:paraId="34F0F56B" w14:textId="77777777" w:rsidTr="001A1091">
        <w:trPr>
          <w:trHeight w:val="300"/>
        </w:trPr>
        <w:tc>
          <w:tcPr>
            <w:tcW w:w="1980" w:type="dxa"/>
            <w:shd w:val="clear" w:color="auto" w:fill="auto"/>
            <w:vAlign w:val="center"/>
            <w:hideMark/>
          </w:tcPr>
          <w:p w14:paraId="5BB2D1AE" w14:textId="77777777" w:rsidR="00EC32DE" w:rsidRPr="007D7059" w:rsidRDefault="00EC32DE" w:rsidP="00C67097">
            <w:pPr>
              <w:spacing w:line="240" w:lineRule="auto"/>
              <w:textAlignment w:val="baseline"/>
              <w:rPr>
                <w:rFonts w:ascii="Segoe UI" w:hAnsi="Segoe UI" w:cs="Segoe UI"/>
                <w:b/>
                <w:bCs/>
                <w:color w:val="000000"/>
                <w:sz w:val="18"/>
                <w:szCs w:val="18"/>
                <w:lang w:eastAsia="en-CA"/>
              </w:rPr>
            </w:pPr>
            <w:r w:rsidRPr="007D7059">
              <w:rPr>
                <w:rFonts w:ascii="Calibri" w:hAnsi="Calibri" w:cs="Calibri"/>
                <w:color w:val="000000"/>
                <w:lang w:eastAsia="en-CA"/>
              </w:rPr>
              <w:t>Lokki (2020)</w:t>
            </w:r>
            <w:r w:rsidRPr="007D7059">
              <w:rPr>
                <w:rFonts w:ascii="Calibri" w:hAnsi="Calibri" w:cs="Calibri"/>
                <w:color w:val="000000"/>
                <w:vertAlign w:val="superscript"/>
                <w:lang w:eastAsia="en-CA"/>
              </w:rPr>
              <w:t>109</w:t>
            </w:r>
            <w:r w:rsidRPr="007D7059">
              <w:rPr>
                <w:rFonts w:ascii="Calibri" w:hAnsi="Calibri" w:cs="Calibri"/>
                <w:b/>
                <w:bCs/>
                <w:color w:val="000000"/>
                <w:lang w:eastAsia="en-CA"/>
              </w:rPr>
              <w:t> </w:t>
            </w:r>
          </w:p>
        </w:tc>
        <w:tc>
          <w:tcPr>
            <w:tcW w:w="10972" w:type="dxa"/>
            <w:shd w:val="clear" w:color="auto" w:fill="auto"/>
            <w:vAlign w:val="center"/>
            <w:hideMark/>
          </w:tcPr>
          <w:p w14:paraId="7622ED27" w14:textId="77777777" w:rsidR="00EC32DE" w:rsidRPr="007D7059" w:rsidRDefault="00EC32DE" w:rsidP="00C67097">
            <w:pPr>
              <w:spacing w:line="240" w:lineRule="auto"/>
              <w:textAlignment w:val="baseline"/>
              <w:rPr>
                <w:rFonts w:ascii="Segoe UI" w:hAnsi="Segoe UI" w:cs="Segoe UI"/>
                <w:color w:val="000000"/>
                <w:sz w:val="18"/>
                <w:szCs w:val="18"/>
                <w:lang w:eastAsia="en-CA"/>
              </w:rPr>
            </w:pPr>
            <w:r w:rsidRPr="007D7059">
              <w:rPr>
                <w:rFonts w:ascii="Calibri" w:hAnsi="Calibri" w:cs="Calibri"/>
                <w:color w:val="000000"/>
                <w:lang w:eastAsia="en-CA"/>
              </w:rPr>
              <w:t>Eculizumab may be associated with positive outcomes in patients with HELLP syndrome. </w:t>
            </w:r>
          </w:p>
        </w:tc>
      </w:tr>
      <w:tr w:rsidR="00EC32DE" w:rsidRPr="007D7059" w14:paraId="21207F4C" w14:textId="77777777" w:rsidTr="001A1091">
        <w:trPr>
          <w:trHeight w:val="300"/>
        </w:trPr>
        <w:tc>
          <w:tcPr>
            <w:tcW w:w="1980" w:type="dxa"/>
            <w:shd w:val="clear" w:color="auto" w:fill="auto"/>
            <w:vAlign w:val="center"/>
            <w:hideMark/>
          </w:tcPr>
          <w:p w14:paraId="1B03D447" w14:textId="77777777" w:rsidR="00EC32DE" w:rsidRPr="007D7059" w:rsidRDefault="00EC32DE" w:rsidP="00C67097">
            <w:pPr>
              <w:spacing w:line="240" w:lineRule="auto"/>
              <w:textAlignment w:val="baseline"/>
              <w:rPr>
                <w:rFonts w:ascii="Segoe UI" w:hAnsi="Segoe UI" w:cs="Segoe UI"/>
                <w:b/>
                <w:bCs/>
                <w:color w:val="000000"/>
                <w:sz w:val="18"/>
                <w:szCs w:val="18"/>
                <w:lang w:eastAsia="en-CA"/>
              </w:rPr>
            </w:pPr>
            <w:r w:rsidRPr="007D7059">
              <w:rPr>
                <w:rFonts w:ascii="Calibri" w:hAnsi="Calibri" w:cs="Calibri"/>
                <w:color w:val="000000"/>
                <w:lang w:eastAsia="en-CA"/>
              </w:rPr>
              <w:t>Manning (2018)</w:t>
            </w:r>
            <w:r w:rsidRPr="007D7059">
              <w:rPr>
                <w:rFonts w:ascii="Calibri" w:hAnsi="Calibri" w:cs="Calibri"/>
                <w:color w:val="000000"/>
                <w:vertAlign w:val="superscript"/>
                <w:lang w:eastAsia="en-CA"/>
              </w:rPr>
              <w:t>111</w:t>
            </w:r>
            <w:r w:rsidRPr="007D7059">
              <w:rPr>
                <w:rFonts w:ascii="Calibri" w:hAnsi="Calibri" w:cs="Calibri"/>
                <w:b/>
                <w:bCs/>
                <w:color w:val="000000"/>
                <w:lang w:eastAsia="en-CA"/>
              </w:rPr>
              <w:t> </w:t>
            </w:r>
          </w:p>
        </w:tc>
        <w:tc>
          <w:tcPr>
            <w:tcW w:w="10972" w:type="dxa"/>
            <w:shd w:val="clear" w:color="auto" w:fill="auto"/>
            <w:vAlign w:val="center"/>
            <w:hideMark/>
          </w:tcPr>
          <w:p w14:paraId="7CF3696D" w14:textId="77777777" w:rsidR="00EC32DE" w:rsidRPr="007D7059" w:rsidRDefault="00EC32DE" w:rsidP="00C67097">
            <w:pPr>
              <w:spacing w:line="240" w:lineRule="auto"/>
              <w:textAlignment w:val="baseline"/>
              <w:rPr>
                <w:rFonts w:ascii="Segoe UI" w:hAnsi="Segoe UI" w:cs="Segoe UI"/>
                <w:color w:val="000000"/>
                <w:sz w:val="18"/>
                <w:szCs w:val="18"/>
                <w:lang w:eastAsia="en-CA"/>
              </w:rPr>
            </w:pPr>
            <w:r w:rsidRPr="007D7059">
              <w:rPr>
                <w:rFonts w:ascii="Calibri" w:hAnsi="Calibri" w:cs="Calibri"/>
                <w:color w:val="000000"/>
                <w:lang w:eastAsia="en-CA"/>
              </w:rPr>
              <w:t xml:space="preserve">Chronic cannabis use with </w:t>
            </w:r>
            <w:r w:rsidRPr="007D7059">
              <w:rPr>
                <w:rFonts w:ascii="Calibri" w:hAnsi="Calibri" w:cs="Calibri"/>
                <w:i/>
                <w:iCs/>
                <w:color w:val="000000"/>
                <w:lang w:eastAsia="en-CA"/>
              </w:rPr>
              <w:t>H. pylori</w:t>
            </w:r>
            <w:r w:rsidRPr="007D7059">
              <w:rPr>
                <w:rFonts w:ascii="Calibri" w:hAnsi="Calibri" w:cs="Calibri"/>
                <w:color w:val="000000"/>
                <w:lang w:eastAsia="en-CA"/>
              </w:rPr>
              <w:t xml:space="preserve"> colonization maybe a risk factor for the development of preeclampsia. </w:t>
            </w:r>
          </w:p>
        </w:tc>
      </w:tr>
      <w:tr w:rsidR="00EC32DE" w:rsidRPr="007D7059" w14:paraId="62DFFFCF" w14:textId="77777777" w:rsidTr="001A1091">
        <w:trPr>
          <w:trHeight w:val="300"/>
        </w:trPr>
        <w:tc>
          <w:tcPr>
            <w:tcW w:w="1980" w:type="dxa"/>
            <w:shd w:val="clear" w:color="auto" w:fill="auto"/>
            <w:vAlign w:val="center"/>
            <w:hideMark/>
          </w:tcPr>
          <w:p w14:paraId="76C05475" w14:textId="77777777" w:rsidR="00EC32DE" w:rsidRPr="007D7059" w:rsidRDefault="00EC32DE" w:rsidP="00C67097">
            <w:pPr>
              <w:spacing w:line="240" w:lineRule="auto"/>
              <w:textAlignment w:val="baseline"/>
              <w:rPr>
                <w:rFonts w:ascii="Segoe UI" w:hAnsi="Segoe UI" w:cs="Segoe UI"/>
                <w:b/>
                <w:bCs/>
                <w:color w:val="000000"/>
                <w:sz w:val="18"/>
                <w:szCs w:val="18"/>
                <w:lang w:eastAsia="en-CA"/>
              </w:rPr>
            </w:pPr>
            <w:r w:rsidRPr="007D7059">
              <w:rPr>
                <w:rFonts w:ascii="Calibri" w:hAnsi="Calibri" w:cs="Calibri"/>
                <w:color w:val="000000"/>
                <w:lang w:eastAsia="en-CA"/>
              </w:rPr>
              <w:t>Martins (2017)</w:t>
            </w:r>
            <w:r w:rsidRPr="007D7059">
              <w:rPr>
                <w:rFonts w:ascii="Calibri" w:hAnsi="Calibri" w:cs="Calibri"/>
                <w:color w:val="000000"/>
                <w:vertAlign w:val="superscript"/>
                <w:lang w:eastAsia="en-CA"/>
              </w:rPr>
              <w:t>113</w:t>
            </w:r>
            <w:r w:rsidRPr="007D7059">
              <w:rPr>
                <w:rFonts w:ascii="Calibri" w:hAnsi="Calibri" w:cs="Calibri"/>
                <w:b/>
                <w:bCs/>
                <w:color w:val="000000"/>
                <w:lang w:eastAsia="en-CA"/>
              </w:rPr>
              <w:t> </w:t>
            </w:r>
          </w:p>
        </w:tc>
        <w:tc>
          <w:tcPr>
            <w:tcW w:w="10972" w:type="dxa"/>
            <w:shd w:val="clear" w:color="auto" w:fill="auto"/>
            <w:vAlign w:val="center"/>
            <w:hideMark/>
          </w:tcPr>
          <w:p w14:paraId="4B750224" w14:textId="77777777" w:rsidR="00EC32DE" w:rsidRPr="007D7059" w:rsidRDefault="00EC32DE" w:rsidP="00C67097">
            <w:pPr>
              <w:spacing w:line="240" w:lineRule="auto"/>
              <w:textAlignment w:val="baseline"/>
              <w:rPr>
                <w:rFonts w:ascii="Segoe UI" w:hAnsi="Segoe UI" w:cs="Segoe UI"/>
                <w:color w:val="000000"/>
                <w:sz w:val="18"/>
                <w:szCs w:val="18"/>
                <w:lang w:eastAsia="en-CA"/>
              </w:rPr>
            </w:pPr>
            <w:r w:rsidRPr="007D7059">
              <w:rPr>
                <w:rFonts w:ascii="Calibri" w:hAnsi="Calibri" w:cs="Calibri"/>
                <w:color w:val="000000"/>
                <w:lang w:eastAsia="en-CA"/>
              </w:rPr>
              <w:t>Plasma exchange therapy may be associated with the prolongation of pregnancy in cases with suspected preeclampsia and HELLP syndrome. </w:t>
            </w:r>
          </w:p>
        </w:tc>
      </w:tr>
      <w:tr w:rsidR="00EC32DE" w:rsidRPr="007D7059" w14:paraId="1C2282D9" w14:textId="77777777" w:rsidTr="001A1091">
        <w:trPr>
          <w:trHeight w:val="300"/>
        </w:trPr>
        <w:tc>
          <w:tcPr>
            <w:tcW w:w="1980" w:type="dxa"/>
            <w:shd w:val="clear" w:color="auto" w:fill="auto"/>
            <w:vAlign w:val="center"/>
            <w:hideMark/>
          </w:tcPr>
          <w:p w14:paraId="46659525" w14:textId="77777777" w:rsidR="00EC32DE" w:rsidRPr="007D7059" w:rsidRDefault="00EC32DE" w:rsidP="00C67097">
            <w:pPr>
              <w:spacing w:line="240" w:lineRule="auto"/>
              <w:textAlignment w:val="baseline"/>
              <w:rPr>
                <w:rFonts w:ascii="Segoe UI" w:hAnsi="Segoe UI" w:cs="Segoe UI"/>
                <w:b/>
                <w:bCs/>
                <w:color w:val="000000"/>
                <w:sz w:val="18"/>
                <w:szCs w:val="18"/>
                <w:lang w:eastAsia="en-CA"/>
              </w:rPr>
            </w:pPr>
            <w:r w:rsidRPr="007D7059">
              <w:rPr>
                <w:rFonts w:ascii="Calibri" w:hAnsi="Calibri" w:cs="Calibri"/>
                <w:color w:val="000000"/>
                <w:lang w:eastAsia="en-CA"/>
              </w:rPr>
              <w:t>Morisawa (2020)</w:t>
            </w:r>
            <w:r w:rsidRPr="007D7059">
              <w:rPr>
                <w:rFonts w:ascii="Calibri" w:hAnsi="Calibri" w:cs="Calibri"/>
                <w:color w:val="000000"/>
                <w:vertAlign w:val="superscript"/>
                <w:lang w:eastAsia="en-CA"/>
              </w:rPr>
              <w:t>119</w:t>
            </w:r>
            <w:r w:rsidRPr="007D7059">
              <w:rPr>
                <w:rFonts w:ascii="Calibri" w:hAnsi="Calibri" w:cs="Calibri"/>
                <w:b/>
                <w:bCs/>
                <w:color w:val="000000"/>
                <w:lang w:eastAsia="en-CA"/>
              </w:rPr>
              <w:t> </w:t>
            </w:r>
          </w:p>
        </w:tc>
        <w:tc>
          <w:tcPr>
            <w:tcW w:w="10972" w:type="dxa"/>
            <w:shd w:val="clear" w:color="auto" w:fill="auto"/>
            <w:vAlign w:val="center"/>
            <w:hideMark/>
          </w:tcPr>
          <w:p w14:paraId="42178A54" w14:textId="77777777" w:rsidR="00EC32DE" w:rsidRPr="007D7059" w:rsidRDefault="00EC32DE" w:rsidP="00C67097">
            <w:pPr>
              <w:spacing w:line="240" w:lineRule="auto"/>
              <w:textAlignment w:val="baseline"/>
              <w:rPr>
                <w:rFonts w:ascii="Segoe UI" w:hAnsi="Segoe UI" w:cs="Segoe UI"/>
                <w:color w:val="000000"/>
                <w:sz w:val="18"/>
                <w:szCs w:val="18"/>
                <w:lang w:eastAsia="en-CA"/>
              </w:rPr>
            </w:pPr>
            <w:r w:rsidRPr="007D7059">
              <w:rPr>
                <w:rFonts w:ascii="Calibri" w:hAnsi="Calibri" w:cs="Calibri"/>
                <w:color w:val="000000"/>
                <w:lang w:eastAsia="en-CA"/>
              </w:rPr>
              <w:t>Hemodialysis is associated with a decreased value of angiogenic and anti-angiogenic markers as predictive markers for preeclampsia. </w:t>
            </w:r>
          </w:p>
        </w:tc>
      </w:tr>
      <w:tr w:rsidR="00EC32DE" w:rsidRPr="007D7059" w14:paraId="1F7D558F" w14:textId="77777777" w:rsidTr="001A1091">
        <w:trPr>
          <w:trHeight w:val="300"/>
        </w:trPr>
        <w:tc>
          <w:tcPr>
            <w:tcW w:w="1980" w:type="dxa"/>
            <w:shd w:val="clear" w:color="auto" w:fill="auto"/>
            <w:vAlign w:val="center"/>
            <w:hideMark/>
          </w:tcPr>
          <w:p w14:paraId="73027980" w14:textId="77777777" w:rsidR="00EC32DE" w:rsidRPr="007D7059" w:rsidRDefault="00EC32DE" w:rsidP="00C67097">
            <w:pPr>
              <w:spacing w:line="240" w:lineRule="auto"/>
              <w:textAlignment w:val="baseline"/>
              <w:rPr>
                <w:rFonts w:ascii="Segoe UI" w:hAnsi="Segoe UI" w:cs="Segoe UI"/>
                <w:b/>
                <w:bCs/>
                <w:color w:val="000000"/>
                <w:sz w:val="18"/>
                <w:szCs w:val="18"/>
                <w:lang w:eastAsia="en-CA"/>
              </w:rPr>
            </w:pPr>
            <w:r w:rsidRPr="007D7059">
              <w:rPr>
                <w:rFonts w:ascii="Calibri" w:hAnsi="Calibri" w:cs="Calibri"/>
                <w:color w:val="000000"/>
                <w:lang w:eastAsia="en-CA"/>
              </w:rPr>
              <w:t>Morton (2017)</w:t>
            </w:r>
            <w:r w:rsidRPr="007D7059">
              <w:rPr>
                <w:rFonts w:ascii="Calibri" w:hAnsi="Calibri" w:cs="Calibri"/>
                <w:color w:val="000000"/>
                <w:vertAlign w:val="superscript"/>
                <w:lang w:eastAsia="en-CA"/>
              </w:rPr>
              <w:t>121</w:t>
            </w:r>
            <w:r w:rsidRPr="007D7059">
              <w:rPr>
                <w:rFonts w:ascii="Calibri" w:hAnsi="Calibri" w:cs="Calibri"/>
                <w:b/>
                <w:bCs/>
                <w:color w:val="000000"/>
                <w:lang w:eastAsia="en-CA"/>
              </w:rPr>
              <w:t> </w:t>
            </w:r>
          </w:p>
        </w:tc>
        <w:tc>
          <w:tcPr>
            <w:tcW w:w="10972" w:type="dxa"/>
            <w:shd w:val="clear" w:color="auto" w:fill="auto"/>
            <w:vAlign w:val="center"/>
            <w:hideMark/>
          </w:tcPr>
          <w:p w14:paraId="40FC05F5" w14:textId="77777777" w:rsidR="00EC32DE" w:rsidRPr="007D7059" w:rsidRDefault="00EC32DE" w:rsidP="00C67097">
            <w:pPr>
              <w:spacing w:line="240" w:lineRule="auto"/>
              <w:textAlignment w:val="baseline"/>
              <w:rPr>
                <w:rFonts w:ascii="Segoe UI" w:hAnsi="Segoe UI" w:cs="Segoe UI"/>
                <w:color w:val="000000"/>
                <w:sz w:val="18"/>
                <w:szCs w:val="18"/>
                <w:lang w:eastAsia="en-CA"/>
              </w:rPr>
            </w:pPr>
            <w:r w:rsidRPr="007D7059">
              <w:rPr>
                <w:rFonts w:ascii="Calibri" w:hAnsi="Calibri" w:cs="Calibri"/>
                <w:color w:val="000000"/>
                <w:lang w:eastAsia="en-CA"/>
              </w:rPr>
              <w:t>Eplerenone 25 mg twice daily may be associated with beneficial blood pressure control on patients who are obese, have obstructive sleep apnea, and have preeclampsia with resistant hypertension. </w:t>
            </w:r>
          </w:p>
        </w:tc>
      </w:tr>
      <w:tr w:rsidR="00EC32DE" w:rsidRPr="007D7059" w14:paraId="10358392" w14:textId="77777777" w:rsidTr="001A1091">
        <w:trPr>
          <w:trHeight w:val="300"/>
        </w:trPr>
        <w:tc>
          <w:tcPr>
            <w:tcW w:w="1980" w:type="dxa"/>
            <w:shd w:val="clear" w:color="auto" w:fill="auto"/>
            <w:vAlign w:val="center"/>
            <w:hideMark/>
          </w:tcPr>
          <w:p w14:paraId="2648025A" w14:textId="77777777" w:rsidR="00EC32DE" w:rsidRPr="007D7059" w:rsidRDefault="00EC32DE" w:rsidP="00C67097">
            <w:pPr>
              <w:spacing w:line="240" w:lineRule="auto"/>
              <w:textAlignment w:val="baseline"/>
              <w:rPr>
                <w:rFonts w:ascii="Segoe UI" w:hAnsi="Segoe UI" w:cs="Segoe UI"/>
                <w:b/>
                <w:bCs/>
                <w:color w:val="000000"/>
                <w:sz w:val="18"/>
                <w:szCs w:val="18"/>
                <w:lang w:eastAsia="en-CA"/>
              </w:rPr>
            </w:pPr>
            <w:r w:rsidRPr="007D7059">
              <w:rPr>
                <w:rFonts w:ascii="Calibri" w:hAnsi="Calibri" w:cs="Calibri"/>
                <w:color w:val="000000"/>
                <w:lang w:eastAsia="en-CA"/>
              </w:rPr>
              <w:t>Mould (2020)</w:t>
            </w:r>
            <w:r w:rsidRPr="007D7059">
              <w:rPr>
                <w:rFonts w:ascii="Calibri" w:hAnsi="Calibri" w:cs="Calibri"/>
                <w:color w:val="000000"/>
                <w:vertAlign w:val="superscript"/>
                <w:lang w:eastAsia="en-CA"/>
              </w:rPr>
              <w:t>122</w:t>
            </w:r>
            <w:r w:rsidRPr="007D7059">
              <w:rPr>
                <w:rFonts w:ascii="Calibri" w:hAnsi="Calibri" w:cs="Calibri"/>
                <w:b/>
                <w:bCs/>
                <w:color w:val="000000"/>
                <w:lang w:eastAsia="en-CA"/>
              </w:rPr>
              <w:t> </w:t>
            </w:r>
          </w:p>
        </w:tc>
        <w:tc>
          <w:tcPr>
            <w:tcW w:w="10972" w:type="dxa"/>
            <w:shd w:val="clear" w:color="auto" w:fill="auto"/>
            <w:vAlign w:val="center"/>
            <w:hideMark/>
          </w:tcPr>
          <w:p w14:paraId="338F0166" w14:textId="77777777" w:rsidR="00EC32DE" w:rsidRPr="007D7059" w:rsidRDefault="00EC32DE" w:rsidP="00C67097">
            <w:pPr>
              <w:spacing w:line="240" w:lineRule="auto"/>
              <w:textAlignment w:val="baseline"/>
              <w:rPr>
                <w:rFonts w:ascii="Segoe UI" w:hAnsi="Segoe UI" w:cs="Segoe UI"/>
                <w:color w:val="000000"/>
                <w:sz w:val="18"/>
                <w:szCs w:val="18"/>
                <w:lang w:eastAsia="en-CA"/>
              </w:rPr>
            </w:pPr>
            <w:r w:rsidRPr="007D7059">
              <w:rPr>
                <w:rFonts w:ascii="Calibri" w:hAnsi="Calibri" w:cs="Calibri"/>
                <w:color w:val="000000"/>
                <w:lang w:eastAsia="en-CA"/>
              </w:rPr>
              <w:t>Temporal shear wave elastography and shear wave dispersion abnormalities are corellated with B-Mode ultrasound imaging and liver function biochemical markers in patients with HELLP syndrome. </w:t>
            </w:r>
          </w:p>
        </w:tc>
      </w:tr>
      <w:tr w:rsidR="00EC32DE" w:rsidRPr="007D7059" w14:paraId="3A7DFD29" w14:textId="77777777" w:rsidTr="001A1091">
        <w:trPr>
          <w:trHeight w:val="300"/>
        </w:trPr>
        <w:tc>
          <w:tcPr>
            <w:tcW w:w="1980" w:type="dxa"/>
            <w:shd w:val="clear" w:color="auto" w:fill="auto"/>
            <w:vAlign w:val="center"/>
            <w:hideMark/>
          </w:tcPr>
          <w:p w14:paraId="70051F86" w14:textId="77777777" w:rsidR="00EC32DE" w:rsidRPr="007D7059" w:rsidRDefault="00EC32DE" w:rsidP="00C67097">
            <w:pPr>
              <w:spacing w:line="240" w:lineRule="auto"/>
              <w:textAlignment w:val="baseline"/>
              <w:rPr>
                <w:rFonts w:ascii="Segoe UI" w:hAnsi="Segoe UI" w:cs="Segoe UI"/>
                <w:b/>
                <w:bCs/>
                <w:color w:val="000000"/>
                <w:sz w:val="18"/>
                <w:szCs w:val="18"/>
                <w:lang w:eastAsia="en-CA"/>
              </w:rPr>
            </w:pPr>
            <w:r w:rsidRPr="007D7059">
              <w:rPr>
                <w:rFonts w:ascii="Calibri" w:hAnsi="Calibri" w:cs="Calibri"/>
                <w:color w:val="000000"/>
                <w:lang w:eastAsia="en-CA"/>
              </w:rPr>
              <w:t>Mousseaux (2020)</w:t>
            </w:r>
            <w:r w:rsidRPr="007D7059">
              <w:rPr>
                <w:rFonts w:ascii="Calibri" w:hAnsi="Calibri" w:cs="Calibri"/>
                <w:color w:val="000000"/>
                <w:vertAlign w:val="superscript"/>
                <w:lang w:eastAsia="en-CA"/>
              </w:rPr>
              <w:t>124</w:t>
            </w:r>
            <w:r w:rsidRPr="007D7059">
              <w:rPr>
                <w:rFonts w:ascii="Calibri" w:hAnsi="Calibri" w:cs="Calibri"/>
                <w:b/>
                <w:bCs/>
                <w:color w:val="000000"/>
                <w:lang w:eastAsia="en-CA"/>
              </w:rPr>
              <w:t> </w:t>
            </w:r>
          </w:p>
        </w:tc>
        <w:tc>
          <w:tcPr>
            <w:tcW w:w="10972" w:type="dxa"/>
            <w:shd w:val="clear" w:color="auto" w:fill="auto"/>
            <w:vAlign w:val="center"/>
            <w:hideMark/>
          </w:tcPr>
          <w:p w14:paraId="0F974D52" w14:textId="77777777" w:rsidR="00EC32DE" w:rsidRPr="007D7059" w:rsidRDefault="00EC32DE" w:rsidP="00C67097">
            <w:pPr>
              <w:spacing w:line="240" w:lineRule="auto"/>
              <w:textAlignment w:val="baseline"/>
              <w:rPr>
                <w:rFonts w:ascii="Segoe UI" w:hAnsi="Segoe UI" w:cs="Segoe UI"/>
                <w:color w:val="000000"/>
                <w:sz w:val="18"/>
                <w:szCs w:val="18"/>
                <w:lang w:eastAsia="en-CA"/>
              </w:rPr>
            </w:pPr>
            <w:r w:rsidRPr="007D7059">
              <w:rPr>
                <w:rFonts w:ascii="Calibri" w:hAnsi="Calibri" w:cs="Calibri"/>
                <w:color w:val="000000"/>
                <w:lang w:eastAsia="en-CA"/>
              </w:rPr>
              <w:t xml:space="preserve">Plasma exchange therapy may be associated with positive maternal outcomes in patients with HELLP and diminished levels of </w:t>
            </w:r>
            <w:r w:rsidRPr="007D7059">
              <w:rPr>
                <w:rFonts w:ascii="Calibri" w:hAnsi="Calibri" w:cs="Calibri"/>
                <w:i/>
                <w:iCs/>
                <w:color w:val="000000"/>
                <w:lang w:eastAsia="en-CA"/>
              </w:rPr>
              <w:t>ADAMTS13</w:t>
            </w:r>
            <w:r w:rsidRPr="007D7059">
              <w:rPr>
                <w:rFonts w:ascii="Calibri" w:hAnsi="Calibri" w:cs="Calibri"/>
                <w:color w:val="000000"/>
                <w:lang w:eastAsia="en-CA"/>
              </w:rPr>
              <w:t>. </w:t>
            </w:r>
          </w:p>
        </w:tc>
      </w:tr>
      <w:tr w:rsidR="00EC32DE" w:rsidRPr="007D7059" w14:paraId="3C80FD95" w14:textId="77777777" w:rsidTr="001A1091">
        <w:trPr>
          <w:trHeight w:val="300"/>
        </w:trPr>
        <w:tc>
          <w:tcPr>
            <w:tcW w:w="1980" w:type="dxa"/>
            <w:shd w:val="clear" w:color="auto" w:fill="auto"/>
            <w:vAlign w:val="center"/>
            <w:hideMark/>
          </w:tcPr>
          <w:p w14:paraId="0E65D47B" w14:textId="77777777" w:rsidR="00EC32DE" w:rsidRPr="007D7059" w:rsidRDefault="00EC32DE" w:rsidP="00C67097">
            <w:pPr>
              <w:spacing w:line="240" w:lineRule="auto"/>
              <w:textAlignment w:val="baseline"/>
              <w:rPr>
                <w:rFonts w:ascii="Segoe UI" w:hAnsi="Segoe UI" w:cs="Segoe UI"/>
                <w:b/>
                <w:bCs/>
                <w:color w:val="000000"/>
                <w:sz w:val="18"/>
                <w:szCs w:val="18"/>
                <w:lang w:eastAsia="en-CA"/>
              </w:rPr>
            </w:pPr>
            <w:r w:rsidRPr="007D7059">
              <w:rPr>
                <w:rFonts w:ascii="Calibri" w:hAnsi="Calibri" w:cs="Calibri"/>
                <w:color w:val="000000"/>
                <w:lang w:eastAsia="en-CA"/>
              </w:rPr>
              <w:t>Nakakita (2015)</w:t>
            </w:r>
            <w:r w:rsidRPr="007D7059">
              <w:rPr>
                <w:rFonts w:ascii="Calibri" w:hAnsi="Calibri" w:cs="Calibri"/>
                <w:color w:val="000000"/>
                <w:vertAlign w:val="superscript"/>
                <w:lang w:eastAsia="en-CA"/>
              </w:rPr>
              <w:t>125</w:t>
            </w:r>
          </w:p>
        </w:tc>
        <w:tc>
          <w:tcPr>
            <w:tcW w:w="10972" w:type="dxa"/>
            <w:shd w:val="clear" w:color="auto" w:fill="auto"/>
            <w:vAlign w:val="center"/>
            <w:hideMark/>
          </w:tcPr>
          <w:p w14:paraId="73952A34" w14:textId="77777777" w:rsidR="00EC32DE" w:rsidRPr="007D7059" w:rsidRDefault="00EC32DE" w:rsidP="00C67097">
            <w:pPr>
              <w:spacing w:line="240" w:lineRule="auto"/>
              <w:textAlignment w:val="baseline"/>
              <w:rPr>
                <w:rFonts w:ascii="Segoe UI" w:hAnsi="Segoe UI" w:cs="Segoe UI"/>
                <w:color w:val="000000"/>
                <w:sz w:val="18"/>
                <w:szCs w:val="18"/>
                <w:lang w:eastAsia="en-CA"/>
              </w:rPr>
            </w:pPr>
            <w:r w:rsidRPr="007D7059">
              <w:rPr>
                <w:rFonts w:ascii="Calibri" w:hAnsi="Calibri" w:cs="Calibri"/>
                <w:color w:val="000000"/>
                <w:lang w:eastAsia="en-CA"/>
              </w:rPr>
              <w:t>sFlt1 apheresis may be associated with positive maternal outcomes in patients with early onset preeclampsia. </w:t>
            </w:r>
          </w:p>
        </w:tc>
      </w:tr>
      <w:tr w:rsidR="00EC32DE" w:rsidRPr="007D7059" w14:paraId="17006319" w14:textId="77777777" w:rsidTr="001A1091">
        <w:trPr>
          <w:trHeight w:val="300"/>
        </w:trPr>
        <w:tc>
          <w:tcPr>
            <w:tcW w:w="1980" w:type="dxa"/>
            <w:shd w:val="clear" w:color="auto" w:fill="auto"/>
            <w:vAlign w:val="center"/>
            <w:hideMark/>
          </w:tcPr>
          <w:p w14:paraId="3B8D1E29" w14:textId="77777777" w:rsidR="00EC32DE" w:rsidRPr="007D7059" w:rsidRDefault="00EC32DE" w:rsidP="00C67097">
            <w:pPr>
              <w:spacing w:line="240" w:lineRule="auto"/>
              <w:textAlignment w:val="baseline"/>
              <w:rPr>
                <w:rFonts w:ascii="Segoe UI" w:hAnsi="Segoe UI" w:cs="Segoe UI"/>
                <w:b/>
                <w:bCs/>
                <w:color w:val="000000"/>
                <w:sz w:val="18"/>
                <w:szCs w:val="18"/>
                <w:lang w:eastAsia="en-CA"/>
              </w:rPr>
            </w:pPr>
            <w:r w:rsidRPr="007D7059">
              <w:rPr>
                <w:rFonts w:ascii="Calibri" w:hAnsi="Calibri" w:cs="Calibri"/>
                <w:color w:val="000000"/>
                <w:lang w:eastAsia="en-CA"/>
              </w:rPr>
              <w:t>Narasimhulu (2015)</w:t>
            </w:r>
            <w:r w:rsidRPr="007D7059">
              <w:rPr>
                <w:rFonts w:ascii="Calibri" w:hAnsi="Calibri" w:cs="Calibri"/>
                <w:color w:val="000000"/>
                <w:vertAlign w:val="superscript"/>
                <w:lang w:eastAsia="en-CA"/>
              </w:rPr>
              <w:t>126</w:t>
            </w:r>
            <w:r w:rsidRPr="007D7059">
              <w:rPr>
                <w:rFonts w:ascii="Calibri" w:hAnsi="Calibri" w:cs="Calibri"/>
                <w:b/>
                <w:bCs/>
                <w:color w:val="000000"/>
                <w:lang w:eastAsia="en-CA"/>
              </w:rPr>
              <w:t> </w:t>
            </w:r>
          </w:p>
        </w:tc>
        <w:tc>
          <w:tcPr>
            <w:tcW w:w="10972" w:type="dxa"/>
            <w:shd w:val="clear" w:color="auto" w:fill="auto"/>
            <w:vAlign w:val="center"/>
            <w:hideMark/>
          </w:tcPr>
          <w:p w14:paraId="2FCAED5A" w14:textId="77777777" w:rsidR="00EC32DE" w:rsidRPr="007D7059" w:rsidRDefault="00EC32DE" w:rsidP="00C67097">
            <w:pPr>
              <w:spacing w:line="240" w:lineRule="auto"/>
              <w:textAlignment w:val="baseline"/>
              <w:rPr>
                <w:rFonts w:ascii="Segoe UI" w:hAnsi="Segoe UI" w:cs="Segoe UI"/>
                <w:color w:val="000000"/>
                <w:sz w:val="18"/>
                <w:szCs w:val="18"/>
                <w:lang w:eastAsia="en-CA"/>
              </w:rPr>
            </w:pPr>
            <w:r w:rsidRPr="007D7059">
              <w:rPr>
                <w:rFonts w:ascii="Calibri" w:hAnsi="Calibri" w:cs="Calibri"/>
                <w:color w:val="000000"/>
                <w:lang w:eastAsia="en-CA"/>
              </w:rPr>
              <w:t>Complete placental involution of spontaneous intrauterine death of a twin in a discordance in dichorionic twins gestation is required for the resolution of preeclampsia. </w:t>
            </w:r>
          </w:p>
        </w:tc>
      </w:tr>
      <w:tr w:rsidR="00EC32DE" w:rsidRPr="007D7059" w14:paraId="56C16F9E" w14:textId="77777777" w:rsidTr="001A1091">
        <w:trPr>
          <w:trHeight w:val="300"/>
        </w:trPr>
        <w:tc>
          <w:tcPr>
            <w:tcW w:w="1980" w:type="dxa"/>
            <w:shd w:val="clear" w:color="auto" w:fill="auto"/>
            <w:vAlign w:val="center"/>
            <w:hideMark/>
          </w:tcPr>
          <w:p w14:paraId="04E681EA" w14:textId="77777777" w:rsidR="00EC32DE" w:rsidRPr="007D7059" w:rsidRDefault="00EC32DE" w:rsidP="00C67097">
            <w:pPr>
              <w:spacing w:line="240" w:lineRule="auto"/>
              <w:textAlignment w:val="baseline"/>
              <w:rPr>
                <w:rFonts w:ascii="Segoe UI" w:hAnsi="Segoe UI" w:cs="Segoe UI"/>
                <w:b/>
                <w:bCs/>
                <w:color w:val="000000"/>
                <w:sz w:val="18"/>
                <w:szCs w:val="18"/>
                <w:lang w:eastAsia="en-CA"/>
              </w:rPr>
            </w:pPr>
            <w:r w:rsidRPr="007D7059">
              <w:rPr>
                <w:rFonts w:ascii="Calibri" w:hAnsi="Calibri" w:cs="Calibri"/>
                <w:color w:val="000000"/>
                <w:lang w:eastAsia="en-CA"/>
              </w:rPr>
              <w:t>Oliveira (2017)</w:t>
            </w:r>
            <w:r w:rsidRPr="007D7059">
              <w:rPr>
                <w:rFonts w:ascii="Calibri" w:hAnsi="Calibri" w:cs="Calibri"/>
                <w:color w:val="000000"/>
                <w:vertAlign w:val="superscript"/>
                <w:lang w:eastAsia="en-CA"/>
              </w:rPr>
              <w:t>128</w:t>
            </w:r>
            <w:r w:rsidRPr="007D7059">
              <w:rPr>
                <w:rFonts w:ascii="Calibri" w:hAnsi="Calibri" w:cs="Calibri"/>
                <w:b/>
                <w:bCs/>
                <w:color w:val="000000"/>
                <w:lang w:eastAsia="en-CA"/>
              </w:rPr>
              <w:t> </w:t>
            </w:r>
          </w:p>
        </w:tc>
        <w:tc>
          <w:tcPr>
            <w:tcW w:w="10972" w:type="dxa"/>
            <w:shd w:val="clear" w:color="auto" w:fill="auto"/>
            <w:vAlign w:val="center"/>
            <w:hideMark/>
          </w:tcPr>
          <w:p w14:paraId="1A129A98" w14:textId="77777777" w:rsidR="00EC32DE" w:rsidRPr="007D7059" w:rsidRDefault="00EC32DE" w:rsidP="00C67097">
            <w:pPr>
              <w:spacing w:line="240" w:lineRule="auto"/>
              <w:textAlignment w:val="baseline"/>
              <w:rPr>
                <w:rFonts w:ascii="Segoe UI" w:hAnsi="Segoe UI" w:cs="Segoe UI"/>
                <w:color w:val="000000"/>
                <w:sz w:val="18"/>
                <w:szCs w:val="18"/>
                <w:lang w:eastAsia="en-CA"/>
              </w:rPr>
            </w:pPr>
            <w:r w:rsidRPr="007D7059">
              <w:rPr>
                <w:rFonts w:ascii="Calibri" w:hAnsi="Calibri" w:cs="Calibri"/>
                <w:color w:val="000000"/>
                <w:lang w:eastAsia="en-CA"/>
              </w:rPr>
              <w:t>The observed increase in the impedance to flow in the ophthalmic artery after the administration of MgSO4 in a patient with preeclampsia may explain the mechanism of action of MgSO4 in preventing eclamptic seizure attacks. </w:t>
            </w:r>
          </w:p>
        </w:tc>
      </w:tr>
      <w:tr w:rsidR="00EC32DE" w:rsidRPr="007D7059" w14:paraId="1435A2FD" w14:textId="77777777" w:rsidTr="001A1091">
        <w:trPr>
          <w:trHeight w:val="300"/>
        </w:trPr>
        <w:tc>
          <w:tcPr>
            <w:tcW w:w="1980" w:type="dxa"/>
            <w:shd w:val="clear" w:color="auto" w:fill="auto"/>
            <w:vAlign w:val="center"/>
            <w:hideMark/>
          </w:tcPr>
          <w:p w14:paraId="55E3D54B" w14:textId="77777777" w:rsidR="00EC32DE" w:rsidRPr="007D7059" w:rsidRDefault="00EC32DE" w:rsidP="00C67097">
            <w:pPr>
              <w:spacing w:line="240" w:lineRule="auto"/>
              <w:textAlignment w:val="baseline"/>
              <w:rPr>
                <w:rFonts w:ascii="Segoe UI" w:hAnsi="Segoe UI" w:cs="Segoe UI"/>
                <w:b/>
                <w:bCs/>
                <w:color w:val="000000"/>
                <w:sz w:val="18"/>
                <w:szCs w:val="18"/>
                <w:lang w:eastAsia="en-CA"/>
              </w:rPr>
            </w:pPr>
            <w:r w:rsidRPr="007D7059">
              <w:rPr>
                <w:rFonts w:ascii="Calibri" w:hAnsi="Calibri" w:cs="Calibri"/>
                <w:color w:val="000000"/>
                <w:lang w:eastAsia="en-CA"/>
              </w:rPr>
              <w:t>Otten (2017)</w:t>
            </w:r>
            <w:r w:rsidRPr="007D7059">
              <w:rPr>
                <w:rFonts w:ascii="Calibri" w:hAnsi="Calibri" w:cs="Calibri"/>
                <w:color w:val="000000"/>
                <w:vertAlign w:val="superscript"/>
                <w:lang w:eastAsia="en-CA"/>
              </w:rPr>
              <w:t>129</w:t>
            </w:r>
            <w:r w:rsidRPr="007D7059">
              <w:rPr>
                <w:rFonts w:ascii="Calibri" w:hAnsi="Calibri" w:cs="Calibri"/>
                <w:b/>
                <w:bCs/>
                <w:color w:val="000000"/>
                <w:vertAlign w:val="superscript"/>
                <w:lang w:eastAsia="en-CA"/>
              </w:rPr>
              <w:t> </w:t>
            </w:r>
          </w:p>
        </w:tc>
        <w:tc>
          <w:tcPr>
            <w:tcW w:w="10972" w:type="dxa"/>
            <w:shd w:val="clear" w:color="auto" w:fill="auto"/>
            <w:vAlign w:val="center"/>
            <w:hideMark/>
          </w:tcPr>
          <w:p w14:paraId="207A705F" w14:textId="77777777" w:rsidR="00EC32DE" w:rsidRPr="007D7059" w:rsidRDefault="00EC32DE" w:rsidP="00C67097">
            <w:pPr>
              <w:spacing w:line="240" w:lineRule="auto"/>
              <w:textAlignment w:val="baseline"/>
              <w:rPr>
                <w:rFonts w:ascii="Segoe UI" w:hAnsi="Segoe UI" w:cs="Segoe UI"/>
                <w:color w:val="000000"/>
                <w:sz w:val="18"/>
                <w:szCs w:val="18"/>
                <w:lang w:eastAsia="en-CA"/>
              </w:rPr>
            </w:pPr>
            <w:r w:rsidRPr="007D7059">
              <w:rPr>
                <w:rFonts w:ascii="Calibri" w:hAnsi="Calibri" w:cs="Calibri"/>
                <w:color w:val="000000"/>
                <w:lang w:eastAsia="en-CA"/>
              </w:rPr>
              <w:t>Pravastatin may be associated with positive outcomes in patients with HELLP syndrome. </w:t>
            </w:r>
          </w:p>
        </w:tc>
      </w:tr>
      <w:tr w:rsidR="00EC32DE" w:rsidRPr="007D7059" w14:paraId="5DAA8BA7" w14:textId="77777777" w:rsidTr="001A1091">
        <w:trPr>
          <w:trHeight w:val="300"/>
        </w:trPr>
        <w:tc>
          <w:tcPr>
            <w:tcW w:w="1980" w:type="dxa"/>
            <w:shd w:val="clear" w:color="auto" w:fill="auto"/>
            <w:vAlign w:val="center"/>
            <w:hideMark/>
          </w:tcPr>
          <w:p w14:paraId="68BA7968" w14:textId="77777777" w:rsidR="00EC32DE" w:rsidRPr="007D7059" w:rsidRDefault="00EC32DE" w:rsidP="00C67097">
            <w:pPr>
              <w:spacing w:line="240" w:lineRule="auto"/>
              <w:textAlignment w:val="baseline"/>
              <w:rPr>
                <w:rFonts w:ascii="Segoe UI" w:hAnsi="Segoe UI" w:cs="Segoe UI"/>
                <w:b/>
                <w:bCs/>
                <w:color w:val="000000"/>
                <w:sz w:val="18"/>
                <w:szCs w:val="18"/>
                <w:lang w:eastAsia="en-CA"/>
              </w:rPr>
            </w:pPr>
            <w:r w:rsidRPr="007D7059">
              <w:rPr>
                <w:rFonts w:ascii="Calibri" w:hAnsi="Calibri" w:cs="Calibri"/>
                <w:color w:val="000000"/>
                <w:lang w:eastAsia="en-CA"/>
              </w:rPr>
              <w:t>Quiros (2016)</w:t>
            </w:r>
            <w:r w:rsidRPr="007D7059">
              <w:rPr>
                <w:rFonts w:ascii="Calibri" w:hAnsi="Calibri" w:cs="Calibri"/>
                <w:color w:val="000000"/>
                <w:vertAlign w:val="superscript"/>
                <w:lang w:eastAsia="en-CA"/>
              </w:rPr>
              <w:t>132</w:t>
            </w:r>
            <w:r w:rsidRPr="007D7059">
              <w:rPr>
                <w:rFonts w:ascii="Calibri" w:hAnsi="Calibri" w:cs="Calibri"/>
                <w:b/>
                <w:bCs/>
                <w:color w:val="000000"/>
                <w:vertAlign w:val="superscript"/>
                <w:lang w:eastAsia="en-CA"/>
              </w:rPr>
              <w:t> </w:t>
            </w:r>
          </w:p>
        </w:tc>
        <w:tc>
          <w:tcPr>
            <w:tcW w:w="10972" w:type="dxa"/>
            <w:shd w:val="clear" w:color="auto" w:fill="auto"/>
            <w:vAlign w:val="center"/>
            <w:hideMark/>
          </w:tcPr>
          <w:p w14:paraId="54D07F25" w14:textId="77777777" w:rsidR="00EC32DE" w:rsidRPr="007D7059" w:rsidRDefault="00EC32DE" w:rsidP="00C67097">
            <w:pPr>
              <w:spacing w:line="240" w:lineRule="auto"/>
              <w:textAlignment w:val="baseline"/>
              <w:rPr>
                <w:rFonts w:ascii="Segoe UI" w:hAnsi="Segoe UI" w:cs="Segoe UI"/>
                <w:color w:val="000000"/>
                <w:sz w:val="18"/>
                <w:szCs w:val="18"/>
                <w:lang w:eastAsia="en-CA"/>
              </w:rPr>
            </w:pPr>
            <w:r w:rsidRPr="007D7059">
              <w:rPr>
                <w:rFonts w:ascii="Calibri" w:hAnsi="Calibri" w:cs="Calibri"/>
                <w:color w:val="000000"/>
                <w:lang w:eastAsia="en-CA"/>
              </w:rPr>
              <w:t>High sFlt-1/PlGF ratio may be a useful test to distinguish between non-HELLP thrombocytopenia and HELLP syndrome. </w:t>
            </w:r>
          </w:p>
        </w:tc>
      </w:tr>
      <w:tr w:rsidR="00EC32DE" w:rsidRPr="007D7059" w14:paraId="2CBC3E48" w14:textId="77777777" w:rsidTr="001A1091">
        <w:trPr>
          <w:trHeight w:val="300"/>
        </w:trPr>
        <w:tc>
          <w:tcPr>
            <w:tcW w:w="1980" w:type="dxa"/>
            <w:shd w:val="clear" w:color="auto" w:fill="auto"/>
            <w:vAlign w:val="center"/>
            <w:hideMark/>
          </w:tcPr>
          <w:p w14:paraId="72BC5E01" w14:textId="77777777" w:rsidR="00EC32DE" w:rsidRPr="007D7059" w:rsidRDefault="00EC32DE" w:rsidP="00C67097">
            <w:pPr>
              <w:spacing w:line="240" w:lineRule="auto"/>
              <w:textAlignment w:val="baseline"/>
              <w:rPr>
                <w:rFonts w:ascii="Segoe UI" w:hAnsi="Segoe UI" w:cs="Segoe UI"/>
                <w:b/>
                <w:bCs/>
                <w:color w:val="000000"/>
                <w:sz w:val="18"/>
                <w:szCs w:val="18"/>
                <w:lang w:eastAsia="en-CA"/>
              </w:rPr>
            </w:pPr>
            <w:r w:rsidRPr="007D7059">
              <w:rPr>
                <w:rFonts w:ascii="Calibri" w:hAnsi="Calibri" w:cs="Calibri"/>
                <w:color w:val="000000"/>
                <w:lang w:eastAsia="en-CA"/>
              </w:rPr>
              <w:lastRenderedPageBreak/>
              <w:t>Si (2017)</w:t>
            </w:r>
            <w:r w:rsidRPr="007D7059">
              <w:rPr>
                <w:rFonts w:ascii="Calibri" w:hAnsi="Calibri" w:cs="Calibri"/>
                <w:color w:val="000000"/>
                <w:vertAlign w:val="superscript"/>
                <w:lang w:eastAsia="en-CA"/>
              </w:rPr>
              <w:t>138</w:t>
            </w:r>
            <w:r w:rsidRPr="007D7059">
              <w:rPr>
                <w:rFonts w:ascii="Calibri" w:hAnsi="Calibri" w:cs="Calibri"/>
                <w:b/>
                <w:bCs/>
                <w:color w:val="000000"/>
                <w:vertAlign w:val="superscript"/>
                <w:lang w:eastAsia="en-CA"/>
              </w:rPr>
              <w:t> </w:t>
            </w:r>
          </w:p>
        </w:tc>
        <w:tc>
          <w:tcPr>
            <w:tcW w:w="10972" w:type="dxa"/>
            <w:shd w:val="clear" w:color="auto" w:fill="auto"/>
            <w:vAlign w:val="center"/>
            <w:hideMark/>
          </w:tcPr>
          <w:p w14:paraId="3F6F527C" w14:textId="77777777" w:rsidR="00EC32DE" w:rsidRPr="007D7059" w:rsidRDefault="00EC32DE" w:rsidP="00C67097">
            <w:pPr>
              <w:spacing w:line="240" w:lineRule="auto"/>
              <w:textAlignment w:val="baseline"/>
              <w:rPr>
                <w:rFonts w:ascii="Segoe UI" w:hAnsi="Segoe UI" w:cs="Segoe UI"/>
                <w:color w:val="000000"/>
                <w:sz w:val="18"/>
                <w:szCs w:val="18"/>
                <w:lang w:eastAsia="en-CA"/>
              </w:rPr>
            </w:pPr>
            <w:r w:rsidRPr="007D7059">
              <w:rPr>
                <w:rFonts w:ascii="Calibri" w:hAnsi="Calibri" w:cs="Calibri"/>
                <w:color w:val="000000"/>
                <w:lang w:eastAsia="en-CA"/>
              </w:rPr>
              <w:t>Massive GI hemorrhage and the associated inflammatory response may be associated with the development of HELLP syndrome. </w:t>
            </w:r>
          </w:p>
        </w:tc>
      </w:tr>
      <w:tr w:rsidR="00EC32DE" w:rsidRPr="007D7059" w14:paraId="36DB3EA2" w14:textId="77777777" w:rsidTr="001A1091">
        <w:trPr>
          <w:trHeight w:val="300"/>
        </w:trPr>
        <w:tc>
          <w:tcPr>
            <w:tcW w:w="1980" w:type="dxa"/>
            <w:shd w:val="clear" w:color="auto" w:fill="auto"/>
            <w:vAlign w:val="center"/>
            <w:hideMark/>
          </w:tcPr>
          <w:p w14:paraId="4CAE24D3" w14:textId="77777777" w:rsidR="00EC32DE" w:rsidRPr="007D7059" w:rsidRDefault="00EC32DE" w:rsidP="00C67097">
            <w:pPr>
              <w:spacing w:line="240" w:lineRule="auto"/>
              <w:textAlignment w:val="baseline"/>
              <w:rPr>
                <w:rFonts w:ascii="Segoe UI" w:hAnsi="Segoe UI" w:cs="Segoe UI"/>
                <w:b/>
                <w:bCs/>
                <w:color w:val="000000"/>
                <w:sz w:val="18"/>
                <w:szCs w:val="18"/>
                <w:lang w:eastAsia="en-CA"/>
              </w:rPr>
            </w:pPr>
            <w:r w:rsidRPr="007D7059">
              <w:rPr>
                <w:rFonts w:ascii="Calibri" w:hAnsi="Calibri" w:cs="Calibri"/>
                <w:color w:val="000000"/>
                <w:lang w:eastAsia="en-CA"/>
              </w:rPr>
              <w:t>Tran (2020)</w:t>
            </w:r>
            <w:r w:rsidRPr="009A5911">
              <w:rPr>
                <w:rFonts w:ascii="Calibri" w:hAnsi="Calibri" w:cs="Calibri"/>
                <w:color w:val="000000"/>
                <w:vertAlign w:val="superscript"/>
                <w:lang w:eastAsia="en-CA"/>
              </w:rPr>
              <w:t>146</w:t>
            </w:r>
            <w:r w:rsidRPr="007D7059">
              <w:rPr>
                <w:rFonts w:ascii="Calibri" w:hAnsi="Calibri" w:cs="Calibri"/>
                <w:b/>
                <w:bCs/>
                <w:color w:val="000000"/>
                <w:lang w:eastAsia="en-CA"/>
              </w:rPr>
              <w:t> </w:t>
            </w:r>
          </w:p>
        </w:tc>
        <w:tc>
          <w:tcPr>
            <w:tcW w:w="10972" w:type="dxa"/>
            <w:shd w:val="clear" w:color="auto" w:fill="auto"/>
            <w:vAlign w:val="center"/>
            <w:hideMark/>
          </w:tcPr>
          <w:p w14:paraId="4FC7963B" w14:textId="77777777" w:rsidR="00EC32DE" w:rsidRPr="007D7059" w:rsidRDefault="00EC32DE" w:rsidP="00C67097">
            <w:pPr>
              <w:spacing w:line="240" w:lineRule="auto"/>
              <w:textAlignment w:val="baseline"/>
              <w:rPr>
                <w:rFonts w:ascii="Segoe UI" w:hAnsi="Segoe UI" w:cs="Segoe UI"/>
                <w:color w:val="000000"/>
                <w:sz w:val="18"/>
                <w:szCs w:val="18"/>
                <w:lang w:eastAsia="en-CA"/>
              </w:rPr>
            </w:pPr>
            <w:r w:rsidRPr="007D7059">
              <w:rPr>
                <w:rFonts w:ascii="Calibri" w:hAnsi="Calibri" w:cs="Calibri"/>
                <w:color w:val="000000"/>
                <w:lang w:eastAsia="en-CA"/>
              </w:rPr>
              <w:t>Echocardiographic findings in patients with preeclampsia and acute myocardial infarction associated with asymmetric left ventricular hypertrophy may be reversible after the resolution of preeclampsia. </w:t>
            </w:r>
          </w:p>
        </w:tc>
      </w:tr>
      <w:tr w:rsidR="00EC32DE" w:rsidRPr="007D7059" w14:paraId="0832118A" w14:textId="77777777" w:rsidTr="001A1091">
        <w:trPr>
          <w:trHeight w:val="300"/>
        </w:trPr>
        <w:tc>
          <w:tcPr>
            <w:tcW w:w="1980" w:type="dxa"/>
            <w:shd w:val="clear" w:color="auto" w:fill="auto"/>
            <w:vAlign w:val="center"/>
            <w:hideMark/>
          </w:tcPr>
          <w:p w14:paraId="13FEA798" w14:textId="77777777" w:rsidR="00EC32DE" w:rsidRPr="007D7059" w:rsidRDefault="00EC32DE" w:rsidP="00C67097">
            <w:pPr>
              <w:spacing w:line="240" w:lineRule="auto"/>
              <w:textAlignment w:val="baseline"/>
              <w:rPr>
                <w:rFonts w:ascii="Segoe UI" w:hAnsi="Segoe UI" w:cs="Segoe UI"/>
                <w:b/>
                <w:bCs/>
                <w:color w:val="000000"/>
                <w:sz w:val="18"/>
                <w:szCs w:val="18"/>
                <w:lang w:eastAsia="en-CA"/>
              </w:rPr>
            </w:pPr>
            <w:r w:rsidRPr="007D7059">
              <w:rPr>
                <w:rFonts w:ascii="Calibri" w:hAnsi="Calibri" w:cs="Calibri"/>
                <w:color w:val="000000"/>
                <w:lang w:eastAsia="en-CA"/>
              </w:rPr>
              <w:t>Tskhay (2016)</w:t>
            </w:r>
            <w:r w:rsidRPr="009A5911">
              <w:rPr>
                <w:rFonts w:ascii="Calibri" w:hAnsi="Calibri" w:cs="Calibri"/>
                <w:color w:val="000000"/>
                <w:vertAlign w:val="superscript"/>
                <w:lang w:eastAsia="en-CA"/>
              </w:rPr>
              <w:t>149</w:t>
            </w:r>
            <w:r w:rsidRPr="007D7059">
              <w:rPr>
                <w:rFonts w:ascii="Calibri" w:hAnsi="Calibri" w:cs="Calibri"/>
                <w:b/>
                <w:bCs/>
                <w:color w:val="000000"/>
                <w:lang w:eastAsia="en-CA"/>
              </w:rPr>
              <w:t> </w:t>
            </w:r>
          </w:p>
        </w:tc>
        <w:tc>
          <w:tcPr>
            <w:tcW w:w="10972" w:type="dxa"/>
            <w:shd w:val="clear" w:color="auto" w:fill="auto"/>
            <w:vAlign w:val="center"/>
            <w:hideMark/>
          </w:tcPr>
          <w:p w14:paraId="2B70246C" w14:textId="77777777" w:rsidR="00EC32DE" w:rsidRPr="007D7059" w:rsidRDefault="00EC32DE" w:rsidP="00C67097">
            <w:pPr>
              <w:spacing w:line="240" w:lineRule="auto"/>
              <w:textAlignment w:val="baseline"/>
              <w:rPr>
                <w:rFonts w:ascii="Segoe UI" w:hAnsi="Segoe UI" w:cs="Segoe UI"/>
                <w:color w:val="000000"/>
                <w:sz w:val="18"/>
                <w:szCs w:val="18"/>
                <w:lang w:eastAsia="en-CA"/>
              </w:rPr>
            </w:pPr>
            <w:r w:rsidRPr="007D7059">
              <w:rPr>
                <w:rFonts w:ascii="Calibri" w:hAnsi="Calibri" w:cs="Calibri"/>
                <w:color w:val="000000"/>
                <w:lang w:eastAsia="en-CA"/>
              </w:rPr>
              <w:t>Dydrogesterone may prevent preeclampsia in patients with a high risk of developing preeclampsia. </w:t>
            </w:r>
          </w:p>
        </w:tc>
      </w:tr>
      <w:tr w:rsidR="00EC32DE" w:rsidRPr="007D7059" w14:paraId="049F65C0" w14:textId="77777777" w:rsidTr="001A1091">
        <w:trPr>
          <w:trHeight w:val="300"/>
        </w:trPr>
        <w:tc>
          <w:tcPr>
            <w:tcW w:w="1980" w:type="dxa"/>
            <w:shd w:val="clear" w:color="auto" w:fill="auto"/>
            <w:vAlign w:val="center"/>
            <w:hideMark/>
          </w:tcPr>
          <w:p w14:paraId="03D7877F" w14:textId="77777777" w:rsidR="00EC32DE" w:rsidRPr="007D7059" w:rsidRDefault="00EC32DE" w:rsidP="00C67097">
            <w:pPr>
              <w:spacing w:line="240" w:lineRule="auto"/>
              <w:textAlignment w:val="baseline"/>
              <w:rPr>
                <w:rFonts w:ascii="Segoe UI" w:hAnsi="Segoe UI" w:cs="Segoe UI"/>
                <w:b/>
                <w:bCs/>
                <w:color w:val="000000"/>
                <w:sz w:val="18"/>
                <w:szCs w:val="18"/>
                <w:lang w:eastAsia="en-CA"/>
              </w:rPr>
            </w:pPr>
            <w:r w:rsidRPr="007D7059">
              <w:rPr>
                <w:rFonts w:ascii="Calibri" w:hAnsi="Calibri" w:cs="Calibri"/>
                <w:color w:val="000000"/>
                <w:lang w:eastAsia="en-CA"/>
              </w:rPr>
              <w:t>Whitehead (2015)</w:t>
            </w:r>
            <w:r w:rsidRPr="007D7059">
              <w:rPr>
                <w:rFonts w:ascii="Calibri" w:hAnsi="Calibri" w:cs="Calibri"/>
                <w:color w:val="000000"/>
                <w:vertAlign w:val="superscript"/>
                <w:lang w:eastAsia="en-CA"/>
              </w:rPr>
              <w:t>151</w:t>
            </w:r>
            <w:r w:rsidRPr="007D7059">
              <w:rPr>
                <w:rFonts w:ascii="Calibri" w:hAnsi="Calibri" w:cs="Calibri"/>
                <w:b/>
                <w:bCs/>
                <w:color w:val="000000"/>
                <w:lang w:eastAsia="en-CA"/>
              </w:rPr>
              <w:t> </w:t>
            </w:r>
          </w:p>
        </w:tc>
        <w:tc>
          <w:tcPr>
            <w:tcW w:w="10972" w:type="dxa"/>
            <w:shd w:val="clear" w:color="auto" w:fill="auto"/>
            <w:vAlign w:val="center"/>
            <w:hideMark/>
          </w:tcPr>
          <w:p w14:paraId="7E75B4A0" w14:textId="77777777" w:rsidR="00EC32DE" w:rsidRPr="007D7059" w:rsidRDefault="00EC32DE" w:rsidP="00C67097">
            <w:pPr>
              <w:spacing w:line="240" w:lineRule="auto"/>
              <w:textAlignment w:val="baseline"/>
              <w:rPr>
                <w:rFonts w:ascii="Segoe UI" w:hAnsi="Segoe UI" w:cs="Segoe UI"/>
                <w:color w:val="000000"/>
                <w:sz w:val="18"/>
                <w:szCs w:val="18"/>
                <w:lang w:eastAsia="en-CA"/>
              </w:rPr>
            </w:pPr>
            <w:r w:rsidRPr="007D7059">
              <w:rPr>
                <w:rFonts w:ascii="Calibri" w:hAnsi="Calibri" w:cs="Calibri"/>
                <w:color w:val="000000"/>
                <w:lang w:eastAsia="en-CA"/>
              </w:rPr>
              <w:t>CPAP in a patient with obstructive sleep apnea and preeclampsia may enable pregnancy prolongation and improved neonatal outcomes. </w:t>
            </w:r>
          </w:p>
        </w:tc>
      </w:tr>
    </w:tbl>
    <w:p w14:paraId="5BED3939" w14:textId="4D7F84B7" w:rsidR="008F3E56" w:rsidRPr="007D7059" w:rsidRDefault="00EC32DE">
      <w:pPr>
        <w:rPr>
          <w:color w:val="000000"/>
          <w:sz w:val="18"/>
          <w:szCs w:val="18"/>
        </w:rPr>
      </w:pPr>
      <w:r w:rsidRPr="007D7059">
        <w:rPr>
          <w:color w:val="000000"/>
          <w:sz w:val="18"/>
          <w:szCs w:val="18"/>
        </w:rPr>
        <w:t xml:space="preserve">Abbreviations: CPAP = continuous positive airway pressure; GI = gastrointestinal; HELLP = hemolysis, elevated liver enzymes, and low platelet count; </w:t>
      </w:r>
      <w:r w:rsidRPr="007D7059">
        <w:rPr>
          <w:rFonts w:ascii="Calibri" w:hAnsi="Calibri" w:cs="Calibri"/>
          <w:color w:val="000000"/>
          <w:sz w:val="18"/>
          <w:szCs w:val="18"/>
          <w:lang w:eastAsia="en-CA"/>
        </w:rPr>
        <w:t>sFlt-1 = soluble fms-like tyrosine kinase-1; MgSO4 = magnesium sulphate; PIGF = placental growth factor.</w:t>
      </w:r>
    </w:p>
    <w:sectPr w:rsidR="008F3E56" w:rsidRPr="007D7059" w:rsidSect="0044717D">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468CE" w14:textId="77777777" w:rsidR="00916A9E" w:rsidRDefault="00916A9E" w:rsidP="007D7059">
      <w:pPr>
        <w:spacing w:after="0" w:line="240" w:lineRule="auto"/>
      </w:pPr>
      <w:r>
        <w:separator/>
      </w:r>
    </w:p>
  </w:endnote>
  <w:endnote w:type="continuationSeparator" w:id="0">
    <w:p w14:paraId="4565BDE4" w14:textId="77777777" w:rsidR="00916A9E" w:rsidRDefault="00916A9E" w:rsidP="007D7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inionPro-Regular">
    <w:altName w:val="MS Gothic"/>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A600" w14:textId="29808389" w:rsidR="007D7059" w:rsidRDefault="007D7059">
    <w:pPr>
      <w:pStyle w:val="Footer"/>
    </w:pPr>
    <w:r>
      <w:rPr>
        <w:noProof/>
      </w:rPr>
      <mc:AlternateContent>
        <mc:Choice Requires="wps">
          <w:drawing>
            <wp:anchor distT="0" distB="0" distL="114300" distR="114300" simplePos="0" relativeHeight="251659264" behindDoc="0" locked="0" layoutInCell="0" allowOverlap="1" wp14:anchorId="4242EA4C" wp14:editId="22DDACB9">
              <wp:simplePos x="0" y="0"/>
              <wp:positionH relativeFrom="page">
                <wp:posOffset>0</wp:posOffset>
              </wp:positionH>
              <wp:positionV relativeFrom="page">
                <wp:posOffset>7317740</wp:posOffset>
              </wp:positionV>
              <wp:extent cx="10058400" cy="263525"/>
              <wp:effectExtent l="0" t="0" r="0" b="3175"/>
              <wp:wrapNone/>
              <wp:docPr id="1" name="MSIPCM10274749845578dca1b8ca33" descr="{&quot;HashCode&quot;:-1348403003,&quot;Height&quot;:612.0,&quot;Width&quot;:79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05840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875A94" w14:textId="04008F0F" w:rsidR="007D7059" w:rsidRPr="007D7059" w:rsidRDefault="007D7059" w:rsidP="007D7059">
                          <w:pPr>
                            <w:spacing w:after="0"/>
                            <w:rPr>
                              <w:rFonts w:ascii="Rockwell" w:hAnsi="Rockwell"/>
                              <w:color w:val="0078D7"/>
                              <w:sz w:val="18"/>
                            </w:rPr>
                          </w:pPr>
                          <w:r w:rsidRPr="007D7059">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242EA4C" id="_x0000_t202" coordsize="21600,21600" o:spt="202" path="m,l,21600r21600,l21600,xe">
              <v:stroke joinstyle="miter"/>
              <v:path gradientshapeok="t" o:connecttype="rect"/>
            </v:shapetype>
            <v:shape id="MSIPCM10274749845578dca1b8ca33" o:spid="_x0000_s1026" type="#_x0000_t202" alt="{&quot;HashCode&quot;:-1348403003,&quot;Height&quot;:612.0,&quot;Width&quot;:792.0,&quot;Placement&quot;:&quot;Footer&quot;,&quot;Index&quot;:&quot;Primary&quot;,&quot;Section&quot;:1,&quot;Top&quot;:0.0,&quot;Left&quot;:0.0}" style="position:absolute;margin-left:0;margin-top:576.2pt;width:11in;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" o:allowincell="f" filled="f" stroked="f" strokeweight=".5pt">
              <v:fill o:detectmouseclick="t"/>
              <v:textbox inset="20pt,0,,0">
                <w:txbxContent>
                  <w:p w14:paraId="3A875A94" w14:textId="04008F0F" w:rsidR="007D7059" w:rsidRPr="007D7059" w:rsidRDefault="007D7059" w:rsidP="007D7059">
                    <w:pPr>
                      <w:spacing w:after="0"/>
                      <w:rPr>
                        <w:rFonts w:ascii="Rockwell" w:hAnsi="Rockwell"/>
                        <w:color w:val="0078D7"/>
                        <w:sz w:val="18"/>
                      </w:rPr>
                    </w:pPr>
                    <w:r w:rsidRPr="007D7059">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E104E" w14:textId="77777777" w:rsidR="00916A9E" w:rsidRDefault="00916A9E" w:rsidP="007D7059">
      <w:pPr>
        <w:spacing w:after="0" w:line="240" w:lineRule="auto"/>
      </w:pPr>
      <w:r>
        <w:separator/>
      </w:r>
    </w:p>
  </w:footnote>
  <w:footnote w:type="continuationSeparator" w:id="0">
    <w:p w14:paraId="23943DC5" w14:textId="77777777" w:rsidR="00916A9E" w:rsidRDefault="00916A9E" w:rsidP="007D70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D0A"/>
    <w:multiLevelType w:val="hybridMultilevel"/>
    <w:tmpl w:val="3B4C31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53B1BBA"/>
    <w:multiLevelType w:val="multilevel"/>
    <w:tmpl w:val="CAE68D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8E65A04"/>
    <w:multiLevelType w:val="hybridMultilevel"/>
    <w:tmpl w:val="288CD3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B8E3B36"/>
    <w:multiLevelType w:val="hybridMultilevel"/>
    <w:tmpl w:val="678286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0F22636"/>
    <w:multiLevelType w:val="multilevel"/>
    <w:tmpl w:val="1C9853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60420A7"/>
    <w:multiLevelType w:val="hybridMultilevel"/>
    <w:tmpl w:val="D8FE24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FC2E23"/>
    <w:multiLevelType w:val="hybridMultilevel"/>
    <w:tmpl w:val="7D268E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F13155"/>
    <w:multiLevelType w:val="hybridMultilevel"/>
    <w:tmpl w:val="10EA23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E0C714A"/>
    <w:multiLevelType w:val="hybridMultilevel"/>
    <w:tmpl w:val="F6026E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9A5537B"/>
    <w:multiLevelType w:val="hybridMultilevel"/>
    <w:tmpl w:val="A3AC863A"/>
    <w:lvl w:ilvl="0" w:tplc="E54A02DC">
      <w:start w:val="1"/>
      <w:numFmt w:val="bullet"/>
      <w:lvlText w:val="•"/>
      <w:lvlJc w:val="left"/>
      <w:pPr>
        <w:tabs>
          <w:tab w:val="num" w:pos="720"/>
        </w:tabs>
        <w:ind w:left="720" w:hanging="360"/>
      </w:pPr>
      <w:rPr>
        <w:rFonts w:ascii="Times New Roman" w:hAnsi="Times New Roman" w:hint="default"/>
      </w:rPr>
    </w:lvl>
    <w:lvl w:ilvl="1" w:tplc="1B2CE894" w:tentative="1">
      <w:start w:val="1"/>
      <w:numFmt w:val="bullet"/>
      <w:lvlText w:val="•"/>
      <w:lvlJc w:val="left"/>
      <w:pPr>
        <w:tabs>
          <w:tab w:val="num" w:pos="1440"/>
        </w:tabs>
        <w:ind w:left="1440" w:hanging="360"/>
      </w:pPr>
      <w:rPr>
        <w:rFonts w:ascii="Times New Roman" w:hAnsi="Times New Roman" w:hint="default"/>
      </w:rPr>
    </w:lvl>
    <w:lvl w:ilvl="2" w:tplc="248EE052" w:tentative="1">
      <w:start w:val="1"/>
      <w:numFmt w:val="bullet"/>
      <w:lvlText w:val="•"/>
      <w:lvlJc w:val="left"/>
      <w:pPr>
        <w:tabs>
          <w:tab w:val="num" w:pos="2160"/>
        </w:tabs>
        <w:ind w:left="2160" w:hanging="360"/>
      </w:pPr>
      <w:rPr>
        <w:rFonts w:ascii="Times New Roman" w:hAnsi="Times New Roman" w:hint="default"/>
      </w:rPr>
    </w:lvl>
    <w:lvl w:ilvl="3" w:tplc="5186D784" w:tentative="1">
      <w:start w:val="1"/>
      <w:numFmt w:val="bullet"/>
      <w:lvlText w:val="•"/>
      <w:lvlJc w:val="left"/>
      <w:pPr>
        <w:tabs>
          <w:tab w:val="num" w:pos="2880"/>
        </w:tabs>
        <w:ind w:left="2880" w:hanging="360"/>
      </w:pPr>
      <w:rPr>
        <w:rFonts w:ascii="Times New Roman" w:hAnsi="Times New Roman" w:hint="default"/>
      </w:rPr>
    </w:lvl>
    <w:lvl w:ilvl="4" w:tplc="86306EE6" w:tentative="1">
      <w:start w:val="1"/>
      <w:numFmt w:val="bullet"/>
      <w:lvlText w:val="•"/>
      <w:lvlJc w:val="left"/>
      <w:pPr>
        <w:tabs>
          <w:tab w:val="num" w:pos="3600"/>
        </w:tabs>
        <w:ind w:left="3600" w:hanging="360"/>
      </w:pPr>
      <w:rPr>
        <w:rFonts w:ascii="Times New Roman" w:hAnsi="Times New Roman" w:hint="default"/>
      </w:rPr>
    </w:lvl>
    <w:lvl w:ilvl="5" w:tplc="E0FE305A" w:tentative="1">
      <w:start w:val="1"/>
      <w:numFmt w:val="bullet"/>
      <w:lvlText w:val="•"/>
      <w:lvlJc w:val="left"/>
      <w:pPr>
        <w:tabs>
          <w:tab w:val="num" w:pos="4320"/>
        </w:tabs>
        <w:ind w:left="4320" w:hanging="360"/>
      </w:pPr>
      <w:rPr>
        <w:rFonts w:ascii="Times New Roman" w:hAnsi="Times New Roman" w:hint="default"/>
      </w:rPr>
    </w:lvl>
    <w:lvl w:ilvl="6" w:tplc="639A6F3A" w:tentative="1">
      <w:start w:val="1"/>
      <w:numFmt w:val="bullet"/>
      <w:lvlText w:val="•"/>
      <w:lvlJc w:val="left"/>
      <w:pPr>
        <w:tabs>
          <w:tab w:val="num" w:pos="5040"/>
        </w:tabs>
        <w:ind w:left="5040" w:hanging="360"/>
      </w:pPr>
      <w:rPr>
        <w:rFonts w:ascii="Times New Roman" w:hAnsi="Times New Roman" w:hint="default"/>
      </w:rPr>
    </w:lvl>
    <w:lvl w:ilvl="7" w:tplc="95AC961C" w:tentative="1">
      <w:start w:val="1"/>
      <w:numFmt w:val="bullet"/>
      <w:lvlText w:val="•"/>
      <w:lvlJc w:val="left"/>
      <w:pPr>
        <w:tabs>
          <w:tab w:val="num" w:pos="5760"/>
        </w:tabs>
        <w:ind w:left="5760" w:hanging="360"/>
      </w:pPr>
      <w:rPr>
        <w:rFonts w:ascii="Times New Roman" w:hAnsi="Times New Roman" w:hint="default"/>
      </w:rPr>
    </w:lvl>
    <w:lvl w:ilvl="8" w:tplc="5CC0BF8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9E45C11"/>
    <w:multiLevelType w:val="hybridMultilevel"/>
    <w:tmpl w:val="72F6AC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CE95771"/>
    <w:multiLevelType w:val="hybridMultilevel"/>
    <w:tmpl w:val="938C06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DE220A7"/>
    <w:multiLevelType w:val="hybridMultilevel"/>
    <w:tmpl w:val="9B3CE4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69750253">
    <w:abstractNumId w:val="8"/>
  </w:num>
  <w:num w:numId="2" w16cid:durableId="336155430">
    <w:abstractNumId w:val="9"/>
  </w:num>
  <w:num w:numId="3" w16cid:durableId="663977564">
    <w:abstractNumId w:val="16"/>
  </w:num>
  <w:num w:numId="4" w16cid:durableId="1667827297">
    <w:abstractNumId w:val="14"/>
  </w:num>
  <w:num w:numId="5" w16cid:durableId="2009672735">
    <w:abstractNumId w:val="6"/>
  </w:num>
  <w:num w:numId="6" w16cid:durableId="1289891503">
    <w:abstractNumId w:val="15"/>
  </w:num>
  <w:num w:numId="7" w16cid:durableId="527066338">
    <w:abstractNumId w:val="18"/>
  </w:num>
  <w:num w:numId="8" w16cid:durableId="261186641">
    <w:abstractNumId w:val="7"/>
  </w:num>
  <w:num w:numId="9" w16cid:durableId="1113860464">
    <w:abstractNumId w:val="17"/>
  </w:num>
  <w:num w:numId="10" w16cid:durableId="1523975644">
    <w:abstractNumId w:val="1"/>
  </w:num>
  <w:num w:numId="11" w16cid:durableId="1721589177">
    <w:abstractNumId w:val="4"/>
  </w:num>
  <w:num w:numId="12" w16cid:durableId="1318916985">
    <w:abstractNumId w:val="10"/>
  </w:num>
  <w:num w:numId="13" w16cid:durableId="1041595111">
    <w:abstractNumId w:val="12"/>
  </w:num>
  <w:num w:numId="14" w16cid:durableId="984897209">
    <w:abstractNumId w:val="13"/>
  </w:num>
  <w:num w:numId="15" w16cid:durableId="1289700733">
    <w:abstractNumId w:val="5"/>
  </w:num>
  <w:num w:numId="16" w16cid:durableId="446966413">
    <w:abstractNumId w:val="0"/>
  </w:num>
  <w:num w:numId="17" w16cid:durableId="486364546">
    <w:abstractNumId w:val="2"/>
  </w:num>
  <w:num w:numId="18" w16cid:durableId="395780192">
    <w:abstractNumId w:val="11"/>
  </w:num>
  <w:num w:numId="19" w16cid:durableId="1067453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HEibGRuZmJpaW5ko6SsGpxcWZ+XkgBYa1AN6c3uQsAAAA"/>
  </w:docVars>
  <w:rsids>
    <w:rsidRoot w:val="00546A15"/>
    <w:rsid w:val="000057DB"/>
    <w:rsid w:val="000F7D7A"/>
    <w:rsid w:val="001A1091"/>
    <w:rsid w:val="00384BC8"/>
    <w:rsid w:val="0044717D"/>
    <w:rsid w:val="005255AC"/>
    <w:rsid w:val="00546A15"/>
    <w:rsid w:val="005E10ED"/>
    <w:rsid w:val="006F1C52"/>
    <w:rsid w:val="00790687"/>
    <w:rsid w:val="007D7059"/>
    <w:rsid w:val="008F3E56"/>
    <w:rsid w:val="008F7190"/>
    <w:rsid w:val="00916A9E"/>
    <w:rsid w:val="009A5911"/>
    <w:rsid w:val="00A46268"/>
    <w:rsid w:val="00EC3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4CA32"/>
  <w15:chartTrackingRefBased/>
  <w15:docId w15:val="{2E140290-524D-410C-A254-B814CA44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A15"/>
    <w:pPr>
      <w:keepNext/>
      <w:spacing w:before="240" w:after="60" w:line="48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384BC8"/>
    <w:pPr>
      <w:keepNext/>
      <w:spacing w:before="240" w:after="60" w:line="48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384BC8"/>
    <w:pPr>
      <w:keepNext/>
      <w:spacing w:before="240" w:after="60" w:line="48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A15"/>
    <w:rPr>
      <w:rFonts w:ascii="Arial" w:eastAsia="Times New Roman" w:hAnsi="Arial" w:cs="Arial"/>
      <w:b/>
      <w:bCs/>
      <w:kern w:val="32"/>
      <w:sz w:val="32"/>
      <w:szCs w:val="32"/>
    </w:rPr>
  </w:style>
  <w:style w:type="paragraph" w:customStyle="1" w:styleId="paragraph">
    <w:name w:val="paragraph"/>
    <w:basedOn w:val="Normal"/>
    <w:rsid w:val="00546A15"/>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546A15"/>
  </w:style>
  <w:style w:type="character" w:customStyle="1" w:styleId="eop">
    <w:name w:val="eop"/>
    <w:basedOn w:val="DefaultParagraphFont"/>
    <w:rsid w:val="00546A15"/>
  </w:style>
  <w:style w:type="character" w:customStyle="1" w:styleId="Heading2Char">
    <w:name w:val="Heading 2 Char"/>
    <w:basedOn w:val="DefaultParagraphFont"/>
    <w:link w:val="Heading2"/>
    <w:uiPriority w:val="9"/>
    <w:rsid w:val="00384BC8"/>
    <w:rPr>
      <w:rFonts w:ascii="Arial" w:eastAsia="Times New Roman" w:hAnsi="Arial" w:cs="Arial"/>
      <w:b/>
      <w:bCs/>
      <w:i/>
      <w:iCs/>
      <w:sz w:val="28"/>
      <w:szCs w:val="28"/>
    </w:rPr>
  </w:style>
  <w:style w:type="character" w:customStyle="1" w:styleId="Heading3Char">
    <w:name w:val="Heading 3 Char"/>
    <w:basedOn w:val="DefaultParagraphFont"/>
    <w:link w:val="Heading3"/>
    <w:rsid w:val="00384BC8"/>
    <w:rPr>
      <w:rFonts w:ascii="Arial" w:eastAsia="Times New Roman" w:hAnsi="Arial" w:cs="Arial"/>
      <w:b/>
      <w:bCs/>
      <w:sz w:val="26"/>
      <w:szCs w:val="26"/>
    </w:rPr>
  </w:style>
  <w:style w:type="paragraph" w:styleId="Footer">
    <w:name w:val="footer"/>
    <w:basedOn w:val="Normal"/>
    <w:link w:val="FooterChar"/>
    <w:uiPriority w:val="99"/>
    <w:rsid w:val="00384BC8"/>
    <w:pPr>
      <w:tabs>
        <w:tab w:val="center" w:pos="4320"/>
        <w:tab w:val="right" w:pos="8640"/>
      </w:tabs>
      <w:spacing w:after="0" w:line="480" w:lineRule="auto"/>
    </w:pPr>
    <w:rPr>
      <w:rFonts w:ascii="Arial" w:eastAsia="Times New Roman" w:hAnsi="Arial" w:cs="Times New Roman"/>
      <w:sz w:val="20"/>
      <w:szCs w:val="24"/>
    </w:rPr>
  </w:style>
  <w:style w:type="character" w:customStyle="1" w:styleId="FooterChar">
    <w:name w:val="Footer Char"/>
    <w:basedOn w:val="DefaultParagraphFont"/>
    <w:link w:val="Footer"/>
    <w:uiPriority w:val="99"/>
    <w:rsid w:val="00384BC8"/>
    <w:rPr>
      <w:rFonts w:ascii="Arial" w:eastAsia="Times New Roman" w:hAnsi="Arial" w:cs="Times New Roman"/>
      <w:sz w:val="20"/>
      <w:szCs w:val="24"/>
    </w:rPr>
  </w:style>
  <w:style w:type="character" w:styleId="PageNumber">
    <w:name w:val="page number"/>
    <w:basedOn w:val="DefaultParagraphFont"/>
    <w:rsid w:val="00384BC8"/>
  </w:style>
  <w:style w:type="character" w:styleId="Emphasis">
    <w:name w:val="Emphasis"/>
    <w:qFormat/>
    <w:rsid w:val="00384BC8"/>
    <w:rPr>
      <w:b/>
      <w:bCs/>
      <w:i w:val="0"/>
      <w:iCs w:val="0"/>
    </w:rPr>
  </w:style>
  <w:style w:type="character" w:styleId="Hyperlink">
    <w:name w:val="Hyperlink"/>
    <w:uiPriority w:val="99"/>
    <w:rsid w:val="00384BC8"/>
    <w:rPr>
      <w:color w:val="0000FF"/>
      <w:u w:val="single"/>
    </w:rPr>
  </w:style>
  <w:style w:type="character" w:styleId="CommentReference">
    <w:name w:val="annotation reference"/>
    <w:uiPriority w:val="99"/>
    <w:semiHidden/>
    <w:rsid w:val="00384BC8"/>
    <w:rPr>
      <w:sz w:val="16"/>
      <w:szCs w:val="16"/>
    </w:rPr>
  </w:style>
  <w:style w:type="paragraph" w:styleId="CommentText">
    <w:name w:val="annotation text"/>
    <w:basedOn w:val="Normal"/>
    <w:link w:val="CommentTextChar"/>
    <w:uiPriority w:val="99"/>
    <w:rsid w:val="00384BC8"/>
    <w:pPr>
      <w:spacing w:after="0" w:line="48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384BC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384BC8"/>
    <w:rPr>
      <w:b/>
      <w:bCs/>
    </w:rPr>
  </w:style>
  <w:style w:type="character" w:customStyle="1" w:styleId="CommentSubjectChar">
    <w:name w:val="Comment Subject Char"/>
    <w:basedOn w:val="CommentTextChar"/>
    <w:link w:val="CommentSubject"/>
    <w:uiPriority w:val="99"/>
    <w:semiHidden/>
    <w:rsid w:val="00384BC8"/>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384BC8"/>
    <w:pPr>
      <w:spacing w:after="0" w:line="48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84BC8"/>
    <w:rPr>
      <w:rFonts w:ascii="Tahoma" w:eastAsia="Times New Roman" w:hAnsi="Tahoma" w:cs="Tahoma"/>
      <w:sz w:val="16"/>
      <w:szCs w:val="16"/>
    </w:rPr>
  </w:style>
  <w:style w:type="character" w:styleId="LineNumber">
    <w:name w:val="line number"/>
    <w:rsid w:val="00384BC8"/>
  </w:style>
  <w:style w:type="paragraph" w:styleId="Header">
    <w:name w:val="header"/>
    <w:basedOn w:val="Normal"/>
    <w:link w:val="HeaderChar"/>
    <w:uiPriority w:val="99"/>
    <w:rsid w:val="00384BC8"/>
    <w:pPr>
      <w:tabs>
        <w:tab w:val="center" w:pos="4680"/>
        <w:tab w:val="right" w:pos="9360"/>
      </w:tabs>
      <w:spacing w:after="0" w:line="480" w:lineRule="auto"/>
    </w:pPr>
    <w:rPr>
      <w:rFonts w:ascii="Arial" w:eastAsia="Times New Roman" w:hAnsi="Arial" w:cs="Times New Roman"/>
      <w:sz w:val="20"/>
      <w:szCs w:val="24"/>
    </w:rPr>
  </w:style>
  <w:style w:type="character" w:customStyle="1" w:styleId="HeaderChar">
    <w:name w:val="Header Char"/>
    <w:basedOn w:val="DefaultParagraphFont"/>
    <w:link w:val="Header"/>
    <w:uiPriority w:val="99"/>
    <w:rsid w:val="00384BC8"/>
    <w:rPr>
      <w:rFonts w:ascii="Arial" w:eastAsia="Times New Roman" w:hAnsi="Arial" w:cs="Times New Roman"/>
      <w:sz w:val="20"/>
      <w:szCs w:val="24"/>
    </w:rPr>
  </w:style>
  <w:style w:type="character" w:styleId="UnresolvedMention">
    <w:name w:val="Unresolved Mention"/>
    <w:basedOn w:val="DefaultParagraphFont"/>
    <w:uiPriority w:val="99"/>
    <w:semiHidden/>
    <w:unhideWhenUsed/>
    <w:rsid w:val="00384BC8"/>
    <w:rPr>
      <w:color w:val="605E5C"/>
      <w:shd w:val="clear" w:color="auto" w:fill="E1DFDD"/>
    </w:rPr>
  </w:style>
  <w:style w:type="paragraph" w:customStyle="1" w:styleId="EndNoteBibliographyTitle">
    <w:name w:val="EndNote Bibliography Title"/>
    <w:basedOn w:val="Normal"/>
    <w:link w:val="EndNoteBibliographyTitleChar"/>
    <w:rsid w:val="00384BC8"/>
    <w:pPr>
      <w:spacing w:after="0" w:line="480" w:lineRule="auto"/>
      <w:jc w:val="center"/>
    </w:pPr>
    <w:rPr>
      <w:rFonts w:ascii="Arial" w:eastAsia="Times New Roman" w:hAnsi="Arial" w:cs="Arial"/>
      <w:noProof/>
      <w:kern w:val="32"/>
      <w:sz w:val="20"/>
      <w:szCs w:val="24"/>
    </w:rPr>
  </w:style>
  <w:style w:type="character" w:customStyle="1" w:styleId="EndNoteBibliographyTitleChar">
    <w:name w:val="EndNote Bibliography Title Char"/>
    <w:basedOn w:val="Heading1Char"/>
    <w:link w:val="EndNoteBibliographyTitle"/>
    <w:rsid w:val="00384BC8"/>
    <w:rPr>
      <w:rFonts w:ascii="Arial" w:eastAsia="Times New Roman" w:hAnsi="Arial" w:cs="Arial"/>
      <w:b w:val="0"/>
      <w:bCs w:val="0"/>
      <w:noProof/>
      <w:kern w:val="32"/>
      <w:sz w:val="20"/>
      <w:szCs w:val="24"/>
    </w:rPr>
  </w:style>
  <w:style w:type="paragraph" w:customStyle="1" w:styleId="EndNoteBibliography">
    <w:name w:val="EndNote Bibliography"/>
    <w:basedOn w:val="Normal"/>
    <w:link w:val="EndNoteBibliographyChar"/>
    <w:rsid w:val="00384BC8"/>
    <w:pPr>
      <w:spacing w:after="0" w:line="240" w:lineRule="auto"/>
    </w:pPr>
    <w:rPr>
      <w:rFonts w:ascii="Arial" w:eastAsia="Times New Roman" w:hAnsi="Arial" w:cs="Arial"/>
      <w:noProof/>
      <w:kern w:val="32"/>
      <w:sz w:val="20"/>
      <w:szCs w:val="24"/>
    </w:rPr>
  </w:style>
  <w:style w:type="character" w:customStyle="1" w:styleId="EndNoteBibliographyChar">
    <w:name w:val="EndNote Bibliography Char"/>
    <w:basedOn w:val="Heading1Char"/>
    <w:link w:val="EndNoteBibliography"/>
    <w:rsid w:val="00384BC8"/>
    <w:rPr>
      <w:rFonts w:ascii="Arial" w:eastAsia="Times New Roman" w:hAnsi="Arial" w:cs="Arial"/>
      <w:b w:val="0"/>
      <w:bCs w:val="0"/>
      <w:noProof/>
      <w:kern w:val="32"/>
      <w:sz w:val="20"/>
      <w:szCs w:val="24"/>
    </w:rPr>
  </w:style>
  <w:style w:type="paragraph" w:styleId="Title">
    <w:name w:val="Title"/>
    <w:basedOn w:val="Normal"/>
    <w:next w:val="Normal"/>
    <w:link w:val="TitleChar"/>
    <w:uiPriority w:val="10"/>
    <w:qFormat/>
    <w:rsid w:val="00384BC8"/>
    <w:pPr>
      <w:spacing w:after="0" w:line="240" w:lineRule="auto"/>
      <w:contextualSpacing/>
    </w:pPr>
    <w:rPr>
      <w:rFonts w:ascii="Calibri Light" w:eastAsia="Yu Gothic Light" w:hAnsi="Calibri Light" w:cs="Times New Roman"/>
      <w:spacing w:val="-10"/>
      <w:kern w:val="28"/>
      <w:sz w:val="56"/>
      <w:szCs w:val="56"/>
      <w:lang w:val="en-CA"/>
    </w:rPr>
  </w:style>
  <w:style w:type="character" w:customStyle="1" w:styleId="TitleChar">
    <w:name w:val="Title Char"/>
    <w:basedOn w:val="DefaultParagraphFont"/>
    <w:link w:val="Title"/>
    <w:uiPriority w:val="10"/>
    <w:rsid w:val="00384BC8"/>
    <w:rPr>
      <w:rFonts w:ascii="Calibri Light" w:eastAsia="Yu Gothic Light" w:hAnsi="Calibri Light" w:cs="Times New Roman"/>
      <w:spacing w:val="-10"/>
      <w:kern w:val="28"/>
      <w:sz w:val="56"/>
      <w:szCs w:val="56"/>
      <w:lang w:val="en-CA"/>
    </w:rPr>
  </w:style>
  <w:style w:type="paragraph" w:customStyle="1" w:styleId="TableBodyCopyCADTH">
    <w:name w:val="Table Body Copy (CADTH)"/>
    <w:qFormat/>
    <w:rsid w:val="00384BC8"/>
    <w:pPr>
      <w:spacing w:after="0" w:line="240" w:lineRule="auto"/>
    </w:pPr>
    <w:rPr>
      <w:rFonts w:ascii="Arial" w:eastAsia="Yu Mincho" w:hAnsi="Arial" w:cs="MinionPro-Regular"/>
      <w:color w:val="000000"/>
      <w:sz w:val="18"/>
      <w:szCs w:val="18"/>
    </w:rPr>
  </w:style>
  <w:style w:type="paragraph" w:customStyle="1" w:styleId="TableHeadingCADTH">
    <w:name w:val="Table Heading (CADTH)"/>
    <w:qFormat/>
    <w:rsid w:val="00384BC8"/>
    <w:pPr>
      <w:spacing w:after="0" w:line="240" w:lineRule="auto"/>
    </w:pPr>
    <w:rPr>
      <w:rFonts w:ascii="Arial" w:eastAsia="Yu Mincho" w:hAnsi="Arial" w:cs="MinionPro-Regular"/>
      <w:b/>
      <w:color w:val="FFFFFF"/>
      <w:sz w:val="20"/>
      <w:szCs w:val="20"/>
    </w:rPr>
  </w:style>
  <w:style w:type="table" w:customStyle="1" w:styleId="LightList-Accent11">
    <w:name w:val="Light List - Accent 11"/>
    <w:basedOn w:val="TableNormal"/>
    <w:next w:val="LightList-Accent1"/>
    <w:uiPriority w:val="61"/>
    <w:rsid w:val="00384BC8"/>
    <w:pPr>
      <w:spacing w:after="0" w:line="240" w:lineRule="auto"/>
    </w:pPr>
    <w:rPr>
      <w:rFonts w:ascii="Arial" w:eastAsia="Times New Roman" w:hAnsi="Arial" w:cs="Times New Roman"/>
      <w:sz w:val="24"/>
      <w:szCs w:val="24"/>
      <w:lang w:val="en-C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1">
    <w:name w:val="Light List Accent 1"/>
    <w:basedOn w:val="TableNormal"/>
    <w:uiPriority w:val="61"/>
    <w:semiHidden/>
    <w:unhideWhenUsed/>
    <w:rsid w:val="00384BC8"/>
    <w:pPr>
      <w:spacing w:after="0" w:line="240" w:lineRule="auto"/>
    </w:pPr>
    <w:rPr>
      <w:rFonts w:ascii="Calibri" w:eastAsia="Calibri" w:hAnsi="Calibri" w:cs="Times New Roman"/>
      <w:lang w:val="en-CA"/>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styleId="Caption">
    <w:name w:val="caption"/>
    <w:basedOn w:val="Normal"/>
    <w:next w:val="Normal"/>
    <w:uiPriority w:val="35"/>
    <w:unhideWhenUsed/>
    <w:qFormat/>
    <w:rsid w:val="00384BC8"/>
    <w:pPr>
      <w:spacing w:after="200" w:line="240" w:lineRule="auto"/>
    </w:pPr>
    <w:rPr>
      <w:rFonts w:ascii="Calibri" w:eastAsia="Calibri" w:hAnsi="Calibri" w:cs="Times New Roman"/>
      <w:i/>
      <w:iCs/>
      <w:color w:val="44546A"/>
      <w:sz w:val="18"/>
      <w:szCs w:val="18"/>
      <w:lang w:val="en-CA"/>
    </w:rPr>
  </w:style>
  <w:style w:type="paragraph" w:styleId="ListParagraph">
    <w:name w:val="List Paragraph"/>
    <w:basedOn w:val="Normal"/>
    <w:uiPriority w:val="34"/>
    <w:qFormat/>
    <w:rsid w:val="00384BC8"/>
    <w:pPr>
      <w:ind w:left="720"/>
      <w:contextualSpacing/>
    </w:pPr>
    <w:rPr>
      <w:rFonts w:ascii="Calibri" w:eastAsia="Calibri" w:hAnsi="Calibri" w:cs="Times New Roman"/>
      <w:lang w:val="en-CA"/>
    </w:rPr>
  </w:style>
  <w:style w:type="paragraph" w:styleId="Revision">
    <w:name w:val="Revision"/>
    <w:hidden/>
    <w:uiPriority w:val="99"/>
    <w:semiHidden/>
    <w:rsid w:val="00384BC8"/>
    <w:pPr>
      <w:spacing w:after="0" w:line="240" w:lineRule="auto"/>
    </w:pPr>
    <w:rPr>
      <w:rFonts w:ascii="Calibri" w:eastAsia="Calibri" w:hAnsi="Calibri" w:cs="Times New Roman"/>
      <w:lang w:val="en-CA"/>
    </w:rPr>
  </w:style>
  <w:style w:type="character" w:customStyle="1" w:styleId="UnresolvedMention1">
    <w:name w:val="Unresolved Mention1"/>
    <w:uiPriority w:val="99"/>
    <w:semiHidden/>
    <w:unhideWhenUsed/>
    <w:rsid w:val="00384BC8"/>
    <w:rPr>
      <w:color w:val="605E5C"/>
      <w:shd w:val="clear" w:color="auto" w:fill="E1DFDD"/>
    </w:rPr>
  </w:style>
  <w:style w:type="table" w:styleId="TableGrid">
    <w:name w:val="Table Grid"/>
    <w:basedOn w:val="TableNormal"/>
    <w:uiPriority w:val="39"/>
    <w:rsid w:val="00384BC8"/>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84B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rsid w:val="00384BC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1996</Words>
  <Characters>11382</Characters>
  <Application>Microsoft Office Word</Application>
  <DocSecurity>0</DocSecurity>
  <Lines>94</Lines>
  <Paragraphs>26</Paragraphs>
  <ScaleCrop>false</ScaleCrop>
  <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Ghayath Janoudi</dc:creator>
  <cp:keywords/>
  <dc:description/>
  <cp:lastModifiedBy>Olliver, Tania</cp:lastModifiedBy>
  <cp:revision>3</cp:revision>
  <dcterms:created xsi:type="dcterms:W3CDTF">2023-03-12T22:14:00Z</dcterms:created>
  <dcterms:modified xsi:type="dcterms:W3CDTF">2023-03-14T07:24:00Z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2023-03-14T07:24:26Z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20906038-1ca9-478b-9ae6-b6dd38bf3519</vt:lpwstr>
  </property>
  <property fmtid="{D5CDD505-2E9C-101B-9397-08002B2CF9AE}" pid="8" name="MSIP_Label_2bbab825-a111-45e4-86a1-18cee0005896_ContentBits">
    <vt:lpwstr>2</vt:lpwstr>
  </property>
</Properties>
</file>