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FF85" w14:textId="77777777" w:rsidR="00523C0A" w:rsidRPr="00D67872" w:rsidRDefault="00523C0A" w:rsidP="00523C0A">
      <w:pPr>
        <w:spacing w:line="360" w:lineRule="auto"/>
        <w:rPr>
          <w:rFonts w:ascii="Times New Roman" w:hAnsi="Times New Roman"/>
          <w:b/>
          <w:bCs/>
          <w:sz w:val="32"/>
          <w:szCs w:val="32"/>
        </w:rPr>
      </w:pPr>
      <w:r w:rsidRPr="00D67872">
        <w:rPr>
          <w:rFonts w:ascii="Times New Roman" w:hAnsi="Times New Roman"/>
          <w:b/>
          <w:bCs/>
          <w:sz w:val="32"/>
          <w:szCs w:val="32"/>
        </w:rPr>
        <w:t>Supplementary Material</w:t>
      </w:r>
    </w:p>
    <w:p w14:paraId="776F8899" w14:textId="77777777" w:rsidR="00523C0A" w:rsidRPr="00D67872" w:rsidRDefault="00523C0A" w:rsidP="00523C0A">
      <w:pPr>
        <w:spacing w:line="360" w:lineRule="auto"/>
        <w:rPr>
          <w:rStyle w:val="a7"/>
          <w:rFonts w:ascii="Times New Roman" w:hAnsi="Times New Roman"/>
          <w:sz w:val="24"/>
          <w:szCs w:val="24"/>
          <w:shd w:val="clear" w:color="auto" w:fill="FFFFFF"/>
        </w:rPr>
      </w:pPr>
      <w:r w:rsidRPr="00D67872">
        <w:rPr>
          <w:rStyle w:val="a7"/>
          <w:rFonts w:ascii="Times New Roman" w:hAnsi="Times New Roman"/>
          <w:sz w:val="24"/>
          <w:szCs w:val="24"/>
          <w:shd w:val="clear" w:color="auto" w:fill="FFFFFF"/>
        </w:rPr>
        <w:t>Solid</w:t>
      </w:r>
      <w:r w:rsidRPr="00D67872">
        <w:rPr>
          <w:rFonts w:ascii="Times New Roman" w:hAnsi="Times New Roman"/>
          <w:sz w:val="24"/>
          <w:szCs w:val="24"/>
          <w:shd w:val="clear" w:color="auto" w:fill="FFFFFF"/>
        </w:rPr>
        <w:t>-</w:t>
      </w:r>
      <w:r w:rsidRPr="00D67872">
        <w:rPr>
          <w:rStyle w:val="a7"/>
          <w:rFonts w:ascii="Times New Roman" w:hAnsi="Times New Roman"/>
          <w:sz w:val="24"/>
          <w:szCs w:val="24"/>
          <w:shd w:val="clear" w:color="auto" w:fill="FFFFFF"/>
        </w:rPr>
        <w:t>phase</w:t>
      </w:r>
      <w:r w:rsidRPr="00D67872">
        <w:rPr>
          <w:rFonts w:ascii="Times New Roman" w:hAnsi="Times New Roman"/>
          <w:sz w:val="24"/>
          <w:szCs w:val="24"/>
          <w:shd w:val="clear" w:color="auto" w:fill="FFFFFF"/>
        </w:rPr>
        <w:t xml:space="preserve"> </w:t>
      </w:r>
      <w:r w:rsidRPr="00D67872">
        <w:rPr>
          <w:rStyle w:val="a7"/>
          <w:rFonts w:ascii="Times New Roman" w:hAnsi="Times New Roman"/>
          <w:sz w:val="24"/>
          <w:szCs w:val="24"/>
          <w:shd w:val="clear" w:color="auto" w:fill="FFFFFF"/>
        </w:rPr>
        <w:t>extraction method</w:t>
      </w:r>
    </w:p>
    <w:p w14:paraId="0CD85C62" w14:textId="77777777" w:rsidR="00523C0A" w:rsidRPr="00D67872" w:rsidRDefault="00523C0A" w:rsidP="00523C0A">
      <w:pPr>
        <w:spacing w:line="360" w:lineRule="auto"/>
        <w:ind w:firstLineChars="200" w:firstLine="480"/>
        <w:rPr>
          <w:rFonts w:ascii="Times New Roman" w:hAnsi="Times New Roman"/>
          <w:sz w:val="24"/>
          <w:szCs w:val="24"/>
        </w:rPr>
      </w:pPr>
      <w:r w:rsidRPr="00D67872">
        <w:rPr>
          <w:rFonts w:ascii="Times New Roman" w:hAnsi="Times New Roman"/>
          <w:sz w:val="24"/>
          <w:szCs w:val="24"/>
        </w:rPr>
        <w:t>In order to compare with the extraction of docetaxel liposomes by TiO</w:t>
      </w:r>
      <w:r w:rsidRPr="00D67872">
        <w:rPr>
          <w:rFonts w:ascii="Times New Roman" w:hAnsi="Times New Roman"/>
          <w:sz w:val="24"/>
          <w:szCs w:val="24"/>
          <w:vertAlign w:val="subscript"/>
        </w:rPr>
        <w:t>2</w:t>
      </w:r>
      <w:r w:rsidRPr="00D67872">
        <w:rPr>
          <w:rFonts w:ascii="Times New Roman" w:hAnsi="Times New Roman"/>
          <w:sz w:val="24"/>
          <w:szCs w:val="24"/>
        </w:rPr>
        <w:t>, SPE method was used to measure the extraction recovery of total and liposomal-encapsulated drugs of QC samples.</w:t>
      </w:r>
    </w:p>
    <w:p w14:paraId="635CC662" w14:textId="06062C68" w:rsidR="00523C0A" w:rsidRPr="00D67872" w:rsidRDefault="00523C0A" w:rsidP="00523C0A">
      <w:pPr>
        <w:spacing w:line="360" w:lineRule="auto"/>
        <w:ind w:firstLineChars="200" w:firstLine="480"/>
        <w:rPr>
          <w:rFonts w:ascii="Times New Roman" w:hAnsi="Times New Roman"/>
          <w:sz w:val="24"/>
          <w:szCs w:val="24"/>
        </w:rPr>
      </w:pPr>
      <w:r w:rsidRPr="00D67872">
        <w:rPr>
          <w:rFonts w:ascii="Times New Roman" w:hAnsi="Times New Roman"/>
          <w:sz w:val="24"/>
          <w:szCs w:val="24"/>
        </w:rPr>
        <w:t xml:space="preserve">Protein precipitation extraction (PPE) was utilized for the total DTX extraction. Briefly, </w:t>
      </w:r>
      <w:r w:rsidRPr="00D67872">
        <w:rPr>
          <w:rStyle w:val="15"/>
          <w:rFonts w:ascii="Times New Roman" w:hAnsi="Times New Roman"/>
          <w:sz w:val="24"/>
          <w:szCs w:val="24"/>
          <w:shd w:val="clear" w:color="auto" w:fill="FFFFFF"/>
        </w:rPr>
        <w:t xml:space="preserve">Briefly, </w:t>
      </w:r>
      <w:r w:rsidRPr="00D67872">
        <w:rPr>
          <w:rFonts w:ascii="Times New Roman" w:hAnsi="Times New Roman"/>
          <w:sz w:val="24"/>
          <w:szCs w:val="24"/>
        </w:rPr>
        <w:t xml:space="preserve">50 </w:t>
      </w:r>
      <w:proofErr w:type="spellStart"/>
      <w:r>
        <w:rPr>
          <w:rFonts w:ascii="Times New Roman" w:hAnsi="Times New Roman"/>
          <w:sz w:val="24"/>
          <w:szCs w:val="24"/>
        </w:rPr>
        <w:t>μL</w:t>
      </w:r>
      <w:proofErr w:type="spellEnd"/>
      <w:r w:rsidRPr="00D67872">
        <w:rPr>
          <w:rFonts w:ascii="Times New Roman" w:hAnsi="Times New Roman"/>
          <w:sz w:val="24"/>
          <w:szCs w:val="24"/>
        </w:rPr>
        <w:t xml:space="preserve"> </w:t>
      </w:r>
      <w:r w:rsidRPr="00D67872">
        <w:rPr>
          <w:rStyle w:val="15"/>
          <w:rFonts w:ascii="Times New Roman" w:hAnsi="Times New Roman"/>
          <w:sz w:val="24"/>
          <w:szCs w:val="24"/>
          <w:shd w:val="clear" w:color="auto" w:fill="FFFFFF"/>
        </w:rPr>
        <w:t xml:space="preserve">plasma samples were followed by protein precipitation with </w:t>
      </w:r>
      <w:r w:rsidRPr="00D67872">
        <w:rPr>
          <w:rFonts w:ascii="Times New Roman" w:hAnsi="Times New Roman"/>
          <w:sz w:val="24"/>
          <w:szCs w:val="24"/>
        </w:rPr>
        <w:t xml:space="preserve">150 </w:t>
      </w:r>
      <w:proofErr w:type="spellStart"/>
      <w:r>
        <w:rPr>
          <w:rFonts w:ascii="Times New Roman" w:hAnsi="Times New Roman"/>
          <w:sz w:val="24"/>
          <w:szCs w:val="24"/>
        </w:rPr>
        <w:t>μL</w:t>
      </w:r>
      <w:proofErr w:type="spellEnd"/>
      <w:r w:rsidRPr="00D67872">
        <w:rPr>
          <w:rStyle w:val="15"/>
          <w:rFonts w:ascii="Times New Roman" w:hAnsi="Times New Roman"/>
          <w:sz w:val="24"/>
          <w:szCs w:val="24"/>
          <w:shd w:val="clear" w:color="auto" w:fill="FFFFFF"/>
        </w:rPr>
        <w:t xml:space="preserve"> of MeOH. </w:t>
      </w:r>
      <w:r w:rsidRPr="00D67872">
        <w:rPr>
          <w:rFonts w:ascii="Times New Roman" w:hAnsi="Times New Roman"/>
          <w:sz w:val="24"/>
          <w:szCs w:val="24"/>
        </w:rPr>
        <w:t>After vortex-mixing for 2 min and centrifugation at 15,000</w:t>
      </w:r>
      <w:r w:rsidRPr="00D67872">
        <w:rPr>
          <w:rFonts w:ascii="Times New Roman" w:eastAsiaTheme="minorEastAsia" w:hAnsi="Times New Roman"/>
          <w:sz w:val="24"/>
          <w:szCs w:val="24"/>
        </w:rPr>
        <w:t xml:space="preserve"> </w:t>
      </w:r>
      <w:r w:rsidRPr="00D67872">
        <w:rPr>
          <w:rFonts w:ascii="Times New Roman" w:hAnsi="Times New Roman"/>
          <w:sz w:val="24"/>
          <w:szCs w:val="24"/>
        </w:rPr>
        <w:t xml:space="preserve">g for 10 min, supernatant was evaporated to dryness and redissolved with 50 </w:t>
      </w:r>
      <w:proofErr w:type="spellStart"/>
      <w:r>
        <w:rPr>
          <w:rFonts w:ascii="Times New Roman" w:hAnsi="Times New Roman"/>
          <w:sz w:val="24"/>
          <w:szCs w:val="24"/>
        </w:rPr>
        <w:t>μL</w:t>
      </w:r>
      <w:proofErr w:type="spellEnd"/>
      <w:r w:rsidRPr="00D67872">
        <w:rPr>
          <w:rFonts w:ascii="Times New Roman" w:hAnsi="Times New Roman"/>
          <w:sz w:val="24"/>
          <w:szCs w:val="24"/>
        </w:rPr>
        <w:t xml:space="preserve"> of 70</w:t>
      </w:r>
      <w:r w:rsidRPr="00D67872">
        <w:rPr>
          <w:rFonts w:ascii="Times New Roman" w:hAnsi="Times New Roman"/>
          <w:color w:val="000000"/>
          <w:sz w:val="24"/>
          <w:szCs w:val="24"/>
        </w:rPr>
        <w:t xml:space="preserve">:30 </w:t>
      </w:r>
      <w:proofErr w:type="spellStart"/>
      <w:proofErr w:type="gramStart"/>
      <w:r w:rsidRPr="00D67872">
        <w:rPr>
          <w:rStyle w:val="fontstyle01"/>
          <w:rFonts w:ascii="Times New Roman" w:hAnsi="Times New Roman"/>
          <w:sz w:val="24"/>
          <w:szCs w:val="24"/>
        </w:rPr>
        <w:t>Acetonitrle</w:t>
      </w:r>
      <w:proofErr w:type="spellEnd"/>
      <w:r w:rsidRPr="00D67872">
        <w:rPr>
          <w:rStyle w:val="fontstyle01"/>
          <w:rFonts w:ascii="Times New Roman" w:hAnsi="Times New Roman"/>
          <w:sz w:val="24"/>
          <w:szCs w:val="24"/>
        </w:rPr>
        <w:t xml:space="preserve"> </w:t>
      </w:r>
      <w:r w:rsidRPr="00D67872">
        <w:rPr>
          <w:rFonts w:ascii="Times New Roman" w:hAnsi="Times New Roman"/>
          <w:color w:val="000000"/>
          <w:sz w:val="24"/>
          <w:szCs w:val="24"/>
        </w:rPr>
        <w:t>:</w:t>
      </w:r>
      <w:proofErr w:type="gramEnd"/>
      <w:r w:rsidRPr="00D67872">
        <w:rPr>
          <w:rFonts w:ascii="Times New Roman" w:hAnsi="Times New Roman"/>
          <w:color w:val="000000"/>
          <w:sz w:val="24"/>
          <w:szCs w:val="24"/>
        </w:rPr>
        <w:t xml:space="preserve"> water</w:t>
      </w:r>
      <w:r w:rsidRPr="00D67872">
        <w:rPr>
          <w:rFonts w:ascii="Times New Roman" w:hAnsi="Times New Roman"/>
          <w:sz w:val="24"/>
          <w:szCs w:val="24"/>
        </w:rPr>
        <w:t xml:space="preserve"> (0.1% FA). The re-dissolved solution was then injected onto the LC-MS/MS system for analysis.</w:t>
      </w:r>
    </w:p>
    <w:p w14:paraId="793392F0" w14:textId="4D3F28A3" w:rsidR="00523C0A" w:rsidRPr="00D67872" w:rsidRDefault="00523C0A" w:rsidP="00523C0A">
      <w:pPr>
        <w:autoSpaceDE w:val="0"/>
        <w:autoSpaceDN w:val="0"/>
        <w:adjustRightInd w:val="0"/>
        <w:spacing w:line="360" w:lineRule="auto"/>
        <w:ind w:firstLineChars="200" w:firstLine="480"/>
        <w:rPr>
          <w:rFonts w:ascii="Times New Roman" w:hAnsi="Times New Roman"/>
          <w:color w:val="000000"/>
          <w:spacing w:val="15"/>
          <w:sz w:val="24"/>
          <w:szCs w:val="24"/>
        </w:rPr>
      </w:pPr>
      <w:r w:rsidRPr="00D67872">
        <w:rPr>
          <w:rFonts w:ascii="Times New Roman" w:hAnsi="Times New Roman"/>
          <w:sz w:val="24"/>
          <w:szCs w:val="24"/>
        </w:rPr>
        <w:t xml:space="preserve">A combination of SPE and PPE extractions were utilized for encapsulated DTX method. Briefly, 150 </w:t>
      </w:r>
      <w:proofErr w:type="spellStart"/>
      <w:r>
        <w:rPr>
          <w:rFonts w:ascii="Times New Roman" w:hAnsi="Times New Roman"/>
          <w:sz w:val="24"/>
          <w:szCs w:val="24"/>
        </w:rPr>
        <w:t>μL</w:t>
      </w:r>
      <w:proofErr w:type="spellEnd"/>
      <w:r w:rsidRPr="00D67872">
        <w:rPr>
          <w:rFonts w:ascii="Times New Roman" w:hAnsi="Times New Roman"/>
          <w:sz w:val="24"/>
          <w:szCs w:val="24"/>
        </w:rPr>
        <w:t xml:space="preserve"> of plasma samples were mixed with 150 </w:t>
      </w:r>
      <w:proofErr w:type="spellStart"/>
      <w:r>
        <w:rPr>
          <w:rFonts w:ascii="Times New Roman" w:hAnsi="Times New Roman"/>
          <w:sz w:val="24"/>
          <w:szCs w:val="24"/>
        </w:rPr>
        <w:t>μL</w:t>
      </w:r>
      <w:proofErr w:type="spellEnd"/>
      <w:r w:rsidRPr="00D67872">
        <w:rPr>
          <w:rFonts w:ascii="Times New Roman" w:hAnsi="Times New Roman"/>
          <w:sz w:val="24"/>
          <w:szCs w:val="24"/>
        </w:rPr>
        <w:t xml:space="preserve"> PBS. The fully mixed plasma samples were then loaded on a pre-conditioned Waters Oasis HLB 96-well plate (30 </w:t>
      </w:r>
      <w:proofErr w:type="spellStart"/>
      <w:r w:rsidRPr="00D67872">
        <w:rPr>
          <w:rFonts w:ascii="Times New Roman" w:hAnsi="Times New Roman"/>
          <w:sz w:val="24"/>
          <w:szCs w:val="24"/>
        </w:rPr>
        <w:t>μm</w:t>
      </w:r>
      <w:proofErr w:type="spellEnd"/>
      <w:r w:rsidRPr="00D67872">
        <w:rPr>
          <w:rFonts w:ascii="Times New Roman" w:hAnsi="Times New Roman"/>
          <w:sz w:val="24"/>
          <w:szCs w:val="24"/>
        </w:rPr>
        <w:t>, 10 mg). free DTX retained on reversed phase cartridges whereas l</w:t>
      </w:r>
      <w:bookmarkStart w:id="0" w:name="_Hlk108887629"/>
      <w:r w:rsidRPr="00D67872">
        <w:rPr>
          <w:rFonts w:ascii="Times New Roman" w:hAnsi="Times New Roman"/>
          <w:sz w:val="24"/>
          <w:szCs w:val="24"/>
        </w:rPr>
        <w:t>iposomal-encapsulated</w:t>
      </w:r>
      <w:bookmarkEnd w:id="0"/>
      <w:r w:rsidRPr="00D67872">
        <w:rPr>
          <w:rFonts w:ascii="Times New Roman" w:hAnsi="Times New Roman"/>
          <w:sz w:val="24"/>
          <w:szCs w:val="24"/>
        </w:rPr>
        <w:t xml:space="preserve"> was not because of the hydrophilic surface of liposomes. The breakthrough eluent was collected into a clean 96-well plate. From this breakthrough eluent, 45 </w:t>
      </w:r>
      <w:proofErr w:type="spellStart"/>
      <w:r>
        <w:rPr>
          <w:rFonts w:ascii="Times New Roman" w:hAnsi="Times New Roman"/>
          <w:sz w:val="24"/>
          <w:szCs w:val="24"/>
        </w:rPr>
        <w:t>μL</w:t>
      </w:r>
      <w:proofErr w:type="spellEnd"/>
      <w:r w:rsidRPr="00D67872">
        <w:rPr>
          <w:rFonts w:ascii="Times New Roman" w:hAnsi="Times New Roman"/>
          <w:sz w:val="24"/>
          <w:szCs w:val="24"/>
        </w:rPr>
        <w:t xml:space="preserve"> was transferred to a clean round-well 96-well plate and 5 </w:t>
      </w:r>
      <w:proofErr w:type="spellStart"/>
      <w:r>
        <w:rPr>
          <w:rFonts w:ascii="Times New Roman" w:hAnsi="Times New Roman"/>
          <w:sz w:val="24"/>
          <w:szCs w:val="24"/>
        </w:rPr>
        <w:t>μL</w:t>
      </w:r>
      <w:proofErr w:type="spellEnd"/>
      <w:r w:rsidRPr="00D67872">
        <w:rPr>
          <w:rFonts w:ascii="Times New Roman" w:hAnsi="Times New Roman"/>
          <w:sz w:val="24"/>
          <w:szCs w:val="24"/>
        </w:rPr>
        <w:t xml:space="preserve"> of </w:t>
      </w:r>
      <w:r w:rsidRPr="00D67872">
        <w:rPr>
          <w:rStyle w:val="15"/>
          <w:rFonts w:ascii="Times New Roman" w:hAnsi="Times New Roman"/>
          <w:sz w:val="24"/>
          <w:szCs w:val="24"/>
          <w:shd w:val="clear" w:color="auto" w:fill="FFFFFF"/>
        </w:rPr>
        <w:t>IS</w:t>
      </w:r>
      <w:r w:rsidRPr="00D67872">
        <w:rPr>
          <w:rFonts w:ascii="Times New Roman" w:hAnsi="Times New Roman"/>
          <w:sz w:val="24"/>
          <w:szCs w:val="24"/>
        </w:rPr>
        <w:t xml:space="preserve"> was added. These samples were then extracted by PPE with 150 </w:t>
      </w:r>
      <w:proofErr w:type="spellStart"/>
      <w:r>
        <w:rPr>
          <w:rFonts w:ascii="Times New Roman" w:hAnsi="Times New Roman"/>
          <w:sz w:val="24"/>
          <w:szCs w:val="24"/>
        </w:rPr>
        <w:t>μL</w:t>
      </w:r>
      <w:proofErr w:type="spellEnd"/>
      <w:r w:rsidRPr="00D67872">
        <w:rPr>
          <w:rFonts w:ascii="Times New Roman" w:hAnsi="Times New Roman"/>
          <w:sz w:val="24"/>
          <w:szCs w:val="24"/>
        </w:rPr>
        <w:t xml:space="preserve"> of MeOH. After vortex-mixing for 2 min and centrifugation at 15,000</w:t>
      </w:r>
      <w:r w:rsidRPr="00D67872">
        <w:rPr>
          <w:rFonts w:ascii="Times New Roman" w:eastAsiaTheme="minorEastAsia" w:hAnsi="Times New Roman"/>
          <w:sz w:val="24"/>
          <w:szCs w:val="24"/>
        </w:rPr>
        <w:t xml:space="preserve"> </w:t>
      </w:r>
      <w:r w:rsidRPr="00D67872">
        <w:rPr>
          <w:rFonts w:ascii="Times New Roman" w:hAnsi="Times New Roman"/>
          <w:sz w:val="24"/>
          <w:szCs w:val="24"/>
        </w:rPr>
        <w:t xml:space="preserve">g for 10 min, supernatant was evaporated to dryness and redissolved with 50 </w:t>
      </w:r>
      <w:proofErr w:type="spellStart"/>
      <w:r>
        <w:rPr>
          <w:rFonts w:ascii="Times New Roman" w:hAnsi="Times New Roman"/>
          <w:sz w:val="24"/>
          <w:szCs w:val="24"/>
        </w:rPr>
        <w:t>μL</w:t>
      </w:r>
      <w:proofErr w:type="spellEnd"/>
      <w:r w:rsidRPr="00D67872">
        <w:rPr>
          <w:rFonts w:ascii="Times New Roman" w:hAnsi="Times New Roman"/>
          <w:sz w:val="24"/>
          <w:szCs w:val="24"/>
        </w:rPr>
        <w:t xml:space="preserve"> of 70</w:t>
      </w:r>
      <w:r w:rsidRPr="00D67872">
        <w:rPr>
          <w:rFonts w:ascii="Times New Roman" w:hAnsi="Times New Roman"/>
          <w:color w:val="000000"/>
          <w:sz w:val="24"/>
          <w:szCs w:val="24"/>
        </w:rPr>
        <w:t xml:space="preserve">:30 </w:t>
      </w:r>
      <w:proofErr w:type="spellStart"/>
      <w:proofErr w:type="gramStart"/>
      <w:r w:rsidRPr="00D67872">
        <w:rPr>
          <w:rStyle w:val="fontstyle01"/>
          <w:rFonts w:ascii="Times New Roman" w:hAnsi="Times New Roman"/>
          <w:sz w:val="24"/>
          <w:szCs w:val="24"/>
        </w:rPr>
        <w:t>Acetonitrle</w:t>
      </w:r>
      <w:proofErr w:type="spellEnd"/>
      <w:r w:rsidRPr="00D67872">
        <w:rPr>
          <w:rStyle w:val="fontstyle01"/>
          <w:rFonts w:ascii="Times New Roman" w:hAnsi="Times New Roman"/>
          <w:sz w:val="24"/>
          <w:szCs w:val="24"/>
        </w:rPr>
        <w:t xml:space="preserve"> </w:t>
      </w:r>
      <w:r w:rsidRPr="00D67872">
        <w:rPr>
          <w:rFonts w:ascii="Times New Roman" w:hAnsi="Times New Roman"/>
          <w:color w:val="000000"/>
          <w:sz w:val="24"/>
          <w:szCs w:val="24"/>
        </w:rPr>
        <w:t>:</w:t>
      </w:r>
      <w:proofErr w:type="gramEnd"/>
      <w:r w:rsidRPr="00D67872">
        <w:rPr>
          <w:rFonts w:ascii="Times New Roman" w:hAnsi="Times New Roman"/>
          <w:color w:val="000000"/>
          <w:sz w:val="24"/>
          <w:szCs w:val="24"/>
        </w:rPr>
        <w:t xml:space="preserve"> water</w:t>
      </w:r>
      <w:r w:rsidRPr="00D67872">
        <w:rPr>
          <w:rFonts w:ascii="Times New Roman" w:hAnsi="Times New Roman"/>
          <w:sz w:val="24"/>
          <w:szCs w:val="24"/>
        </w:rPr>
        <w:t xml:space="preserve"> (0.1% FA). The re-dissolved solution was then injected onto the LC-MS/MS system for analysis.</w:t>
      </w:r>
    </w:p>
    <w:p w14:paraId="4A98EC42" w14:textId="45BF3D3A" w:rsidR="00523C0A" w:rsidRDefault="00523C0A" w:rsidP="00523C0A">
      <w:pPr>
        <w:spacing w:line="360" w:lineRule="auto"/>
        <w:ind w:firstLineChars="200" w:firstLine="480"/>
        <w:rPr>
          <w:rFonts w:ascii="Times New Roman" w:hAnsi="Times New Roman"/>
          <w:sz w:val="24"/>
          <w:szCs w:val="24"/>
        </w:rPr>
      </w:pPr>
      <w:r w:rsidRPr="00D67872">
        <w:rPr>
          <w:rFonts w:ascii="Times New Roman" w:hAnsi="Times New Roman"/>
          <w:sz w:val="24"/>
          <w:szCs w:val="24"/>
        </w:rPr>
        <w:t>The extraction recovery was evaluated at low, medium and high QC concentration levels. The extraction recovery was evaluated by calculating the peak areas of test samples spiked with analyte and IS before versus after extraction. The extraction recovery for encapsulated DTX was 70.2-72.43% (Table S</w:t>
      </w:r>
      <w:r>
        <w:rPr>
          <w:rFonts w:ascii="Times New Roman" w:hAnsi="Times New Roman"/>
          <w:sz w:val="24"/>
          <w:szCs w:val="24"/>
        </w:rPr>
        <w:t>1</w:t>
      </w:r>
      <w:r w:rsidRPr="00D67872">
        <w:rPr>
          <w:rFonts w:ascii="Times New Roman" w:hAnsi="Times New Roman"/>
          <w:sz w:val="24"/>
          <w:szCs w:val="24"/>
        </w:rPr>
        <w:t xml:space="preserve">). </w:t>
      </w:r>
    </w:p>
    <w:p w14:paraId="2A5CC609" w14:textId="77777777" w:rsidR="00E15C8F" w:rsidRDefault="00E15C8F" w:rsidP="00E15C8F">
      <w:pPr>
        <w:spacing w:line="360" w:lineRule="auto"/>
        <w:rPr>
          <w:rFonts w:ascii="Times New Roman" w:hAnsi="Times New Roman"/>
          <w:sz w:val="24"/>
          <w:szCs w:val="24"/>
        </w:rPr>
      </w:pPr>
    </w:p>
    <w:p w14:paraId="03168046" w14:textId="77777777" w:rsidR="00E15C8F" w:rsidRDefault="00E15C8F" w:rsidP="00E15C8F">
      <w:pPr>
        <w:spacing w:line="360" w:lineRule="auto"/>
        <w:rPr>
          <w:rFonts w:ascii="Times New Roman" w:hAnsi="Times New Roman"/>
          <w:sz w:val="24"/>
          <w:szCs w:val="24"/>
        </w:rPr>
      </w:pPr>
    </w:p>
    <w:p w14:paraId="6D6D9FE0" w14:textId="77777777" w:rsidR="00E15C8F" w:rsidRDefault="00E15C8F" w:rsidP="00E15C8F">
      <w:pPr>
        <w:spacing w:line="360" w:lineRule="auto"/>
        <w:rPr>
          <w:rFonts w:ascii="Times New Roman" w:hAnsi="Times New Roman"/>
          <w:sz w:val="24"/>
          <w:szCs w:val="24"/>
        </w:rPr>
      </w:pPr>
    </w:p>
    <w:p w14:paraId="1D2FC67B" w14:textId="1143B46E" w:rsidR="00E15C8F" w:rsidRDefault="00E15C8F" w:rsidP="00E15C8F">
      <w:pPr>
        <w:spacing w:line="360" w:lineRule="auto"/>
        <w:rPr>
          <w:rFonts w:ascii="Times New Roman" w:hAnsi="Times New Roman"/>
          <w:kern w:val="0"/>
          <w:sz w:val="24"/>
          <w:szCs w:val="24"/>
        </w:rPr>
      </w:pPr>
      <w:r>
        <w:rPr>
          <w:rFonts w:ascii="Times New Roman" w:hAnsi="Times New Roman"/>
          <w:sz w:val="24"/>
          <w:szCs w:val="24"/>
        </w:rPr>
        <w:lastRenderedPageBreak/>
        <w:t xml:space="preserve">Table S1 Extraction </w:t>
      </w:r>
      <w:r>
        <w:rPr>
          <w:rFonts w:ascii="Times New Roman" w:hAnsi="Times New Roman"/>
          <w:kern w:val="0"/>
          <w:sz w:val="24"/>
          <w:szCs w:val="24"/>
        </w:rPr>
        <w:t>recovery for liposomal-encapsulated DTX in rat plasma (</w:t>
      </w:r>
      <w:r>
        <w:rPr>
          <w:rFonts w:ascii="Times New Roman" w:hAnsi="Times New Roman"/>
          <w:i/>
          <w:iCs/>
          <w:kern w:val="0"/>
          <w:sz w:val="24"/>
          <w:szCs w:val="24"/>
        </w:rPr>
        <w:t>n</w:t>
      </w:r>
      <w:r>
        <w:rPr>
          <w:rFonts w:ascii="Times New Roman" w:hAnsi="Times New Roman"/>
          <w:kern w:val="0"/>
          <w:sz w:val="24"/>
          <w:szCs w:val="24"/>
        </w:rPr>
        <w:t xml:space="preserve"> = 5 per assay).</w:t>
      </w:r>
    </w:p>
    <w:p w14:paraId="4CDE116F" w14:textId="77777777" w:rsidR="00E15C8F" w:rsidRDefault="00E15C8F" w:rsidP="00E15C8F">
      <w:pPr>
        <w:spacing w:line="360" w:lineRule="auto"/>
        <w:rPr>
          <w:rFonts w:ascii="Times New Roman" w:hAnsi="Times New Roman"/>
          <w:kern w:val="0"/>
          <w:sz w:val="24"/>
          <w:szCs w:val="24"/>
        </w:rPr>
      </w:pPr>
    </w:p>
    <w:tbl>
      <w:tblPr>
        <w:tblW w:w="6084" w:type="dxa"/>
        <w:jc w:val="center"/>
        <w:tblBorders>
          <w:top w:val="single" w:sz="4" w:space="0" w:color="auto"/>
          <w:bottom w:val="single" w:sz="4" w:space="0" w:color="auto"/>
        </w:tblBorders>
        <w:tblLook w:val="04A0" w:firstRow="1" w:lastRow="0" w:firstColumn="1" w:lastColumn="0" w:noHBand="0" w:noVBand="1"/>
      </w:tblPr>
      <w:tblGrid>
        <w:gridCol w:w="2815"/>
        <w:gridCol w:w="3269"/>
      </w:tblGrid>
      <w:tr w:rsidR="00E15C8F" w14:paraId="48FFE7FF" w14:textId="77777777" w:rsidTr="001066A1">
        <w:trPr>
          <w:trHeight w:val="22"/>
          <w:jc w:val="center"/>
        </w:trPr>
        <w:tc>
          <w:tcPr>
            <w:tcW w:w="2815" w:type="dxa"/>
            <w:tcBorders>
              <w:top w:val="single" w:sz="4" w:space="0" w:color="auto"/>
              <w:left w:val="nil"/>
              <w:bottom w:val="single" w:sz="4" w:space="0" w:color="auto"/>
              <w:right w:val="nil"/>
            </w:tcBorders>
            <w:noWrap/>
            <w:vAlign w:val="center"/>
            <w:hideMark/>
          </w:tcPr>
          <w:p w14:paraId="7E4FA45D" w14:textId="77777777" w:rsidR="00E15C8F" w:rsidRDefault="00E15C8F" w:rsidP="001066A1">
            <w:pPr>
              <w:widowControl/>
              <w:spacing w:line="360" w:lineRule="auto"/>
              <w:jc w:val="center"/>
              <w:rPr>
                <w:rFonts w:ascii="Times New Roman" w:hAnsi="Times New Roman"/>
                <w:color w:val="000000"/>
                <w:kern w:val="0"/>
              </w:rPr>
            </w:pPr>
            <w:r>
              <w:rPr>
                <w:rFonts w:ascii="Times New Roman" w:hAnsi="Times New Roman"/>
                <w:kern w:val="0"/>
              </w:rPr>
              <w:t>Liposomal-encapsulated DTX</w:t>
            </w:r>
          </w:p>
        </w:tc>
        <w:tc>
          <w:tcPr>
            <w:tcW w:w="3269" w:type="dxa"/>
            <w:tcBorders>
              <w:top w:val="single" w:sz="4" w:space="0" w:color="auto"/>
              <w:left w:val="nil"/>
              <w:bottom w:val="single" w:sz="4" w:space="0" w:color="auto"/>
              <w:right w:val="nil"/>
            </w:tcBorders>
            <w:noWrap/>
            <w:vAlign w:val="center"/>
            <w:hideMark/>
          </w:tcPr>
          <w:p w14:paraId="50618A35" w14:textId="77777777" w:rsidR="00E15C8F" w:rsidRDefault="00E15C8F" w:rsidP="001066A1">
            <w:pPr>
              <w:widowControl/>
              <w:spacing w:line="360" w:lineRule="auto"/>
              <w:jc w:val="center"/>
              <w:rPr>
                <w:rFonts w:ascii="Times New Roman" w:hAnsi="Times New Roman"/>
                <w:kern w:val="0"/>
              </w:rPr>
            </w:pPr>
            <w:r>
              <w:rPr>
                <w:rFonts w:ascii="Times New Roman" w:hAnsi="Times New Roman"/>
                <w:kern w:val="0"/>
              </w:rPr>
              <w:t>Extraction Recovery (%)</w:t>
            </w:r>
          </w:p>
        </w:tc>
      </w:tr>
      <w:tr w:rsidR="00E15C8F" w14:paraId="5EEA4F47" w14:textId="77777777" w:rsidTr="001066A1">
        <w:trPr>
          <w:trHeight w:val="22"/>
          <w:jc w:val="center"/>
        </w:trPr>
        <w:tc>
          <w:tcPr>
            <w:tcW w:w="2815" w:type="dxa"/>
            <w:tcBorders>
              <w:top w:val="single" w:sz="4" w:space="0" w:color="auto"/>
              <w:left w:val="nil"/>
              <w:bottom w:val="nil"/>
              <w:right w:val="nil"/>
            </w:tcBorders>
            <w:noWrap/>
            <w:vAlign w:val="center"/>
            <w:hideMark/>
          </w:tcPr>
          <w:p w14:paraId="1C740C30" w14:textId="77777777" w:rsidR="00E15C8F" w:rsidRDefault="00E15C8F" w:rsidP="001066A1">
            <w:pPr>
              <w:widowControl/>
              <w:spacing w:line="360" w:lineRule="auto"/>
              <w:jc w:val="center"/>
              <w:rPr>
                <w:rFonts w:ascii="Times New Roman" w:hAnsi="Times New Roman"/>
                <w:color w:val="000000"/>
                <w:kern w:val="0"/>
              </w:rPr>
            </w:pPr>
            <w:r>
              <w:rPr>
                <w:rFonts w:ascii="Times New Roman" w:hAnsi="Times New Roman"/>
                <w:color w:val="000000"/>
                <w:kern w:val="0"/>
              </w:rPr>
              <w:t>LQC (40 ng/mL)</w:t>
            </w:r>
          </w:p>
        </w:tc>
        <w:tc>
          <w:tcPr>
            <w:tcW w:w="3269" w:type="dxa"/>
            <w:tcBorders>
              <w:top w:val="single" w:sz="4" w:space="0" w:color="auto"/>
              <w:left w:val="nil"/>
              <w:bottom w:val="nil"/>
              <w:right w:val="nil"/>
            </w:tcBorders>
            <w:noWrap/>
            <w:vAlign w:val="center"/>
            <w:hideMark/>
          </w:tcPr>
          <w:p w14:paraId="2B044C27" w14:textId="77777777" w:rsidR="00E15C8F" w:rsidRDefault="00E15C8F" w:rsidP="001066A1">
            <w:pPr>
              <w:widowControl/>
              <w:spacing w:line="360" w:lineRule="auto"/>
              <w:jc w:val="center"/>
              <w:rPr>
                <w:rFonts w:ascii="Times New Roman" w:hAnsi="Times New Roman"/>
                <w:color w:val="000000"/>
                <w:kern w:val="0"/>
              </w:rPr>
            </w:pPr>
            <w:r>
              <w:rPr>
                <w:rFonts w:ascii="Times New Roman" w:hAnsi="Times New Roman"/>
                <w:color w:val="000000"/>
                <w:kern w:val="0"/>
              </w:rPr>
              <w:t>72.43±2.60</w:t>
            </w:r>
          </w:p>
        </w:tc>
      </w:tr>
      <w:tr w:rsidR="00E15C8F" w14:paraId="5969A516" w14:textId="77777777" w:rsidTr="001066A1">
        <w:trPr>
          <w:trHeight w:val="22"/>
          <w:jc w:val="center"/>
        </w:trPr>
        <w:tc>
          <w:tcPr>
            <w:tcW w:w="2815" w:type="dxa"/>
            <w:tcBorders>
              <w:top w:val="nil"/>
              <w:left w:val="nil"/>
              <w:bottom w:val="nil"/>
              <w:right w:val="nil"/>
            </w:tcBorders>
            <w:noWrap/>
            <w:vAlign w:val="center"/>
            <w:hideMark/>
          </w:tcPr>
          <w:p w14:paraId="5DF05233" w14:textId="77777777" w:rsidR="00E15C8F" w:rsidRDefault="00E15C8F" w:rsidP="001066A1">
            <w:pPr>
              <w:widowControl/>
              <w:spacing w:line="360" w:lineRule="auto"/>
              <w:jc w:val="center"/>
              <w:rPr>
                <w:rFonts w:ascii="Times New Roman" w:hAnsi="Times New Roman"/>
                <w:color w:val="000000"/>
                <w:kern w:val="0"/>
              </w:rPr>
            </w:pPr>
            <w:r>
              <w:rPr>
                <w:rFonts w:ascii="Times New Roman" w:hAnsi="Times New Roman"/>
                <w:color w:val="000000"/>
                <w:kern w:val="0"/>
              </w:rPr>
              <w:t>MQC (300 ng/mL)</w:t>
            </w:r>
          </w:p>
        </w:tc>
        <w:tc>
          <w:tcPr>
            <w:tcW w:w="3269" w:type="dxa"/>
            <w:tcBorders>
              <w:top w:val="nil"/>
              <w:left w:val="nil"/>
              <w:bottom w:val="nil"/>
              <w:right w:val="nil"/>
            </w:tcBorders>
            <w:noWrap/>
            <w:vAlign w:val="center"/>
            <w:hideMark/>
          </w:tcPr>
          <w:p w14:paraId="678E4E95" w14:textId="77777777" w:rsidR="00E15C8F" w:rsidRDefault="00E15C8F" w:rsidP="001066A1">
            <w:pPr>
              <w:widowControl/>
              <w:spacing w:line="360" w:lineRule="auto"/>
              <w:jc w:val="center"/>
              <w:rPr>
                <w:rFonts w:ascii="Times New Roman" w:hAnsi="Times New Roman"/>
                <w:color w:val="000000"/>
                <w:kern w:val="0"/>
              </w:rPr>
            </w:pPr>
            <w:r>
              <w:rPr>
                <w:rFonts w:ascii="Times New Roman" w:hAnsi="Times New Roman"/>
                <w:color w:val="000000"/>
                <w:kern w:val="0"/>
              </w:rPr>
              <w:t>71.09±1.25</w:t>
            </w:r>
          </w:p>
        </w:tc>
      </w:tr>
      <w:tr w:rsidR="00E15C8F" w14:paraId="1B810912" w14:textId="77777777" w:rsidTr="001066A1">
        <w:trPr>
          <w:trHeight w:val="22"/>
          <w:jc w:val="center"/>
        </w:trPr>
        <w:tc>
          <w:tcPr>
            <w:tcW w:w="2815" w:type="dxa"/>
            <w:tcBorders>
              <w:top w:val="nil"/>
              <w:left w:val="nil"/>
              <w:bottom w:val="single" w:sz="4" w:space="0" w:color="auto"/>
              <w:right w:val="nil"/>
            </w:tcBorders>
            <w:noWrap/>
            <w:vAlign w:val="center"/>
            <w:hideMark/>
          </w:tcPr>
          <w:p w14:paraId="44EF199B" w14:textId="77777777" w:rsidR="00E15C8F" w:rsidRDefault="00E15C8F" w:rsidP="001066A1">
            <w:pPr>
              <w:widowControl/>
              <w:spacing w:line="360" w:lineRule="auto"/>
              <w:jc w:val="center"/>
              <w:rPr>
                <w:rFonts w:ascii="Times New Roman" w:hAnsi="Times New Roman"/>
                <w:color w:val="000000"/>
                <w:kern w:val="0"/>
              </w:rPr>
            </w:pPr>
            <w:r>
              <w:rPr>
                <w:rFonts w:ascii="Times New Roman" w:hAnsi="Times New Roman"/>
                <w:color w:val="000000"/>
                <w:kern w:val="0"/>
              </w:rPr>
              <w:t>HQC (3000 ng/mL)</w:t>
            </w:r>
          </w:p>
        </w:tc>
        <w:tc>
          <w:tcPr>
            <w:tcW w:w="3269" w:type="dxa"/>
            <w:tcBorders>
              <w:top w:val="nil"/>
              <w:left w:val="nil"/>
              <w:bottom w:val="single" w:sz="4" w:space="0" w:color="auto"/>
              <w:right w:val="nil"/>
            </w:tcBorders>
            <w:noWrap/>
            <w:vAlign w:val="center"/>
            <w:hideMark/>
          </w:tcPr>
          <w:p w14:paraId="23B61645" w14:textId="77777777" w:rsidR="00E15C8F" w:rsidRDefault="00E15C8F" w:rsidP="001066A1">
            <w:pPr>
              <w:widowControl/>
              <w:spacing w:line="360" w:lineRule="auto"/>
              <w:jc w:val="center"/>
              <w:rPr>
                <w:rFonts w:ascii="Times New Roman" w:hAnsi="Times New Roman"/>
                <w:color w:val="000000"/>
                <w:kern w:val="0"/>
              </w:rPr>
            </w:pPr>
            <w:r>
              <w:rPr>
                <w:rFonts w:ascii="Times New Roman" w:hAnsi="Times New Roman"/>
                <w:color w:val="000000"/>
                <w:kern w:val="0"/>
              </w:rPr>
              <w:t>70.20±0.13</w:t>
            </w:r>
          </w:p>
        </w:tc>
      </w:tr>
    </w:tbl>
    <w:p w14:paraId="4045AD43" w14:textId="77777777" w:rsidR="00E15C8F" w:rsidRDefault="00E15C8F" w:rsidP="00E15C8F">
      <w:pPr>
        <w:spacing w:line="360" w:lineRule="auto"/>
      </w:pPr>
    </w:p>
    <w:p w14:paraId="549CC49E" w14:textId="77777777" w:rsidR="00E15C8F" w:rsidRPr="00D67872" w:rsidRDefault="00E15C8F" w:rsidP="00523C0A">
      <w:pPr>
        <w:spacing w:line="360" w:lineRule="auto"/>
        <w:ind w:firstLineChars="200" w:firstLine="480"/>
        <w:rPr>
          <w:rFonts w:ascii="Times New Roman" w:hAnsi="Times New Roman"/>
          <w:sz w:val="24"/>
          <w:szCs w:val="24"/>
        </w:rPr>
      </w:pPr>
    </w:p>
    <w:sectPr w:rsidR="00E15C8F" w:rsidRPr="00D67872" w:rsidSect="00A865E4">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DE53B" w14:textId="77777777" w:rsidR="00981F86" w:rsidRDefault="00981F86" w:rsidP="00523C0A">
      <w:r>
        <w:separator/>
      </w:r>
    </w:p>
  </w:endnote>
  <w:endnote w:type="continuationSeparator" w:id="0">
    <w:p w14:paraId="7252313B" w14:textId="77777777" w:rsidR="00981F86" w:rsidRDefault="00981F86" w:rsidP="0052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URWPalladioL-Roma">
    <w:altName w:val="Arial"/>
    <w:charset w:val="00"/>
    <w:family w:val="auto"/>
    <w:pitch w:val="default"/>
  </w:font>
  <w:font w:name="GulliverRM">
    <w:altName w:val="Cambria"/>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89C73" w14:textId="77777777" w:rsidR="00981F86" w:rsidRDefault="00981F86" w:rsidP="00523C0A">
      <w:r>
        <w:separator/>
      </w:r>
    </w:p>
  </w:footnote>
  <w:footnote w:type="continuationSeparator" w:id="0">
    <w:p w14:paraId="53EE77A9" w14:textId="77777777" w:rsidR="00981F86" w:rsidRDefault="00981F86" w:rsidP="00523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CC"/>
    <w:rsid w:val="00523C0A"/>
    <w:rsid w:val="00714588"/>
    <w:rsid w:val="00981F86"/>
    <w:rsid w:val="00A8049B"/>
    <w:rsid w:val="00A865E4"/>
    <w:rsid w:val="00AF0FCC"/>
    <w:rsid w:val="00B16538"/>
    <w:rsid w:val="00B61AA2"/>
    <w:rsid w:val="00CA4452"/>
    <w:rsid w:val="00E15C8F"/>
    <w:rsid w:val="00E81F91"/>
    <w:rsid w:val="00EF2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B1A34"/>
  <w15:chartTrackingRefBased/>
  <w15:docId w15:val="{FA2DE082-4C7C-467C-9BE3-7C3A2413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0A"/>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C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23C0A"/>
    <w:rPr>
      <w:sz w:val="18"/>
      <w:szCs w:val="18"/>
    </w:rPr>
  </w:style>
  <w:style w:type="paragraph" w:styleId="a5">
    <w:name w:val="footer"/>
    <w:basedOn w:val="a"/>
    <w:link w:val="a6"/>
    <w:uiPriority w:val="99"/>
    <w:unhideWhenUsed/>
    <w:rsid w:val="00523C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23C0A"/>
    <w:rPr>
      <w:sz w:val="18"/>
      <w:szCs w:val="18"/>
    </w:rPr>
  </w:style>
  <w:style w:type="character" w:styleId="a7">
    <w:name w:val="Emphasis"/>
    <w:basedOn w:val="a0"/>
    <w:uiPriority w:val="20"/>
    <w:qFormat/>
    <w:rsid w:val="00523C0A"/>
    <w:rPr>
      <w:i/>
      <w:iCs/>
    </w:rPr>
  </w:style>
  <w:style w:type="character" w:customStyle="1" w:styleId="15">
    <w:name w:val="15"/>
    <w:basedOn w:val="a0"/>
    <w:qFormat/>
    <w:rsid w:val="00523C0A"/>
    <w:rPr>
      <w:rFonts w:ascii="URWPalladioL-Roma" w:hAnsi="URWPalladioL-Roma" w:hint="default"/>
      <w:color w:val="000000"/>
      <w:sz w:val="20"/>
      <w:szCs w:val="20"/>
    </w:rPr>
  </w:style>
  <w:style w:type="character" w:customStyle="1" w:styleId="fontstyle01">
    <w:name w:val="fontstyle01"/>
    <w:basedOn w:val="a0"/>
    <w:qFormat/>
    <w:rsid w:val="00523C0A"/>
    <w:rPr>
      <w:rFonts w:ascii="GulliverRM" w:hAnsi="GulliverRM"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岳洋</dc:creator>
  <cp:keywords/>
  <dc:description/>
  <cp:lastModifiedBy>于 岳洋</cp:lastModifiedBy>
  <cp:revision>6</cp:revision>
  <dcterms:created xsi:type="dcterms:W3CDTF">2022-10-03T14:05:00Z</dcterms:created>
  <dcterms:modified xsi:type="dcterms:W3CDTF">2022-11-02T07:39:00Z</dcterms:modified>
</cp:coreProperties>
</file>