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60" w:line="360" w:lineRule="auto"/>
        <w:jc w:val="left"/>
        <w:rPr>
          <w:rFonts w:ascii="Arial" w:hAnsi="Arial" w:eastAsia="宋体" w:cs="Arial"/>
          <w:b/>
          <w:kern w:val="0"/>
          <w:sz w:val="24"/>
        </w:rPr>
      </w:pPr>
      <w:r>
        <w:rPr>
          <w:rFonts w:ascii="Arial" w:hAnsi="Arial" w:eastAsia="宋体" w:cs="Arial"/>
          <w:b/>
          <w:kern w:val="0"/>
          <w:sz w:val="24"/>
        </w:rPr>
        <w:t>Supplemental Material</w:t>
      </w:r>
    </w:p>
    <w:p>
      <w:pPr>
        <w:spacing w:line="360" w:lineRule="auto"/>
        <w:outlineLvl w:val="0"/>
        <w:rPr>
          <w:rFonts w:ascii="Arial" w:hAnsi="Arial" w:cs="Arial"/>
          <w:b/>
          <w:sz w:val="22"/>
          <w:szCs w:val="22"/>
        </w:rPr>
      </w:pPr>
      <w:r>
        <w:rPr>
          <w:rFonts w:ascii="Arial" w:hAnsi="Arial" w:cs="Arial"/>
          <w:b/>
          <w:sz w:val="22"/>
          <w:szCs w:val="22"/>
        </w:rPr>
        <w:t>Supplementary Methods:</w:t>
      </w:r>
    </w:p>
    <w:p>
      <w:pPr>
        <w:spacing w:line="360" w:lineRule="auto"/>
        <w:outlineLvl w:val="0"/>
        <w:rPr>
          <w:rFonts w:ascii="Arial" w:hAnsi="Arial" w:cs="Arial"/>
          <w:b/>
          <w:sz w:val="22"/>
          <w:szCs w:val="22"/>
        </w:rPr>
      </w:pPr>
      <w:bookmarkStart w:id="0" w:name="OLE_LINK2"/>
      <w:r>
        <w:rPr>
          <w:rFonts w:ascii="Arial" w:hAnsi="Arial" w:cs="Arial"/>
          <w:b/>
          <w:sz w:val="22"/>
          <w:szCs w:val="22"/>
        </w:rPr>
        <w:t>The Details of Polysomnography</w:t>
      </w:r>
    </w:p>
    <w:bookmarkEnd w:id="0"/>
    <w:p>
      <w:pPr>
        <w:spacing w:line="360" w:lineRule="auto"/>
        <w:rPr>
          <w:rFonts w:ascii="Arial" w:hAnsi="Arial" w:cs="Arial"/>
          <w:spacing w:val="-4"/>
          <w:sz w:val="22"/>
          <w:szCs w:val="22"/>
        </w:rPr>
      </w:pPr>
      <w:r>
        <w:rPr>
          <w:rFonts w:ascii="Arial" w:hAnsi="Arial" w:eastAsia="Times New Roman" w:cs="Arial"/>
          <w:sz w:val="22"/>
          <w:szCs w:val="22"/>
        </w:rPr>
        <w:t>The study was conducted in an accredited sleep laboratory. In the sleep lab, the sleep schedule was regulated, with a “lights-out” time of 12:00 pm and a “lights-on” time of 8:00 am. Participants were not permitted to sleep before lights-out time or sleep past lights-on time. Polysomnography (PSG) consisted of electroencephalograms (C4-A1, O2-A1), right and left electrooculograms, electrocardiogram (ECG), submental and anterior tibial electromyograms, thoracic and abdominal respiratory movements, pulse oxygen saturation, end-tidal and transcutaneous carbon dioxide, oronasal airflow, and nasal pressure. Studies were recorded on an E-series Sleep System (Compumedics, Melbourne, VIC, Australia) and included digital video and audio monitoring</w:t>
      </w:r>
      <w:r>
        <w:rPr>
          <w:rFonts w:ascii="Arial" w:hAnsi="Arial" w:cs="Arial"/>
          <w:spacing w:val="-4"/>
          <w:sz w:val="22"/>
          <w:szCs w:val="22"/>
        </w:rPr>
        <w:t xml:space="preserve">. </w:t>
      </w:r>
    </w:p>
    <w:p>
      <w:pPr>
        <w:spacing w:line="360" w:lineRule="auto"/>
        <w:rPr>
          <w:rFonts w:ascii="Arial" w:hAnsi="Arial" w:cs="Arial"/>
          <w:sz w:val="22"/>
          <w:szCs w:val="22"/>
        </w:rPr>
      </w:pPr>
      <w:r>
        <w:rPr>
          <w:rFonts w:ascii="Arial" w:hAnsi="Arial" w:cs="Arial"/>
          <w:spacing w:val="-4"/>
          <w:sz w:val="22"/>
          <w:szCs w:val="22"/>
        </w:rPr>
        <w:t xml:space="preserve">Studies were scored at a </w:t>
      </w:r>
      <w:r>
        <w:rPr>
          <w:rFonts w:ascii="Arial" w:hAnsi="Arial" w:cs="Arial"/>
          <w:sz w:val="22"/>
          <w:szCs w:val="22"/>
        </w:rPr>
        <w:t>centralized sleep reading center (People’s Hospital of Xinjiang Uygur Autonomous Region, Urumqi, Xinjiang, China) by registered polysomnographic technologists. Sleep and arousals were staged using standard criteria</w:t>
      </w:r>
      <w:r>
        <w:rPr>
          <w:rFonts w:hint="eastAsia" w:ascii="Arial" w:hAnsi="Arial" w:cs="Arial"/>
          <w:sz w:val="22"/>
          <w:szCs w:val="22"/>
        </w:rPr>
        <w:t xml:space="preserve"> [1]</w:t>
      </w:r>
      <w:r>
        <w:rPr>
          <w:rFonts w:ascii="Arial" w:hAnsi="Arial" w:cs="Arial"/>
          <w:sz w:val="22"/>
          <w:szCs w:val="22"/>
        </w:rPr>
        <w:t>. Sleep stages were scored using 30-s epochs according to Rechtschaffen and Kales criteria</w:t>
      </w:r>
      <w:r>
        <w:rPr>
          <w:rFonts w:hint="eastAsia" w:ascii="Arial" w:hAnsi="Arial" w:cs="Arial"/>
          <w:sz w:val="22"/>
          <w:szCs w:val="22"/>
        </w:rPr>
        <w:t xml:space="preserve"> [</w:t>
      </w:r>
      <w:r>
        <w:rPr>
          <w:rFonts w:ascii="Arial" w:hAnsi="Arial" w:cs="Arial"/>
          <w:sz w:val="22"/>
          <w:szCs w:val="22"/>
        </w:rPr>
        <w:t>2, 3</w:t>
      </w:r>
      <w:r>
        <w:rPr>
          <w:rFonts w:hint="eastAsia" w:ascii="Arial" w:hAnsi="Arial" w:cs="Arial"/>
          <w:sz w:val="22"/>
          <w:szCs w:val="22"/>
        </w:rPr>
        <w:t>]</w:t>
      </w:r>
      <w:r>
        <w:rPr>
          <w:rFonts w:ascii="Arial" w:hAnsi="Arial" w:cs="Arial"/>
          <w:sz w:val="22"/>
          <w:szCs w:val="22"/>
        </w:rPr>
        <w:t xml:space="preserve">, and sleep architecture variables were noted as percent total sleep time for stages NREM 1, NREM 2, NREM 3, and REM sleep. Arousals were scored according to published guidelines and summarized as the total number of arousals per hour of sleep (arousal index) </w:t>
      </w:r>
      <w:r>
        <w:rPr>
          <w:rFonts w:hint="eastAsia" w:ascii="Arial" w:hAnsi="Arial" w:cs="Arial"/>
          <w:sz w:val="22"/>
          <w:szCs w:val="22"/>
        </w:rPr>
        <w:t>[</w:t>
      </w:r>
      <w:r>
        <w:rPr>
          <w:rFonts w:ascii="Arial" w:hAnsi="Arial" w:cs="Arial"/>
          <w:sz w:val="22"/>
          <w:szCs w:val="22"/>
        </w:rPr>
        <w:t>4</w:t>
      </w:r>
      <w:r>
        <w:rPr>
          <w:rFonts w:hint="eastAsia" w:ascii="Arial" w:hAnsi="Arial" w:cs="Arial"/>
          <w:sz w:val="22"/>
          <w:szCs w:val="22"/>
        </w:rPr>
        <w:t>]</w:t>
      </w:r>
      <w:r>
        <w:rPr>
          <w:rFonts w:ascii="Arial" w:hAnsi="Arial" w:cs="Arial"/>
          <w:sz w:val="22"/>
          <w:szCs w:val="22"/>
        </w:rPr>
        <w:t>.</w:t>
      </w:r>
    </w:p>
    <w:p>
      <w:pPr>
        <w:spacing w:line="360" w:lineRule="auto"/>
        <w:rPr>
          <w:rFonts w:ascii="Arial" w:hAnsi="Arial" w:eastAsia="Times New Roman" w:cs="Arial"/>
          <w:sz w:val="22"/>
          <w:szCs w:val="22"/>
        </w:rPr>
      </w:pPr>
      <w:r>
        <w:rPr>
          <w:rFonts w:ascii="Arial" w:hAnsi="Arial" w:cs="Arial"/>
          <w:sz w:val="22"/>
          <w:szCs w:val="22"/>
        </w:rPr>
        <w:t>To enable the calculation of alternative definitions of the apnea-hypopnea index (AHI), respiratory events were initially identified by changes in signal amplitude only. Specifically, apneas were identified as complete reductions in the thermocouple signal for ≥10 seconds and hypopneas as approximately 30% reductions in the nasal pressure or inductance signals for ≥10 seconds. Each event was annotated as to its associated oxygen saturation nadir and whether it resulted in an EEG arousal.</w:t>
      </w:r>
      <w:r>
        <w:rPr>
          <w:rFonts w:ascii="Arial" w:hAnsi="Arial" w:eastAsia="Times New Roman" w:cs="Arial"/>
          <w:sz w:val="22"/>
          <w:szCs w:val="22"/>
        </w:rPr>
        <w:t xml:space="preserve"> </w:t>
      </w:r>
    </w:p>
    <w:p>
      <w:pPr>
        <w:spacing w:line="360" w:lineRule="auto"/>
        <w:rPr>
          <w:rFonts w:ascii="Arial" w:hAnsi="Arial" w:eastAsia="Times New Roman" w:cs="Arial"/>
          <w:sz w:val="22"/>
          <w:szCs w:val="22"/>
        </w:rPr>
      </w:pPr>
    </w:p>
    <w:p>
      <w:pPr>
        <w:spacing w:line="360" w:lineRule="auto"/>
        <w:rPr>
          <w:rFonts w:ascii="Arial" w:hAnsi="Arial" w:eastAsia="Times New Roman" w:cs="Arial"/>
          <w:sz w:val="22"/>
          <w:szCs w:val="22"/>
        </w:rPr>
      </w:pPr>
    </w:p>
    <w:p>
      <w:pPr>
        <w:spacing w:line="360" w:lineRule="auto"/>
        <w:rPr>
          <w:rFonts w:ascii="Arial" w:hAnsi="Arial" w:cs="Arial"/>
          <w:b/>
          <w:bCs/>
          <w:sz w:val="22"/>
          <w:szCs w:val="22"/>
        </w:rPr>
      </w:pPr>
    </w:p>
    <w:p>
      <w:pPr>
        <w:spacing w:line="360" w:lineRule="auto"/>
        <w:rPr>
          <w:rFonts w:ascii="Arial" w:hAnsi="Arial" w:cs="Arial"/>
          <w:b/>
          <w:bCs/>
          <w:sz w:val="22"/>
          <w:szCs w:val="22"/>
        </w:rPr>
      </w:pPr>
    </w:p>
    <w:p>
      <w:pPr>
        <w:spacing w:line="360" w:lineRule="auto"/>
        <w:outlineLvl w:val="0"/>
        <w:rPr>
          <w:rFonts w:ascii="Arial" w:hAnsi="Arial" w:cs="Arial"/>
          <w:bCs/>
          <w:sz w:val="22"/>
          <w:szCs w:val="22"/>
        </w:rPr>
      </w:pPr>
      <w:r>
        <w:rPr>
          <w:rFonts w:ascii="Arial" w:hAnsi="Arial" w:cs="Arial"/>
          <w:bCs/>
          <w:sz w:val="22"/>
          <w:szCs w:val="22"/>
        </w:rPr>
        <w:t>Definitions of respiratory events.</w:t>
      </w:r>
    </w:p>
    <w:tbl>
      <w:tblPr>
        <w:tblStyle w:val="7"/>
        <w:tblW w:w="11579"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15" w:type="dxa"/>
          <w:bottom w:w="0" w:type="dxa"/>
          <w:right w:w="115" w:type="dxa"/>
        </w:tblCellMar>
      </w:tblPr>
      <w:tblGrid>
        <w:gridCol w:w="2763"/>
        <w:gridCol w:w="881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350" w:hRule="atLeast"/>
          <w:jc w:val="center"/>
        </w:trPr>
        <w:tc>
          <w:tcPr>
            <w:tcW w:w="2763" w:type="dxa"/>
            <w:tcBorders>
              <w:bottom w:val="single" w:color="auto" w:sz="12" w:space="0"/>
            </w:tcBorders>
            <w:vAlign w:val="center"/>
          </w:tcPr>
          <w:p>
            <w:pPr>
              <w:spacing w:line="360" w:lineRule="auto"/>
              <w:jc w:val="center"/>
              <w:rPr>
                <w:rFonts w:ascii="Arial" w:hAnsi="Arial" w:cs="Arial"/>
                <w:bCs/>
                <w:sz w:val="22"/>
                <w:szCs w:val="22"/>
              </w:rPr>
            </w:pPr>
            <w:r>
              <w:rPr>
                <w:rFonts w:ascii="Arial" w:hAnsi="Arial" w:eastAsia="Calibri" w:cs="Arial"/>
                <w:bCs/>
                <w:sz w:val="22"/>
                <w:szCs w:val="22"/>
              </w:rPr>
              <w:t>Term</w:t>
            </w:r>
          </w:p>
        </w:tc>
        <w:tc>
          <w:tcPr>
            <w:tcW w:w="8816" w:type="dxa"/>
            <w:tcBorders>
              <w:bottom w:val="single" w:color="auto" w:sz="12" w:space="0"/>
            </w:tcBorders>
            <w:vAlign w:val="center"/>
          </w:tcPr>
          <w:p>
            <w:pPr>
              <w:spacing w:line="360" w:lineRule="auto"/>
              <w:jc w:val="center"/>
              <w:rPr>
                <w:rFonts w:ascii="Arial" w:hAnsi="Arial" w:cs="Arial"/>
                <w:bCs/>
                <w:sz w:val="22"/>
                <w:szCs w:val="22"/>
              </w:rPr>
            </w:pPr>
            <w:r>
              <w:rPr>
                <w:rFonts w:ascii="Arial" w:hAnsi="Arial" w:eastAsia="Calibri" w:cs="Arial"/>
                <w:bCs/>
                <w:sz w:val="22"/>
                <w:szCs w:val="22"/>
              </w:rPr>
              <w:t>Definition</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655" w:hRule="atLeast"/>
          <w:jc w:val="center"/>
        </w:trPr>
        <w:tc>
          <w:tcPr>
            <w:tcW w:w="2763" w:type="dxa"/>
            <w:tcBorders>
              <w:top w:val="single" w:color="auto" w:sz="12" w:space="0"/>
              <w:tl2br w:val="nil"/>
              <w:tr2bl w:val="nil"/>
            </w:tcBorders>
            <w:vAlign w:val="center"/>
          </w:tcPr>
          <w:p>
            <w:pPr>
              <w:spacing w:line="360" w:lineRule="auto"/>
              <w:jc w:val="center"/>
              <w:textAlignment w:val="baseline"/>
              <w:rPr>
                <w:rFonts w:ascii="Arial" w:hAnsi="Arial" w:cs="Arial"/>
                <w:sz w:val="22"/>
                <w:szCs w:val="22"/>
              </w:rPr>
            </w:pPr>
            <w:r>
              <w:rPr>
                <w:rFonts w:ascii="Arial" w:hAnsi="Arial" w:cs="Arial"/>
                <w:sz w:val="22"/>
                <w:szCs w:val="22"/>
              </w:rPr>
              <w:t>Apnea</w:t>
            </w:r>
          </w:p>
        </w:tc>
        <w:tc>
          <w:tcPr>
            <w:tcW w:w="8816" w:type="dxa"/>
            <w:tcBorders>
              <w:top w:val="single" w:color="auto" w:sz="12" w:space="0"/>
              <w:tl2br w:val="nil"/>
              <w:tr2bl w:val="nil"/>
            </w:tcBorders>
            <w:vAlign w:val="center"/>
          </w:tcPr>
          <w:p>
            <w:pPr>
              <w:spacing w:line="360" w:lineRule="auto"/>
              <w:rPr>
                <w:rFonts w:ascii="Arial" w:hAnsi="Arial" w:eastAsia="宋体" w:cs="Arial"/>
                <w:sz w:val="22"/>
                <w:szCs w:val="22"/>
              </w:rPr>
            </w:pPr>
            <w:r>
              <w:rPr>
                <w:rFonts w:ascii="Arial" w:hAnsi="Arial" w:cs="Arial"/>
                <w:sz w:val="22"/>
                <w:szCs w:val="22"/>
              </w:rPr>
              <w:t>Apnoea was defined as a 90% decrease in airflow lasting for at least 10 seconds.</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617" w:hRule="atLeast"/>
          <w:jc w:val="center"/>
        </w:trPr>
        <w:tc>
          <w:tcPr>
            <w:tcW w:w="2763" w:type="dxa"/>
            <w:tcBorders>
              <w:tl2br w:val="nil"/>
              <w:tr2bl w:val="nil"/>
            </w:tcBorders>
            <w:vAlign w:val="center"/>
          </w:tcPr>
          <w:p>
            <w:pPr>
              <w:spacing w:line="360" w:lineRule="auto"/>
              <w:jc w:val="center"/>
              <w:textAlignment w:val="baseline"/>
              <w:rPr>
                <w:rFonts w:ascii="Arial" w:hAnsi="Arial" w:cs="Arial"/>
                <w:sz w:val="22"/>
                <w:szCs w:val="22"/>
              </w:rPr>
            </w:pPr>
            <w:r>
              <w:rPr>
                <w:rFonts w:ascii="Arial" w:hAnsi="Arial" w:cs="Arial"/>
                <w:sz w:val="22"/>
                <w:szCs w:val="22"/>
              </w:rPr>
              <w:t>Hypopnea</w:t>
            </w:r>
          </w:p>
        </w:tc>
        <w:tc>
          <w:tcPr>
            <w:tcW w:w="8816" w:type="dxa"/>
            <w:tcBorders>
              <w:tl2br w:val="nil"/>
              <w:tr2bl w:val="nil"/>
            </w:tcBorders>
            <w:vAlign w:val="center"/>
          </w:tcPr>
          <w:p>
            <w:pPr>
              <w:spacing w:line="360" w:lineRule="auto"/>
              <w:rPr>
                <w:rFonts w:ascii="Arial" w:hAnsi="Arial" w:cs="Arial"/>
                <w:sz w:val="22"/>
                <w:szCs w:val="22"/>
              </w:rPr>
            </w:pPr>
            <w:r>
              <w:rPr>
                <w:rFonts w:ascii="Arial" w:hAnsi="Arial" w:cs="Arial"/>
                <w:sz w:val="22"/>
                <w:szCs w:val="22"/>
              </w:rPr>
              <w:t>Hypopneas were defined by ≥ 30% decrement in the amplitude of nasal pressure flow signal for at least 10 seconds, associated with a 4% arterial oxygen desaturation (with or without arousal).</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660" w:hRule="atLeast"/>
          <w:jc w:val="center"/>
        </w:trPr>
        <w:tc>
          <w:tcPr>
            <w:tcW w:w="2763" w:type="dxa"/>
            <w:tcBorders>
              <w:tl2br w:val="nil"/>
              <w:tr2bl w:val="nil"/>
            </w:tcBorders>
            <w:vAlign w:val="center"/>
          </w:tcPr>
          <w:p>
            <w:pPr>
              <w:spacing w:line="360" w:lineRule="auto"/>
              <w:jc w:val="center"/>
              <w:textAlignment w:val="baseline"/>
              <w:rPr>
                <w:rFonts w:ascii="Arial" w:hAnsi="Arial" w:cs="Arial"/>
                <w:sz w:val="22"/>
                <w:szCs w:val="22"/>
              </w:rPr>
            </w:pPr>
            <w:r>
              <w:rPr>
                <w:rFonts w:ascii="Arial" w:hAnsi="Arial" w:cs="Arial"/>
                <w:sz w:val="22"/>
                <w:szCs w:val="22"/>
              </w:rPr>
              <w:t>AHI</w:t>
            </w:r>
          </w:p>
        </w:tc>
        <w:tc>
          <w:tcPr>
            <w:tcW w:w="8816" w:type="dxa"/>
            <w:tcBorders>
              <w:tl2br w:val="nil"/>
              <w:tr2bl w:val="nil"/>
            </w:tcBorders>
            <w:vAlign w:val="center"/>
          </w:tcPr>
          <w:p>
            <w:pPr>
              <w:spacing w:line="360" w:lineRule="auto"/>
              <w:rPr>
                <w:rFonts w:ascii="Arial" w:hAnsi="Arial" w:cs="Arial"/>
                <w:sz w:val="22"/>
                <w:szCs w:val="22"/>
              </w:rPr>
            </w:pPr>
            <w:r>
              <w:rPr>
                <w:rFonts w:ascii="Arial" w:hAnsi="Arial" w:cs="Arial"/>
                <w:sz w:val="22"/>
                <w:szCs w:val="22"/>
              </w:rPr>
              <w:t>Apnea-hypopnea index = the number of apneas and hypopneas per hours of sleep</w:t>
            </w:r>
          </w:p>
        </w:tc>
      </w:tr>
    </w:tbl>
    <w:p>
      <w:pPr>
        <w:spacing w:line="360" w:lineRule="auto"/>
        <w:rPr>
          <w:rFonts w:ascii="Arial" w:hAnsi="Arial" w:cs="Arial"/>
          <w:b/>
          <w:bCs/>
          <w:sz w:val="22"/>
          <w:szCs w:val="22"/>
        </w:rPr>
      </w:pPr>
    </w:p>
    <w:p>
      <w:pPr>
        <w:pStyle w:val="10"/>
        <w:spacing w:after="0" w:line="360" w:lineRule="auto"/>
        <w:rPr>
          <w:rFonts w:ascii="Arial" w:hAnsi="Arial" w:cs="Arial"/>
          <w:b/>
          <w:sz w:val="22"/>
        </w:rPr>
      </w:pPr>
      <w:r>
        <w:rPr>
          <w:rFonts w:ascii="Arial" w:hAnsi="Arial" w:cs="Arial"/>
          <w:b/>
          <w:sz w:val="22"/>
        </w:rPr>
        <w:t>References</w:t>
      </w:r>
    </w:p>
    <w:p>
      <w:pPr>
        <w:pStyle w:val="10"/>
        <w:spacing w:after="0" w:line="360" w:lineRule="auto"/>
        <w:rPr>
          <w:rFonts w:ascii="Arial" w:hAnsi="Arial" w:cs="Arial"/>
          <w:sz w:val="22"/>
        </w:rPr>
      </w:pPr>
      <w:r>
        <w:rPr>
          <w:rFonts w:hint="eastAsia" w:ascii="Arial" w:hAnsi="Arial" w:cs="Arial"/>
          <w:sz w:val="22"/>
        </w:rPr>
        <w:t>[1]</w:t>
      </w:r>
      <w:r>
        <w:rPr>
          <w:rFonts w:hint="eastAsia" w:ascii="Arial" w:hAnsi="Arial" w:cs="Arial"/>
          <w:sz w:val="22"/>
        </w:rPr>
        <w:tab/>
      </w:r>
      <w:r>
        <w:rPr>
          <w:rFonts w:ascii="Arial" w:hAnsi="Arial" w:cs="Arial"/>
          <w:sz w:val="22"/>
        </w:rPr>
        <w:t xml:space="preserve">Berry RB, Budhiraja R, Gottlieb DJ, et al. Rules for scoring respiratory events in </w:t>
      </w:r>
      <w:r>
        <w:rPr>
          <w:rFonts w:hint="eastAsia" w:ascii="Arial" w:hAnsi="Arial" w:cs="Arial"/>
          <w:sz w:val="22"/>
        </w:rPr>
        <w:tab/>
      </w:r>
      <w:r>
        <w:rPr>
          <w:rFonts w:ascii="Arial" w:hAnsi="Arial" w:cs="Arial"/>
          <w:sz w:val="22"/>
        </w:rPr>
        <w:t xml:space="preserve">sleep: update of the 2007 AASM Manual for the Scoring of Sleep and Associated </w:t>
      </w:r>
      <w:r>
        <w:rPr>
          <w:rFonts w:hint="eastAsia" w:ascii="Arial" w:hAnsi="Arial" w:cs="Arial"/>
          <w:sz w:val="22"/>
        </w:rPr>
        <w:tab/>
      </w:r>
      <w:r>
        <w:rPr>
          <w:rFonts w:ascii="Arial" w:hAnsi="Arial" w:cs="Arial"/>
          <w:sz w:val="22"/>
        </w:rPr>
        <w:t xml:space="preserve">Events. Deliberations of the Sleep Apnea Definitions Task Force of the American </w:t>
      </w:r>
      <w:r>
        <w:rPr>
          <w:rFonts w:hint="eastAsia" w:ascii="Arial" w:hAnsi="Arial" w:cs="Arial"/>
          <w:sz w:val="22"/>
        </w:rPr>
        <w:tab/>
      </w:r>
      <w:r>
        <w:rPr>
          <w:rFonts w:ascii="Arial" w:hAnsi="Arial" w:cs="Arial"/>
          <w:sz w:val="22"/>
        </w:rPr>
        <w:t xml:space="preserve">Academy of Sleep Medicine. </w:t>
      </w:r>
      <w:r>
        <w:rPr>
          <w:rFonts w:ascii="Arial" w:hAnsi="Arial" w:cs="Arial"/>
          <w:i/>
          <w:sz w:val="22"/>
        </w:rPr>
        <w:t>J Clin Sleep Med</w:t>
      </w:r>
      <w:r>
        <w:rPr>
          <w:rFonts w:ascii="Arial" w:hAnsi="Arial" w:cs="Arial"/>
          <w:sz w:val="22"/>
        </w:rPr>
        <w:t>. 2012;8:597-619.</w:t>
      </w:r>
    </w:p>
    <w:p>
      <w:pPr>
        <w:pStyle w:val="10"/>
        <w:spacing w:after="0" w:line="360" w:lineRule="auto"/>
        <w:rPr>
          <w:rFonts w:ascii="Arial" w:hAnsi="Arial" w:cs="Arial"/>
          <w:sz w:val="22"/>
        </w:rPr>
      </w:pPr>
      <w:r>
        <w:rPr>
          <w:rFonts w:hint="eastAsia" w:ascii="Arial" w:hAnsi="Arial" w:eastAsia="宋体" w:cs="Arial"/>
          <w:sz w:val="22"/>
        </w:rPr>
        <w:t>[2]</w:t>
      </w:r>
      <w:r>
        <w:rPr>
          <w:rFonts w:hint="eastAsia" w:ascii="Arial" w:hAnsi="Arial" w:eastAsia="宋体" w:cs="Arial"/>
          <w:sz w:val="22"/>
        </w:rPr>
        <w:tab/>
      </w:r>
      <w:r>
        <w:rPr>
          <w:rFonts w:ascii="Arial" w:hAnsi="Arial" w:cs="Arial"/>
          <w:sz w:val="22"/>
        </w:rPr>
        <w:t xml:space="preserve">Rechtschaffen A, Kales A (1968) A manual of standardized terminology, </w:t>
      </w:r>
      <w:r>
        <w:rPr>
          <w:rFonts w:hint="eastAsia" w:ascii="Arial" w:hAnsi="Arial" w:eastAsia="宋体" w:cs="Arial"/>
          <w:sz w:val="22"/>
        </w:rPr>
        <w:tab/>
      </w:r>
      <w:r>
        <w:rPr>
          <w:rFonts w:ascii="Arial" w:hAnsi="Arial" w:cs="Arial"/>
          <w:sz w:val="22"/>
        </w:rPr>
        <w:t xml:space="preserve">techniques and scoring system for sleep stages of human subjects. National </w:t>
      </w:r>
      <w:r>
        <w:rPr>
          <w:rFonts w:hint="eastAsia" w:ascii="Arial" w:hAnsi="Arial" w:eastAsia="宋体" w:cs="Arial"/>
          <w:sz w:val="22"/>
        </w:rPr>
        <w:tab/>
      </w:r>
      <w:r>
        <w:rPr>
          <w:rFonts w:ascii="Arial" w:hAnsi="Arial" w:cs="Arial"/>
          <w:sz w:val="22"/>
        </w:rPr>
        <w:t>Institutes of Health, Washington DC.</w:t>
      </w:r>
    </w:p>
    <w:p>
      <w:pPr>
        <w:pStyle w:val="10"/>
        <w:spacing w:after="0" w:line="360" w:lineRule="auto"/>
        <w:rPr>
          <w:rFonts w:ascii="Arial" w:hAnsi="Arial" w:cs="Arial"/>
          <w:sz w:val="22"/>
        </w:rPr>
      </w:pPr>
      <w:r>
        <w:rPr>
          <w:rFonts w:hint="eastAsia" w:ascii="Arial" w:hAnsi="Arial" w:eastAsia="宋体" w:cs="Arial"/>
          <w:sz w:val="22"/>
        </w:rPr>
        <w:t>[3]</w:t>
      </w:r>
      <w:r>
        <w:rPr>
          <w:rFonts w:hint="eastAsia" w:ascii="Arial" w:hAnsi="Arial" w:eastAsia="宋体" w:cs="Arial"/>
          <w:sz w:val="22"/>
        </w:rPr>
        <w:tab/>
      </w:r>
      <w:r>
        <w:rPr>
          <w:rFonts w:ascii="Arial" w:hAnsi="Arial" w:cs="Arial"/>
          <w:sz w:val="22"/>
        </w:rPr>
        <w:t xml:space="preserve">Iber C, Ancoli-Israel S, Chesson A (2007) The AASM manual for the scoring of </w:t>
      </w:r>
      <w:r>
        <w:rPr>
          <w:rFonts w:hint="eastAsia" w:ascii="Arial" w:hAnsi="Arial" w:eastAsia="宋体" w:cs="Arial"/>
          <w:sz w:val="22"/>
        </w:rPr>
        <w:tab/>
      </w:r>
      <w:r>
        <w:rPr>
          <w:rFonts w:ascii="Arial" w:hAnsi="Arial" w:cs="Arial"/>
          <w:sz w:val="22"/>
        </w:rPr>
        <w:t xml:space="preserve">sleep and associated events: rules, terminology, and technical specifications, 1st </w:t>
      </w:r>
      <w:r>
        <w:rPr>
          <w:rFonts w:hint="eastAsia" w:ascii="Arial" w:hAnsi="Arial" w:eastAsia="宋体" w:cs="Arial"/>
          <w:sz w:val="22"/>
        </w:rPr>
        <w:tab/>
      </w:r>
      <w:r>
        <w:rPr>
          <w:rFonts w:ascii="Arial" w:hAnsi="Arial" w:cs="Arial"/>
          <w:sz w:val="22"/>
        </w:rPr>
        <w:t>edn. American Academy of Sleep Medicine, Westchester.</w:t>
      </w:r>
    </w:p>
    <w:p>
      <w:pPr>
        <w:pStyle w:val="10"/>
        <w:spacing w:after="0" w:line="360" w:lineRule="auto"/>
        <w:rPr>
          <w:rFonts w:ascii="Arial" w:hAnsi="Arial" w:cs="Arial"/>
          <w:color w:val="000000"/>
          <w:sz w:val="22"/>
        </w:rPr>
      </w:pPr>
      <w:r>
        <w:rPr>
          <w:rFonts w:hint="eastAsia" w:ascii="Arial" w:hAnsi="Arial" w:eastAsia="宋体" w:cs="Arial"/>
          <w:sz w:val="22"/>
        </w:rPr>
        <w:t>[4]</w:t>
      </w:r>
      <w:r>
        <w:rPr>
          <w:rFonts w:hint="eastAsia" w:ascii="Arial" w:hAnsi="Arial" w:eastAsia="宋体" w:cs="Arial"/>
          <w:sz w:val="22"/>
        </w:rPr>
        <w:tab/>
      </w:r>
      <w:r>
        <w:rPr>
          <w:rFonts w:ascii="Arial" w:hAnsi="Arial" w:cs="Arial"/>
          <w:sz w:val="22"/>
        </w:rPr>
        <w:t xml:space="preserve">Amerian Academy of Sleep Medicine (1992). EEG arousals: scoring rules and </w:t>
      </w:r>
      <w:r>
        <w:rPr>
          <w:rFonts w:hint="eastAsia" w:ascii="Arial" w:hAnsi="Arial" w:eastAsia="宋体" w:cs="Arial"/>
          <w:sz w:val="22"/>
        </w:rPr>
        <w:tab/>
      </w:r>
      <w:r>
        <w:rPr>
          <w:rFonts w:ascii="Arial" w:hAnsi="Arial" w:cs="Arial"/>
          <w:sz w:val="22"/>
        </w:rPr>
        <w:t xml:space="preserve">examples: a preliminary report from the Sleep Disorders Atlas Task Force of the </w:t>
      </w:r>
      <w:r>
        <w:rPr>
          <w:rFonts w:hint="eastAsia" w:ascii="Arial" w:hAnsi="Arial" w:eastAsia="宋体" w:cs="Arial"/>
          <w:sz w:val="22"/>
        </w:rPr>
        <w:tab/>
      </w:r>
      <w:r>
        <w:rPr>
          <w:rFonts w:ascii="Arial" w:hAnsi="Arial" w:cs="Arial"/>
          <w:sz w:val="22"/>
        </w:rPr>
        <w:t>American Sleep Disorders Association. Sleep, 15(2), 173-84.</w:t>
      </w:r>
    </w:p>
    <w:p>
      <w:pPr>
        <w:spacing w:line="360" w:lineRule="auto"/>
        <w:outlineLvl w:val="0"/>
        <w:rPr>
          <w:rFonts w:ascii="Arial" w:hAnsi="Arial" w:cs="Arial"/>
          <w:b/>
          <w:sz w:val="22"/>
          <w:szCs w:val="22"/>
        </w:rPr>
      </w:pPr>
      <w:bookmarkStart w:id="1" w:name="OLE_LINK12"/>
    </w:p>
    <w:p>
      <w:pPr>
        <w:spacing w:line="360" w:lineRule="auto"/>
        <w:outlineLvl w:val="0"/>
        <w:rPr>
          <w:rFonts w:ascii="Arial" w:hAnsi="Arial" w:cs="Arial"/>
          <w:b/>
          <w:sz w:val="22"/>
          <w:szCs w:val="22"/>
        </w:rPr>
      </w:pPr>
    </w:p>
    <w:p>
      <w:pPr>
        <w:spacing w:line="360" w:lineRule="auto"/>
        <w:outlineLvl w:val="0"/>
        <w:rPr>
          <w:rFonts w:ascii="Arial" w:hAnsi="Arial" w:cs="Arial"/>
          <w:b/>
          <w:sz w:val="22"/>
          <w:szCs w:val="22"/>
        </w:rPr>
      </w:pPr>
    </w:p>
    <w:p>
      <w:pPr>
        <w:spacing w:line="360" w:lineRule="auto"/>
        <w:outlineLvl w:val="0"/>
        <w:rPr>
          <w:rFonts w:ascii="Arial" w:hAnsi="Arial" w:cs="Arial"/>
          <w:b/>
          <w:sz w:val="22"/>
          <w:szCs w:val="22"/>
        </w:rPr>
      </w:pPr>
    </w:p>
    <w:p>
      <w:pPr>
        <w:spacing w:line="360" w:lineRule="auto"/>
        <w:outlineLvl w:val="0"/>
        <w:rPr>
          <w:rFonts w:ascii="Arial" w:hAnsi="Arial" w:cs="Arial"/>
          <w:b/>
          <w:sz w:val="22"/>
          <w:szCs w:val="22"/>
        </w:rPr>
      </w:pPr>
    </w:p>
    <w:p>
      <w:pPr>
        <w:spacing w:line="360" w:lineRule="auto"/>
        <w:outlineLvl w:val="0"/>
        <w:rPr>
          <w:rFonts w:ascii="Arial" w:hAnsi="Arial" w:cs="Arial"/>
          <w:b/>
          <w:sz w:val="22"/>
          <w:szCs w:val="22"/>
        </w:rPr>
      </w:pPr>
    </w:p>
    <w:p>
      <w:pPr>
        <w:spacing w:line="360" w:lineRule="auto"/>
        <w:rPr>
          <w:rFonts w:ascii="Arial" w:hAnsi="Arial" w:cs="Arial"/>
          <w:b/>
          <w:bCs/>
          <w:color w:val="auto"/>
          <w:sz w:val="22"/>
          <w:szCs w:val="22"/>
        </w:rPr>
      </w:pPr>
      <w:r>
        <w:rPr>
          <w:rFonts w:ascii="Arial" w:hAnsi="Arial" w:cs="Arial"/>
          <w:b/>
          <w:bCs/>
          <w:color w:val="auto"/>
          <w:sz w:val="22"/>
          <w:szCs w:val="22"/>
        </w:rPr>
        <w:t>The Details of outcome events</w:t>
      </w:r>
    </w:p>
    <w:p>
      <w:pPr>
        <w:spacing w:line="360" w:lineRule="auto"/>
        <w:rPr>
          <w:rFonts w:ascii="Arial" w:hAnsi="Arial" w:cs="Arial"/>
          <w:color w:val="auto"/>
          <w:sz w:val="22"/>
          <w:szCs w:val="22"/>
        </w:rPr>
      </w:pPr>
      <w:r>
        <w:rPr>
          <w:rFonts w:ascii="Arial" w:hAnsi="Arial" w:cs="Arial"/>
          <w:color w:val="auto"/>
          <w:sz w:val="22"/>
          <w:szCs w:val="22"/>
        </w:rPr>
        <w:t xml:space="preserve">In our study, CVD included two categories: CHD and stroke. </w:t>
      </w:r>
    </w:p>
    <w:p>
      <w:pPr>
        <w:spacing w:line="360" w:lineRule="auto"/>
        <w:rPr>
          <w:rFonts w:ascii="Arial" w:hAnsi="Arial" w:cs="Arial"/>
          <w:color w:val="auto"/>
          <w:sz w:val="22"/>
          <w:szCs w:val="22"/>
        </w:rPr>
      </w:pPr>
      <w:r>
        <w:rPr>
          <w:rFonts w:ascii="Arial" w:hAnsi="Arial" w:cs="Arial"/>
          <w:color w:val="auto"/>
          <w:sz w:val="22"/>
          <w:szCs w:val="22"/>
        </w:rPr>
        <w:t>CHD was defined as a fatal or nonfatal myocardial infarction, unstable anginal, coronary revascularization (coronary artery bypass grafting or percutaneous transluminal coronary angioplasty). Myocardial infarction diagnosis required an increase in cardiac enzymes with 1 of the following symptoms: ischemic chest pain, evolutionary ST-T segment changes, or new Q waves(1). The diagnosis of unstable angina requires hospitalization or outpatient follow-up, and according to Braunwald's diagnosis, must meets at least one of the following eligibility criteria:Occurring at rest or minimal exertion and usually lasting &gt; 20 min (if not interrupted with nitroglycerine administration); Being new-onset (within 1 month) and severe and described as frank pain Occurring with a crescendo pattern (more severe, prolonged, or frequent than before); in the absence of signs of ST-segment elevation myocardial infarction (STEMI) in left-sided, right-sided, and posterior ECG, and/or positive cardiac biomarkers.</w:t>
      </w:r>
    </w:p>
    <w:p>
      <w:pPr>
        <w:spacing w:line="360" w:lineRule="auto"/>
        <w:rPr>
          <w:rFonts w:ascii="Arial" w:hAnsi="Arial" w:cs="Arial"/>
          <w:color w:val="auto"/>
          <w:sz w:val="22"/>
          <w:szCs w:val="22"/>
        </w:rPr>
      </w:pPr>
      <w:r>
        <w:rPr>
          <w:rFonts w:ascii="Arial" w:hAnsi="Arial" w:cs="Arial"/>
          <w:color w:val="auto"/>
          <w:sz w:val="22"/>
          <w:szCs w:val="22"/>
        </w:rPr>
        <w:t>Stroke(ischemic and hemorrhagic strokes) was defined as a rapid or sudden onset fixed neurologic deficit of at least 24h or until death.</w:t>
      </w:r>
    </w:p>
    <w:p>
      <w:pPr>
        <w:spacing w:line="360" w:lineRule="auto"/>
        <w:rPr>
          <w:rFonts w:ascii="Arial" w:hAnsi="Arial" w:cs="Arial"/>
          <w:color w:val="auto"/>
          <w:sz w:val="22"/>
          <w:szCs w:val="22"/>
        </w:rPr>
      </w:pPr>
      <w:bookmarkStart w:id="2" w:name="OLE_LINK18"/>
      <w:r>
        <w:rPr>
          <w:rFonts w:ascii="Arial" w:hAnsi="Arial" w:cs="Arial"/>
          <w:color w:val="auto"/>
          <w:sz w:val="22"/>
          <w:szCs w:val="22"/>
        </w:rPr>
        <w:t>We have also added these detailed instructions in supplementary material.</w:t>
      </w:r>
    </w:p>
    <w:bookmarkEnd w:id="2"/>
    <w:p>
      <w:pPr>
        <w:pStyle w:val="10"/>
        <w:spacing w:after="0" w:line="360" w:lineRule="auto"/>
        <w:rPr>
          <w:rFonts w:ascii="Arial" w:hAnsi="Arial" w:cs="Arial"/>
          <w:sz w:val="22"/>
        </w:rPr>
      </w:pPr>
      <w:r>
        <w:rPr>
          <w:rFonts w:hint="eastAsia" w:ascii="Arial" w:hAnsi="Arial" w:cs="Arial"/>
          <w:sz w:val="22"/>
        </w:rPr>
        <w:t>[1]</w:t>
      </w:r>
      <w:r>
        <w:rPr>
          <w:rFonts w:ascii="Arial" w:hAnsi="Arial" w:cs="Arial"/>
          <w:sz w:val="22"/>
        </w:rPr>
        <w:t xml:space="preserve"> Myocardial infarction redefined--a consensus document of The Joint European Society of Cardiology/American College of Cardiology Committee for the redefinition of myocardial infarction.EUROPEAN HEART JOURNAL.2000;21 (18)：1502-13.</w:t>
      </w:r>
      <w:bookmarkEnd w:id="1"/>
    </w:p>
    <w:p>
      <w:pPr>
        <w:spacing w:line="360" w:lineRule="auto"/>
        <w:rPr>
          <w:rFonts w:ascii="Arial" w:hAnsi="Arial" w:cs="Arial"/>
          <w:color w:val="000000"/>
          <w:sz w:val="20"/>
          <w:szCs w:val="20"/>
        </w:rPr>
      </w:pPr>
    </w:p>
    <w:p>
      <w:pPr>
        <w:spacing w:line="360" w:lineRule="auto"/>
        <w:rPr>
          <w:rFonts w:ascii="Arial" w:hAnsi="Arial" w:cs="Arial"/>
          <w:color w:val="000000"/>
          <w:sz w:val="20"/>
          <w:szCs w:val="20"/>
        </w:rPr>
      </w:pPr>
    </w:p>
    <w:p>
      <w:pPr>
        <w:spacing w:line="360" w:lineRule="auto"/>
        <w:rPr>
          <w:rFonts w:ascii="Arial" w:hAnsi="Arial" w:cs="Arial"/>
          <w:color w:val="000000"/>
          <w:sz w:val="20"/>
          <w:szCs w:val="20"/>
        </w:rPr>
      </w:pPr>
    </w:p>
    <w:p>
      <w:pPr>
        <w:spacing w:line="360" w:lineRule="auto"/>
        <w:rPr>
          <w:rFonts w:ascii="Arial" w:hAnsi="Arial" w:cs="Arial"/>
          <w:color w:val="000000"/>
          <w:sz w:val="20"/>
          <w:szCs w:val="20"/>
        </w:rPr>
      </w:pPr>
    </w:p>
    <w:p>
      <w:pPr>
        <w:spacing w:line="360" w:lineRule="auto"/>
        <w:rPr>
          <w:rFonts w:ascii="Arial" w:hAnsi="Arial" w:cs="Arial"/>
          <w:color w:val="000000"/>
          <w:sz w:val="20"/>
          <w:szCs w:val="20"/>
        </w:rPr>
      </w:pPr>
    </w:p>
    <w:p>
      <w:pPr>
        <w:spacing w:line="360" w:lineRule="auto"/>
        <w:rPr>
          <w:rFonts w:ascii="Arial" w:hAnsi="Arial" w:cs="Arial"/>
          <w:color w:val="000000"/>
          <w:sz w:val="20"/>
          <w:szCs w:val="20"/>
        </w:rPr>
      </w:pPr>
    </w:p>
    <w:p>
      <w:pPr>
        <w:spacing w:line="360" w:lineRule="auto"/>
        <w:rPr>
          <w:rFonts w:ascii="Arial" w:hAnsi="Arial" w:cs="Arial"/>
          <w:color w:val="000000"/>
          <w:sz w:val="20"/>
          <w:szCs w:val="20"/>
        </w:rPr>
      </w:pPr>
    </w:p>
    <w:p>
      <w:pPr>
        <w:spacing w:line="360" w:lineRule="auto"/>
        <w:rPr>
          <w:rFonts w:ascii="Arial" w:hAnsi="Arial" w:cs="Arial"/>
          <w:color w:val="000000"/>
          <w:sz w:val="20"/>
          <w:szCs w:val="20"/>
        </w:rPr>
      </w:pPr>
    </w:p>
    <w:p>
      <w:pPr>
        <w:rPr>
          <w:rFonts w:ascii="Arial" w:hAnsi="Arial" w:eastAsia="宋体" w:cs="Arial"/>
          <w:bCs/>
          <w:color w:val="000000"/>
          <w:kern w:val="0"/>
          <w:sz w:val="20"/>
          <w:szCs w:val="20"/>
          <w:lang w:bidi="ar"/>
        </w:rPr>
      </w:pPr>
      <w:bookmarkStart w:id="3" w:name="OLE_LINK6"/>
      <w:r>
        <w:rPr>
          <w:rFonts w:ascii="Arial" w:hAnsi="Arial" w:eastAsia="宋体" w:cs="Arial"/>
          <w:b/>
          <w:kern w:val="0"/>
          <w:sz w:val="20"/>
          <w:szCs w:val="20"/>
        </w:rPr>
        <w:t xml:space="preserve">Supplemental </w:t>
      </w:r>
      <w:r>
        <w:rPr>
          <w:rFonts w:ascii="Arial" w:hAnsi="Arial" w:eastAsia="FZYaoTi" w:cs="Arial"/>
          <w:b/>
          <w:sz w:val="20"/>
          <w:szCs w:val="20"/>
        </w:rPr>
        <w:t>Table 1</w:t>
      </w:r>
      <w:r>
        <w:rPr>
          <w:rFonts w:ascii="Arial" w:hAnsi="Arial" w:eastAsia="宋体" w:cs="Arial"/>
          <w:b/>
          <w:color w:val="000000"/>
          <w:kern w:val="0"/>
          <w:sz w:val="20"/>
          <w:szCs w:val="20"/>
          <w:lang w:bidi="ar"/>
        </w:rPr>
        <w:t xml:space="preserve">. </w:t>
      </w:r>
      <w:bookmarkEnd w:id="3"/>
      <w:r>
        <w:rPr>
          <w:rFonts w:ascii="Arial" w:hAnsi="Arial" w:eastAsia="宋体" w:cs="Arial"/>
          <w:bCs/>
          <w:color w:val="000000"/>
          <w:kern w:val="0"/>
          <w:sz w:val="20"/>
          <w:szCs w:val="20"/>
          <w:lang w:bidi="ar"/>
        </w:rPr>
        <w:t>Collinearity diagnostics steps.</w:t>
      </w:r>
    </w:p>
    <w:tbl>
      <w:tblPr>
        <w:tblStyle w:val="6"/>
        <w:tblW w:w="6135" w:type="dxa"/>
        <w:jc w:val="center"/>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1815"/>
        <w:gridCol w:w="1995"/>
        <w:gridCol w:w="2325"/>
      </w:tblGrid>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1815" w:type="dxa"/>
            <w:tcBorders>
              <w:bottom w:val="single" w:color="000000" w:themeColor="text1" w:sz="12" w:space="0"/>
            </w:tcBorders>
            <w:shd w:val="clear" w:color="auto" w:fill="FFFFFF" w:themeFill="background1"/>
            <w:noWrap/>
            <w:vAlign w:val="center"/>
          </w:tcPr>
          <w:p>
            <w:pPr>
              <w:jc w:val="center"/>
              <w:rPr>
                <w:rFonts w:ascii="Arial" w:hAnsi="Arial" w:eastAsia="宋体" w:cs="Arial"/>
                <w:color w:val="000000"/>
                <w:sz w:val="22"/>
                <w:szCs w:val="22"/>
              </w:rPr>
            </w:pPr>
          </w:p>
        </w:tc>
        <w:tc>
          <w:tcPr>
            <w:tcW w:w="1995" w:type="dxa"/>
            <w:tcBorders>
              <w:bottom w:val="single" w:color="000000" w:themeColor="text1" w:sz="12" w:space="0"/>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Step 1</w:t>
            </w:r>
          </w:p>
        </w:tc>
        <w:tc>
          <w:tcPr>
            <w:tcW w:w="2325" w:type="dxa"/>
            <w:tcBorders>
              <w:bottom w:val="single" w:color="000000" w:themeColor="text1" w:sz="12" w:space="0"/>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Step 2</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0" w:type="auto"/>
            <w:tcBorders>
              <w:top w:val="single" w:color="000000" w:themeColor="text1" w:sz="12" w:space="0"/>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METS-IR</w:t>
            </w:r>
          </w:p>
        </w:tc>
        <w:tc>
          <w:tcPr>
            <w:tcW w:w="0" w:type="auto"/>
            <w:tcBorders>
              <w:top w:val="single" w:color="000000" w:themeColor="text1" w:sz="12" w:space="0"/>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20.3</w:t>
            </w:r>
          </w:p>
        </w:tc>
        <w:tc>
          <w:tcPr>
            <w:tcW w:w="0" w:type="auto"/>
            <w:tcBorders>
              <w:top w:val="single" w:color="000000" w:themeColor="text1" w:sz="12" w:space="0"/>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1.7</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Sex</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2.1</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2.1</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Age</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1.5</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1.5</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Diabetes</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1.7</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1.7</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Smoking status</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1.6</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1.6</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Drinking status</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1.5</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1.5</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BMI</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13.2</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NA</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SBP</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2.2</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2.2</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DBP</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2.4</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2.4</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3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eGFR</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1.3</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1.3</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Creatinine</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1.7</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1.7</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BUN</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1.3</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1.3</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TC</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1.9</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1.9</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TG</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3.0</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1.4</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HDL-C</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5.1</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NA</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LDL-C</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1.7</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1.7</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FPG</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2.1</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1.8</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AHI</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1.1</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1.1</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ACEIs/ARBs</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1.0</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1.0</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β-blockers</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1.0</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1.0</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CCBs</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1.0</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1.0</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Diuretics</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1.0</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1.0</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Aspirins</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1.0</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1.0</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Statins</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1.0</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1.0</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OSA therapy</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1.1</w:t>
            </w:r>
          </w:p>
        </w:tc>
        <w:tc>
          <w:tcPr>
            <w:tcW w:w="0" w:type="auto"/>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2"/>
                <w:szCs w:val="22"/>
              </w:rPr>
            </w:pPr>
            <w:r>
              <w:rPr>
                <w:rFonts w:ascii="Arial" w:hAnsi="Arial" w:eastAsia="宋体" w:cs="Arial"/>
                <w:color w:val="000000"/>
                <w:kern w:val="0"/>
                <w:sz w:val="22"/>
                <w:szCs w:val="22"/>
                <w:lang w:bidi="ar"/>
              </w:rPr>
              <w:t>1.1</w:t>
            </w:r>
          </w:p>
        </w:tc>
      </w:tr>
    </w:tbl>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VIF: variance inflation factors.</w:t>
      </w:r>
    </w:p>
    <w:p>
      <w:pP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VIF = 1/(1-R</w:t>
      </w:r>
      <w:r>
        <w:rPr>
          <w:rFonts w:ascii="Arial" w:hAnsi="Arial" w:eastAsia="宋体" w:cs="Arial"/>
          <w:bCs/>
          <w:color w:val="000000"/>
          <w:kern w:val="0"/>
          <w:sz w:val="20"/>
          <w:szCs w:val="20"/>
          <w:vertAlign w:val="superscript"/>
          <w:lang w:bidi="ar"/>
        </w:rPr>
        <w:t>2</w:t>
      </w:r>
      <w:r>
        <w:rPr>
          <w:rFonts w:ascii="Arial" w:hAnsi="Arial" w:eastAsia="宋体" w:cs="Arial"/>
          <w:bCs/>
          <w:color w:val="000000"/>
          <w:kern w:val="0"/>
          <w:sz w:val="20"/>
          <w:szCs w:val="20"/>
          <w:lang w:bidi="ar"/>
        </w:rPr>
        <w:t>). VIF step-by-step screening method: Calculate the VIF of each variable. If the maximum VIF value ≥5, remove the variable with the maximum VIF value.</w:t>
      </w: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auto"/>
          <w:kern w:val="0"/>
          <w:sz w:val="20"/>
          <w:szCs w:val="20"/>
          <w:lang w:bidi="ar"/>
        </w:rPr>
      </w:pPr>
    </w:p>
    <w:p>
      <w:pPr>
        <w:rPr>
          <w:rFonts w:ascii="Arial" w:hAnsi="Arial" w:eastAsia="宋体" w:cs="Arial"/>
          <w:bCs/>
          <w:color w:val="FF0000"/>
          <w:kern w:val="0"/>
          <w:sz w:val="20"/>
          <w:szCs w:val="20"/>
          <w:lang w:bidi="ar"/>
        </w:rPr>
      </w:pPr>
      <w:r>
        <w:rPr>
          <w:rFonts w:ascii="Arial" w:hAnsi="Arial" w:eastAsia="宋体" w:cs="Arial"/>
          <w:b/>
          <w:color w:val="auto"/>
          <w:kern w:val="0"/>
          <w:sz w:val="20"/>
          <w:szCs w:val="20"/>
        </w:rPr>
        <w:t xml:space="preserve">Supplemental </w:t>
      </w:r>
      <w:r>
        <w:rPr>
          <w:rFonts w:ascii="Arial" w:hAnsi="Arial" w:eastAsia="FZYaoTi" w:cs="Arial"/>
          <w:b/>
          <w:color w:val="auto"/>
          <w:sz w:val="20"/>
          <w:szCs w:val="20"/>
        </w:rPr>
        <w:t>Table 2</w:t>
      </w:r>
      <w:r>
        <w:rPr>
          <w:rFonts w:ascii="Arial" w:hAnsi="Arial" w:eastAsia="宋体" w:cs="Arial"/>
          <w:b/>
          <w:color w:val="auto"/>
          <w:kern w:val="0"/>
          <w:sz w:val="20"/>
          <w:szCs w:val="20"/>
          <w:lang w:bidi="ar"/>
        </w:rPr>
        <w:t xml:space="preserve">. </w:t>
      </w:r>
      <w:r>
        <w:rPr>
          <w:rFonts w:ascii="Arial" w:hAnsi="Arial" w:eastAsia="宋体" w:cs="Arial"/>
          <w:bCs/>
          <w:color w:val="auto"/>
          <w:kern w:val="0"/>
          <w:sz w:val="20"/>
          <w:szCs w:val="20"/>
          <w:lang w:bidi="ar"/>
        </w:rPr>
        <w:t>Hazard ratio (95% CI) of cardiovascular disease, coronary heart disease, and stroke according to quartiles of METS-IR.</w:t>
      </w:r>
    </w:p>
    <w:tbl>
      <w:tblPr>
        <w:tblStyle w:val="6"/>
        <w:tblW w:w="5034" w:type="pct"/>
        <w:jc w:val="center"/>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2682"/>
        <w:gridCol w:w="1966"/>
        <w:gridCol w:w="1966"/>
        <w:gridCol w:w="1966"/>
      </w:tblGrid>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5" w:hRule="atLeast"/>
          <w:jc w:val="center"/>
        </w:trPr>
        <w:tc>
          <w:tcPr>
            <w:tcW w:w="1563" w:type="pct"/>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Exposure</w:t>
            </w:r>
          </w:p>
        </w:tc>
        <w:tc>
          <w:tcPr>
            <w:tcW w:w="1145" w:type="pct"/>
            <w:shd w:val="clear" w:color="auto" w:fill="FFFFFF" w:themeFill="background1"/>
            <w:noWrap/>
            <w:vAlign w:val="center"/>
          </w:tcPr>
          <w:p>
            <w:pPr>
              <w:jc w:val="center"/>
              <w:rPr>
                <w:rFonts w:ascii="Arial" w:hAnsi="Arial" w:eastAsia="宋体" w:cs="Arial"/>
                <w:color w:val="000000"/>
                <w:sz w:val="20"/>
                <w:szCs w:val="20"/>
              </w:rPr>
            </w:pPr>
            <w:r>
              <w:rPr>
                <w:rFonts w:ascii="Arial" w:hAnsi="Arial" w:eastAsia="宋体" w:cs="Arial"/>
                <w:color w:val="000000"/>
                <w:kern w:val="0"/>
                <w:sz w:val="20"/>
                <w:szCs w:val="20"/>
                <w:lang w:bidi="ar"/>
              </w:rPr>
              <w:t>Model 1</w:t>
            </w:r>
          </w:p>
        </w:tc>
        <w:tc>
          <w:tcPr>
            <w:tcW w:w="1145" w:type="pct"/>
            <w:shd w:val="clear" w:color="auto" w:fill="FFFFFF" w:themeFill="background1"/>
            <w:noWrap/>
            <w:vAlign w:val="center"/>
          </w:tcPr>
          <w:p>
            <w:pPr>
              <w:jc w:val="center"/>
              <w:rPr>
                <w:rFonts w:ascii="Arial" w:hAnsi="Arial" w:eastAsia="宋体" w:cs="Arial"/>
                <w:color w:val="000000"/>
                <w:sz w:val="20"/>
                <w:szCs w:val="20"/>
              </w:rPr>
            </w:pPr>
            <w:r>
              <w:rPr>
                <w:rFonts w:ascii="Arial" w:hAnsi="Arial" w:eastAsia="宋体" w:cs="Arial"/>
                <w:color w:val="000000"/>
                <w:kern w:val="0"/>
                <w:sz w:val="20"/>
                <w:szCs w:val="20"/>
                <w:lang w:bidi="ar"/>
              </w:rPr>
              <w:t>Model 2</w:t>
            </w:r>
          </w:p>
        </w:tc>
        <w:tc>
          <w:tcPr>
            <w:tcW w:w="1145" w:type="pct"/>
            <w:shd w:val="clear" w:color="auto" w:fill="FFFFFF" w:themeFill="background1"/>
            <w:noWrap/>
            <w:vAlign w:val="center"/>
          </w:tcPr>
          <w:p>
            <w:pPr>
              <w:jc w:val="center"/>
              <w:rPr>
                <w:rFonts w:ascii="Arial" w:hAnsi="Arial" w:eastAsia="宋体" w:cs="Arial"/>
                <w:color w:val="000000"/>
                <w:sz w:val="20"/>
                <w:szCs w:val="20"/>
              </w:rPr>
            </w:pPr>
            <w:r>
              <w:rPr>
                <w:rFonts w:ascii="Arial" w:hAnsi="Arial" w:eastAsia="宋体" w:cs="Arial"/>
                <w:color w:val="000000"/>
                <w:kern w:val="0"/>
                <w:sz w:val="20"/>
                <w:szCs w:val="20"/>
                <w:lang w:bidi="ar"/>
              </w:rPr>
              <w:t>Model 3</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2" w:hRule="atLeast"/>
          <w:jc w:val="center"/>
        </w:trPr>
        <w:tc>
          <w:tcPr>
            <w:tcW w:w="1563" w:type="pct"/>
            <w:tcBorders>
              <w:bottom w:val="single" w:color="000000" w:themeColor="text1" w:sz="12" w:space="0"/>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Quartiles of METS-IR</w:t>
            </w:r>
          </w:p>
        </w:tc>
        <w:tc>
          <w:tcPr>
            <w:tcW w:w="1145" w:type="pct"/>
            <w:tcBorders>
              <w:bottom w:val="single" w:color="000000" w:themeColor="text1" w:sz="12" w:space="0"/>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(HR, 95% CI)</w:t>
            </w:r>
          </w:p>
        </w:tc>
        <w:tc>
          <w:tcPr>
            <w:tcW w:w="1145" w:type="pct"/>
            <w:tcBorders>
              <w:bottom w:val="single" w:color="000000" w:themeColor="text1" w:sz="12" w:space="0"/>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(HR, 95% CI)</w:t>
            </w:r>
          </w:p>
        </w:tc>
        <w:tc>
          <w:tcPr>
            <w:tcW w:w="1145" w:type="pct"/>
            <w:tcBorders>
              <w:bottom w:val="single" w:color="000000" w:themeColor="text1" w:sz="12" w:space="0"/>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(HR, 95% CI)</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2" w:hRule="atLeast"/>
          <w:jc w:val="center"/>
        </w:trPr>
        <w:tc>
          <w:tcPr>
            <w:tcW w:w="1563" w:type="pct"/>
            <w:tcBorders>
              <w:top w:val="single" w:color="000000" w:themeColor="text1" w:sz="12" w:space="0"/>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Cardiovascular disease</w:t>
            </w:r>
          </w:p>
        </w:tc>
        <w:tc>
          <w:tcPr>
            <w:tcW w:w="1145" w:type="pct"/>
            <w:tcBorders>
              <w:top w:val="single" w:color="000000" w:themeColor="text1" w:sz="12" w:space="0"/>
              <w:tl2br w:val="nil"/>
              <w:tr2bl w:val="nil"/>
            </w:tcBorders>
            <w:shd w:val="clear" w:color="auto" w:fill="FFFFFF" w:themeFill="background1"/>
            <w:noWrap/>
            <w:vAlign w:val="center"/>
          </w:tcPr>
          <w:p>
            <w:pPr>
              <w:jc w:val="center"/>
              <w:rPr>
                <w:rFonts w:ascii="Arial" w:hAnsi="Arial" w:eastAsia="宋体" w:cs="Arial"/>
                <w:color w:val="000000"/>
                <w:sz w:val="20"/>
                <w:szCs w:val="20"/>
              </w:rPr>
            </w:pPr>
          </w:p>
        </w:tc>
        <w:tc>
          <w:tcPr>
            <w:tcW w:w="1145" w:type="pct"/>
            <w:tcBorders>
              <w:top w:val="single" w:color="000000" w:themeColor="text1" w:sz="12" w:space="0"/>
              <w:tl2br w:val="nil"/>
              <w:tr2bl w:val="nil"/>
            </w:tcBorders>
            <w:shd w:val="clear" w:color="auto" w:fill="FFFFFF" w:themeFill="background1"/>
            <w:noWrap/>
            <w:vAlign w:val="center"/>
          </w:tcPr>
          <w:p>
            <w:pPr>
              <w:jc w:val="center"/>
              <w:rPr>
                <w:rFonts w:ascii="Arial" w:hAnsi="Arial" w:eastAsia="宋体" w:cs="Arial"/>
                <w:color w:val="000000"/>
                <w:sz w:val="20"/>
                <w:szCs w:val="20"/>
              </w:rPr>
            </w:pPr>
          </w:p>
        </w:tc>
        <w:tc>
          <w:tcPr>
            <w:tcW w:w="1145" w:type="pct"/>
            <w:tcBorders>
              <w:top w:val="single" w:color="000000" w:themeColor="text1" w:sz="12" w:space="0"/>
              <w:tl2br w:val="nil"/>
              <w:tr2bl w:val="nil"/>
            </w:tcBorders>
            <w:shd w:val="clear" w:color="auto" w:fill="FFFFFF" w:themeFill="background1"/>
            <w:noWrap/>
            <w:vAlign w:val="center"/>
          </w:tcPr>
          <w:p>
            <w:pPr>
              <w:jc w:val="center"/>
              <w:rPr>
                <w:rFonts w:ascii="Arial" w:hAnsi="Arial" w:eastAsia="宋体" w:cs="Arial"/>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5" w:hRule="atLeast"/>
          <w:jc w:val="center"/>
        </w:trPr>
        <w:tc>
          <w:tcPr>
            <w:tcW w:w="1563"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Q1</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Reference</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Reference</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2" w:hRule="atLeast"/>
          <w:jc w:val="center"/>
        </w:trPr>
        <w:tc>
          <w:tcPr>
            <w:tcW w:w="1563"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Q2</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1.09 (0.74, 1.61)</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1.10 (0.74, 1.63)</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1.00 (0.68, 1.47)</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2" w:hRule="atLeast"/>
          <w:jc w:val="center"/>
        </w:trPr>
        <w:tc>
          <w:tcPr>
            <w:tcW w:w="1563"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Q3</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1.57 (1.10, 2.26)</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1.52 (1.06, 2.18)</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1.50 (1.05, 2.14)</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2" w:hRule="atLeast"/>
          <w:jc w:val="center"/>
        </w:trPr>
        <w:tc>
          <w:tcPr>
            <w:tcW w:w="1563"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Q4</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2.09 (1.47, 2.98)</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2.06 (1.44, 2.96)</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1.87 (1.33, 2.62)</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2" w:hRule="atLeast"/>
          <w:jc w:val="center"/>
        </w:trPr>
        <w:tc>
          <w:tcPr>
            <w:tcW w:w="1563"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Coronary heart disease</w:t>
            </w:r>
          </w:p>
        </w:tc>
        <w:tc>
          <w:tcPr>
            <w:tcW w:w="1145" w:type="pct"/>
            <w:tcBorders>
              <w:tl2br w:val="nil"/>
              <w:tr2bl w:val="nil"/>
            </w:tcBorders>
            <w:shd w:val="clear" w:color="auto" w:fill="FFFFFF" w:themeFill="background1"/>
            <w:noWrap/>
            <w:vAlign w:val="center"/>
          </w:tcPr>
          <w:p>
            <w:pPr>
              <w:jc w:val="center"/>
              <w:rPr>
                <w:rFonts w:ascii="Arial" w:hAnsi="Arial" w:eastAsia="宋体" w:cs="Arial"/>
                <w:color w:val="000000"/>
                <w:sz w:val="20"/>
                <w:szCs w:val="20"/>
              </w:rPr>
            </w:pPr>
          </w:p>
        </w:tc>
        <w:tc>
          <w:tcPr>
            <w:tcW w:w="1145" w:type="pct"/>
            <w:tcBorders>
              <w:tl2br w:val="nil"/>
              <w:tr2bl w:val="nil"/>
            </w:tcBorders>
            <w:shd w:val="clear" w:color="auto" w:fill="FFFFFF" w:themeFill="background1"/>
            <w:noWrap/>
            <w:vAlign w:val="center"/>
          </w:tcPr>
          <w:p>
            <w:pPr>
              <w:jc w:val="center"/>
              <w:rPr>
                <w:rFonts w:ascii="Arial" w:hAnsi="Arial" w:eastAsia="宋体" w:cs="Arial"/>
                <w:color w:val="000000"/>
                <w:sz w:val="20"/>
                <w:szCs w:val="20"/>
              </w:rPr>
            </w:pPr>
          </w:p>
        </w:tc>
        <w:tc>
          <w:tcPr>
            <w:tcW w:w="1145" w:type="pct"/>
            <w:tcBorders>
              <w:tl2br w:val="nil"/>
              <w:tr2bl w:val="nil"/>
            </w:tcBorders>
            <w:shd w:val="clear" w:color="auto" w:fill="FFFFFF" w:themeFill="background1"/>
            <w:noWrap/>
            <w:vAlign w:val="center"/>
          </w:tcPr>
          <w:p>
            <w:pPr>
              <w:jc w:val="center"/>
              <w:rPr>
                <w:rFonts w:ascii="Arial" w:hAnsi="Arial" w:eastAsia="宋体" w:cs="Arial"/>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5" w:hRule="atLeast"/>
          <w:jc w:val="center"/>
        </w:trPr>
        <w:tc>
          <w:tcPr>
            <w:tcW w:w="1563"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Q1</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Reference</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Reference</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2" w:hRule="atLeast"/>
          <w:jc w:val="center"/>
        </w:trPr>
        <w:tc>
          <w:tcPr>
            <w:tcW w:w="1563"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Q2</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1.22 (0.74, 2.01)</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1.22 (0.74, 2.02)</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1.14 (0.70, 1.86)</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2" w:hRule="atLeast"/>
          <w:jc w:val="center"/>
        </w:trPr>
        <w:tc>
          <w:tcPr>
            <w:tcW w:w="1563"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Q3</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1.75 (1.10, 2.79)</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1.63 (1.02, 2.60)</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1.69 (1.07, 2.66)</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2" w:hRule="atLeast"/>
          <w:jc w:val="center"/>
        </w:trPr>
        <w:tc>
          <w:tcPr>
            <w:tcW w:w="1563"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Q4</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2.33 (1.47, 3.69)</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2.23 (1.40, 3.56)</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2.08 (1.34, 3.22)</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5" w:hRule="atLeast"/>
          <w:jc w:val="center"/>
        </w:trPr>
        <w:tc>
          <w:tcPr>
            <w:tcW w:w="1563"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Stroke</w:t>
            </w:r>
          </w:p>
        </w:tc>
        <w:tc>
          <w:tcPr>
            <w:tcW w:w="1145" w:type="pct"/>
            <w:tcBorders>
              <w:tl2br w:val="nil"/>
              <w:tr2bl w:val="nil"/>
            </w:tcBorders>
            <w:shd w:val="clear" w:color="auto" w:fill="FFFFFF" w:themeFill="background1"/>
            <w:noWrap/>
            <w:vAlign w:val="center"/>
          </w:tcPr>
          <w:p>
            <w:pPr>
              <w:jc w:val="center"/>
              <w:rPr>
                <w:rFonts w:ascii="Arial" w:hAnsi="Arial" w:eastAsia="宋体" w:cs="Arial"/>
                <w:color w:val="000000"/>
                <w:sz w:val="20"/>
                <w:szCs w:val="20"/>
              </w:rPr>
            </w:pPr>
          </w:p>
        </w:tc>
        <w:tc>
          <w:tcPr>
            <w:tcW w:w="1145" w:type="pct"/>
            <w:tcBorders>
              <w:tl2br w:val="nil"/>
              <w:tr2bl w:val="nil"/>
            </w:tcBorders>
            <w:shd w:val="clear" w:color="auto" w:fill="FFFFFF" w:themeFill="background1"/>
            <w:noWrap/>
            <w:vAlign w:val="center"/>
          </w:tcPr>
          <w:p>
            <w:pPr>
              <w:jc w:val="center"/>
              <w:rPr>
                <w:rFonts w:ascii="Arial" w:hAnsi="Arial" w:eastAsia="宋体" w:cs="Arial"/>
                <w:color w:val="000000"/>
                <w:sz w:val="20"/>
                <w:szCs w:val="20"/>
              </w:rPr>
            </w:pPr>
          </w:p>
        </w:tc>
        <w:tc>
          <w:tcPr>
            <w:tcW w:w="1145" w:type="pct"/>
            <w:tcBorders>
              <w:tl2br w:val="nil"/>
              <w:tr2bl w:val="nil"/>
            </w:tcBorders>
            <w:shd w:val="clear" w:color="auto" w:fill="FFFFFF" w:themeFill="background1"/>
            <w:noWrap/>
            <w:vAlign w:val="center"/>
          </w:tcPr>
          <w:p>
            <w:pPr>
              <w:jc w:val="center"/>
              <w:rPr>
                <w:rFonts w:ascii="Arial" w:hAnsi="Arial" w:eastAsia="宋体" w:cs="Arial"/>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5" w:hRule="atLeast"/>
          <w:jc w:val="center"/>
        </w:trPr>
        <w:tc>
          <w:tcPr>
            <w:tcW w:w="1563"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Q1</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Reference</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Reference</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2" w:hRule="atLeast"/>
          <w:jc w:val="center"/>
        </w:trPr>
        <w:tc>
          <w:tcPr>
            <w:tcW w:w="1563"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Q2</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0.90 (0.48, 1.70)</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0.94 (0.50, 1.77)</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0.82 (0.44, 1.52)</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2" w:hRule="atLeast"/>
          <w:jc w:val="center"/>
        </w:trPr>
        <w:tc>
          <w:tcPr>
            <w:tcW w:w="1563"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Q3</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1.35 (0.76, 2.40)</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1.37 (0.77, 2.45)</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1.25 (0.71, 2.21)</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2" w:hRule="atLeast"/>
          <w:jc w:val="center"/>
        </w:trPr>
        <w:tc>
          <w:tcPr>
            <w:tcW w:w="1563"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Q4</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1.83 (1.04, 3.20)</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1.89 (1.07, 3.34)</w:t>
            </w:r>
          </w:p>
        </w:tc>
        <w:tc>
          <w:tcPr>
            <w:tcW w:w="1145"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1.59 (0.93, 2.71)</w:t>
            </w:r>
          </w:p>
        </w:tc>
      </w:tr>
    </w:tbl>
    <w:p>
      <w:pPr>
        <w:widowControl/>
        <w:textAlignment w:val="cente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Model 1: adjusted for age and sex.</w:t>
      </w:r>
    </w:p>
    <w:p>
      <w:pPr>
        <w:widowControl/>
        <w:textAlignment w:val="cente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Model 2: adjusted for variables in model 1 plus drinking status, history of diabetes, smoking status, DBP, and SBP.</w:t>
      </w:r>
    </w:p>
    <w:p>
      <w:pPr>
        <w:widowControl/>
        <w:textAlignment w:val="cente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Model 3: adjusted for variables in model 2 plus eGFR, TC, LDL-C, FPG, AHI, ACEIs/ARBs, β-Blockers, CCBs, diuretics,and OSA therapy.</w:t>
      </w:r>
    </w:p>
    <w:p>
      <w:pP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HR, hazard ratio; CI, confidence interval</w:t>
      </w:r>
      <w:r>
        <w:rPr>
          <w:rFonts w:hint="eastAsia" w:ascii="Arial" w:hAnsi="Arial" w:eastAsia="宋体" w:cs="Arial"/>
          <w:bCs/>
          <w:color w:val="000000"/>
          <w:kern w:val="0"/>
          <w:sz w:val="20"/>
          <w:szCs w:val="20"/>
          <w:lang w:val="en-US" w:eastAsia="zh-CN" w:bidi="ar"/>
        </w:rPr>
        <w:t xml:space="preserve">; </w:t>
      </w:r>
      <w:r>
        <w:rPr>
          <w:rFonts w:ascii="Arial" w:hAnsi="Arial" w:eastAsia="仿宋" w:cs="Arial"/>
          <w:color w:val="000000"/>
          <w:kern w:val="0"/>
          <w:sz w:val="20"/>
          <w:szCs w:val="20"/>
          <w:lang w:bidi="ar"/>
        </w:rPr>
        <w:t>METS-IR, metabolic score for insulin resistance.</w:t>
      </w: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auto"/>
          <w:kern w:val="0"/>
          <w:sz w:val="20"/>
          <w:szCs w:val="20"/>
          <w:lang w:bidi="ar"/>
        </w:rPr>
      </w:pPr>
      <w:r>
        <w:rPr>
          <w:rFonts w:ascii="Arial" w:hAnsi="Arial" w:eastAsia="宋体" w:cs="Arial"/>
          <w:b/>
          <w:color w:val="auto"/>
          <w:kern w:val="0"/>
          <w:sz w:val="20"/>
          <w:szCs w:val="20"/>
        </w:rPr>
        <w:t xml:space="preserve">Supplemental </w:t>
      </w:r>
      <w:r>
        <w:rPr>
          <w:rFonts w:ascii="Arial" w:hAnsi="Arial" w:eastAsia="FZYaoTi" w:cs="Arial"/>
          <w:b/>
          <w:color w:val="auto"/>
          <w:sz w:val="20"/>
          <w:szCs w:val="20"/>
        </w:rPr>
        <w:t>Table 3</w:t>
      </w:r>
      <w:r>
        <w:rPr>
          <w:rFonts w:ascii="Arial" w:hAnsi="Arial" w:eastAsia="宋体" w:cs="Arial"/>
          <w:b/>
          <w:color w:val="auto"/>
          <w:kern w:val="0"/>
          <w:sz w:val="20"/>
          <w:szCs w:val="20"/>
          <w:lang w:bidi="ar"/>
        </w:rPr>
        <w:t xml:space="preserve">. </w:t>
      </w:r>
      <w:r>
        <w:rPr>
          <w:rFonts w:ascii="Arial" w:hAnsi="Arial" w:eastAsia="宋体" w:cs="Arial"/>
          <w:bCs/>
          <w:color w:val="auto"/>
          <w:kern w:val="0"/>
          <w:sz w:val="20"/>
          <w:szCs w:val="20"/>
          <w:lang w:bidi="ar"/>
        </w:rPr>
        <w:t>Hazard ratios (95% CI) for cardiovascular disease, coronary heart disease, and stroke stratified by METS-IR, excluding current smokers.</w:t>
      </w:r>
    </w:p>
    <w:tbl>
      <w:tblPr>
        <w:tblStyle w:val="6"/>
        <w:tblW w:w="7347" w:type="dxa"/>
        <w:jc w:val="center"/>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2295"/>
        <w:gridCol w:w="1684"/>
        <w:gridCol w:w="1684"/>
        <w:gridCol w:w="1684"/>
      </w:tblGrid>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51" w:hRule="atLeast"/>
          <w:jc w:val="center"/>
        </w:trPr>
        <w:tc>
          <w:tcPr>
            <w:tcW w:w="2295" w:type="dxa"/>
            <w:vMerge w:val="restar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auto"/>
                <w:sz w:val="20"/>
                <w:szCs w:val="20"/>
              </w:rPr>
            </w:pPr>
            <w:r>
              <w:rPr>
                <w:rFonts w:ascii="Arial" w:hAnsi="Arial" w:eastAsia="宋体" w:cs="Arial"/>
                <w:bCs/>
                <w:color w:val="auto"/>
                <w:kern w:val="0"/>
                <w:sz w:val="20"/>
                <w:szCs w:val="20"/>
                <w:lang w:bidi="ar"/>
              </w:rPr>
              <w:t>Exposure</w:t>
            </w: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auto"/>
                <w:sz w:val="20"/>
                <w:szCs w:val="20"/>
              </w:rPr>
            </w:pPr>
            <w:r>
              <w:rPr>
                <w:rFonts w:ascii="Arial" w:hAnsi="Arial" w:eastAsia="宋体" w:cs="Arial"/>
                <w:bCs/>
                <w:color w:val="auto"/>
                <w:kern w:val="0"/>
                <w:sz w:val="20"/>
                <w:szCs w:val="20"/>
                <w:lang w:bidi="ar"/>
              </w:rPr>
              <w:t>Model 1</w:t>
            </w: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auto"/>
                <w:sz w:val="20"/>
                <w:szCs w:val="20"/>
              </w:rPr>
            </w:pPr>
            <w:r>
              <w:rPr>
                <w:rFonts w:ascii="Arial" w:hAnsi="Arial" w:eastAsia="宋体" w:cs="Arial"/>
                <w:bCs/>
                <w:color w:val="auto"/>
                <w:kern w:val="0"/>
                <w:sz w:val="20"/>
                <w:szCs w:val="20"/>
                <w:lang w:bidi="ar"/>
              </w:rPr>
              <w:t>Model 2</w:t>
            </w: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auto"/>
                <w:sz w:val="20"/>
                <w:szCs w:val="20"/>
              </w:rPr>
            </w:pPr>
            <w:r>
              <w:rPr>
                <w:rFonts w:ascii="Arial" w:hAnsi="Arial" w:eastAsia="宋体" w:cs="Arial"/>
                <w:bCs/>
                <w:color w:val="auto"/>
                <w:kern w:val="0"/>
                <w:sz w:val="20"/>
                <w:szCs w:val="20"/>
                <w:lang w:bidi="ar"/>
              </w:rPr>
              <w:t>Model 3</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jc w:val="center"/>
        </w:trPr>
        <w:tc>
          <w:tcPr>
            <w:tcW w:w="2295" w:type="dxa"/>
            <w:vMerge w:val="continue"/>
            <w:tcBorders>
              <w:bottom w:val="single" w:color="auto" w:sz="12" w:space="0"/>
            </w:tcBorders>
            <w:shd w:val="clear" w:color="auto" w:fill="FFFFFF" w:themeFill="background1"/>
            <w:noWrap/>
            <w:vAlign w:val="center"/>
          </w:tcPr>
          <w:p>
            <w:pPr>
              <w:jc w:val="center"/>
              <w:rPr>
                <w:rFonts w:ascii="Arial" w:hAnsi="Arial" w:eastAsia="宋体" w:cs="Arial"/>
                <w:bCs/>
                <w:color w:val="000000"/>
                <w:sz w:val="20"/>
                <w:szCs w:val="20"/>
              </w:rPr>
            </w:pPr>
          </w:p>
        </w:tc>
        <w:tc>
          <w:tcPr>
            <w:tcW w:w="1684" w:type="dxa"/>
            <w:tcBorders>
              <w:bottom w:val="single" w:color="auto" w:sz="12" w:space="0"/>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(HR, 95% CI)</w:t>
            </w:r>
          </w:p>
        </w:tc>
        <w:tc>
          <w:tcPr>
            <w:tcW w:w="1684" w:type="dxa"/>
            <w:tcBorders>
              <w:bottom w:val="single" w:color="auto" w:sz="12" w:space="0"/>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(HR, 95% CI)</w:t>
            </w:r>
          </w:p>
        </w:tc>
        <w:tc>
          <w:tcPr>
            <w:tcW w:w="1684" w:type="dxa"/>
            <w:tcBorders>
              <w:bottom w:val="single" w:color="auto" w:sz="12" w:space="0"/>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(HR, 95% CI)</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jc w:val="center"/>
        </w:trPr>
        <w:tc>
          <w:tcPr>
            <w:tcW w:w="2295" w:type="dxa"/>
            <w:tcBorders>
              <w:top w:val="single" w:color="auto" w:sz="12" w:space="0"/>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Cardiovascular disease</w:t>
            </w:r>
          </w:p>
        </w:tc>
        <w:tc>
          <w:tcPr>
            <w:tcW w:w="1684" w:type="dxa"/>
            <w:tcBorders>
              <w:top w:val="single" w:color="auto" w:sz="12" w:space="0"/>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684" w:type="dxa"/>
            <w:tcBorders>
              <w:top w:val="single" w:color="auto" w:sz="12" w:space="0"/>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684" w:type="dxa"/>
            <w:tcBorders>
              <w:top w:val="single" w:color="auto" w:sz="12" w:space="0"/>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Per SD increment</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1.36 (1.17, 1.58)</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1.38 (1.18, 1.61)</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1.32 (1.14, 1.53)</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55"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Tertiles</w:t>
            </w: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55"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T2</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1.75 (1.17, 2.63)</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1.75 (1.16, 2.62)</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1.64 (1.10, 2.44)</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2.43 (1.64, 3.59)</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2.48 (1.67, 3.69)</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2.21 (1.52, 3.22)</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55"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Categories</w:t>
            </w: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55"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T1-2</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1.82 (1.33, 2.48)</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1.86 (1.36, 2.55)</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1.72 (1.28, 2.33)</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Coronary heart disease</w:t>
            </w: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Per SD increment</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1.36 (1.12, 1.66)</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1.37 (1.12, 1.68)</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1.34 (1.11, 1.62)</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51"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Tertiles</w:t>
            </w: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51"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T2</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1.54 (0.91, 2.62)</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1.52 (0.90, 2.59)</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1.46 (0.87, 2.47)</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2.28 (1.38, 3.78)</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2.27 (1.36, 3.78)</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2.10 (1.30, 3.41)</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51"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Categories</w:t>
            </w: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T1-2</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1.84 (1.22, 2.76)</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1.84 (1.21, 2.79)</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1.74 (1.18, 2.58)</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Stroke</w:t>
            </w: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Per SD increment</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1.37 (1.08, 1.73)</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1.41 (1.12, 1.79)</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1.30 (1.04, 1.63)</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Tertiles</w:t>
            </w: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51"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T2</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2.10 (1.11, 3.97)</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2.15 (1.13, 4.08)</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1.92 (1.02, 3.59)</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2.72 (1.46, 5.08)</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2.96 (1.58, 5.55)</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2.39 (1.31, 4.37)</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51"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Categories</w:t>
            </w: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68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51"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T1-2</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jc w:val="center"/>
        </w:trPr>
        <w:tc>
          <w:tcPr>
            <w:tcW w:w="2295"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1.83 (1.13, 2.96)</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1.96 (1.21, 3.18)</w:t>
            </w:r>
          </w:p>
        </w:tc>
        <w:tc>
          <w:tcPr>
            <w:tcW w:w="168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1.69 (1.06, 2.70)</w:t>
            </w:r>
          </w:p>
        </w:tc>
      </w:tr>
    </w:tbl>
    <w:p>
      <w:pPr>
        <w:widowControl/>
        <w:textAlignment w:val="cente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Model 1: adjusted for age and sex.</w:t>
      </w:r>
    </w:p>
    <w:p>
      <w:pPr>
        <w:widowControl/>
        <w:textAlignment w:val="cente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Model 2: adjusted for variables in model 1 plus drinking status, history of diabetes, DBP, and SBP.</w:t>
      </w:r>
    </w:p>
    <w:p>
      <w:pPr>
        <w:widowControl/>
        <w:textAlignment w:val="cente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Model 3: adjusted for variables in model 2 plus eGFR, TC, LDL-C, FPG, AHI, ACEIs/ARBs, β-Blockers, CCBs, diuretics,and OSA therapy.</w:t>
      </w:r>
    </w:p>
    <w:p>
      <w:pP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HR, hazard ratio; CI, confidence interval</w:t>
      </w:r>
      <w:r>
        <w:rPr>
          <w:rFonts w:hint="eastAsia" w:ascii="Arial" w:hAnsi="Arial" w:eastAsia="宋体" w:cs="Arial"/>
          <w:bCs/>
          <w:color w:val="000000"/>
          <w:kern w:val="0"/>
          <w:sz w:val="20"/>
          <w:szCs w:val="20"/>
          <w:lang w:val="en-US" w:eastAsia="zh-CN" w:bidi="ar"/>
        </w:rPr>
        <w:t xml:space="preserve">; </w:t>
      </w:r>
      <w:r>
        <w:rPr>
          <w:rFonts w:ascii="Arial" w:hAnsi="Arial" w:eastAsia="仿宋" w:cs="Arial"/>
          <w:color w:val="000000"/>
          <w:kern w:val="0"/>
          <w:sz w:val="20"/>
          <w:szCs w:val="20"/>
          <w:lang w:bidi="ar"/>
        </w:rPr>
        <w:t>METS-IR, metabolic score for insulin resistance.</w:t>
      </w: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auto"/>
          <w:kern w:val="0"/>
          <w:sz w:val="20"/>
          <w:szCs w:val="20"/>
          <w:lang w:bidi="ar"/>
        </w:rPr>
      </w:pPr>
      <w:bookmarkStart w:id="4" w:name="OLE_LINK3"/>
      <w:r>
        <w:rPr>
          <w:rFonts w:ascii="Arial" w:hAnsi="Arial" w:eastAsia="宋体" w:cs="Arial"/>
          <w:b/>
          <w:color w:val="auto"/>
          <w:kern w:val="0"/>
          <w:sz w:val="20"/>
          <w:szCs w:val="20"/>
        </w:rPr>
        <w:t xml:space="preserve">Supplemental </w:t>
      </w:r>
      <w:r>
        <w:rPr>
          <w:rFonts w:ascii="Arial" w:hAnsi="Arial" w:eastAsia="FZYaoTi" w:cs="Arial"/>
          <w:b/>
          <w:color w:val="auto"/>
          <w:sz w:val="20"/>
          <w:szCs w:val="20"/>
        </w:rPr>
        <w:t>Table 4</w:t>
      </w:r>
      <w:r>
        <w:rPr>
          <w:rFonts w:ascii="Arial" w:hAnsi="Arial" w:eastAsia="宋体" w:cs="Arial"/>
          <w:b/>
          <w:color w:val="auto"/>
          <w:kern w:val="0"/>
          <w:sz w:val="20"/>
          <w:szCs w:val="20"/>
          <w:lang w:bidi="ar"/>
        </w:rPr>
        <w:t xml:space="preserve">. </w:t>
      </w:r>
      <w:r>
        <w:rPr>
          <w:rFonts w:ascii="Arial" w:hAnsi="Arial" w:eastAsia="宋体" w:cs="Arial"/>
          <w:bCs/>
          <w:color w:val="auto"/>
          <w:kern w:val="0"/>
          <w:sz w:val="20"/>
          <w:szCs w:val="20"/>
          <w:lang w:bidi="ar"/>
        </w:rPr>
        <w:t>Hazard ratios (95% CI) for cardiovascular disease, coronary heart disease, and stroke stratified by METS-IR, excluding current drinkers.</w:t>
      </w:r>
    </w:p>
    <w:bookmarkEnd w:id="4"/>
    <w:tbl>
      <w:tblPr>
        <w:tblStyle w:val="6"/>
        <w:tblW w:w="7986" w:type="dxa"/>
        <w:jc w:val="center"/>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2426"/>
        <w:gridCol w:w="1732"/>
        <w:gridCol w:w="1914"/>
        <w:gridCol w:w="1914"/>
      </w:tblGrid>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0" w:hRule="atLeast"/>
          <w:jc w:val="center"/>
        </w:trPr>
        <w:tc>
          <w:tcPr>
            <w:tcW w:w="2426" w:type="dxa"/>
            <w:vMerge w:val="restart"/>
            <w:shd w:val="clear" w:color="auto" w:fill="FFFFFF" w:themeFill="background1"/>
            <w:noWrap/>
            <w:vAlign w:val="center"/>
          </w:tcPr>
          <w:p>
            <w:pPr>
              <w:widowControl/>
              <w:jc w:val="center"/>
              <w:textAlignment w:val="center"/>
              <w:rPr>
                <w:rFonts w:ascii="Arial" w:hAnsi="Arial" w:eastAsia="宋体" w:cs="Arial"/>
                <w:bCs/>
                <w:color w:val="auto"/>
                <w:sz w:val="20"/>
                <w:szCs w:val="20"/>
              </w:rPr>
            </w:pPr>
            <w:r>
              <w:rPr>
                <w:rFonts w:ascii="Arial" w:hAnsi="Arial" w:eastAsia="宋体" w:cs="Arial"/>
                <w:bCs/>
                <w:color w:val="auto"/>
                <w:kern w:val="0"/>
                <w:sz w:val="20"/>
                <w:szCs w:val="20"/>
                <w:lang w:bidi="ar"/>
              </w:rPr>
              <w:t>Exposure</w:t>
            </w:r>
          </w:p>
        </w:tc>
        <w:tc>
          <w:tcPr>
            <w:tcW w:w="1732" w:type="dxa"/>
            <w:shd w:val="clear" w:color="auto" w:fill="FFFFFF" w:themeFill="background1"/>
            <w:noWrap/>
            <w:vAlign w:val="center"/>
          </w:tcPr>
          <w:p>
            <w:pPr>
              <w:jc w:val="center"/>
              <w:rPr>
                <w:rFonts w:ascii="Arial" w:hAnsi="Arial" w:eastAsia="宋体" w:cs="Arial"/>
                <w:bCs/>
                <w:color w:val="auto"/>
                <w:sz w:val="20"/>
                <w:szCs w:val="20"/>
              </w:rPr>
            </w:pPr>
            <w:r>
              <w:rPr>
                <w:rFonts w:ascii="Arial" w:hAnsi="Arial" w:eastAsia="宋体" w:cs="Arial"/>
                <w:bCs/>
                <w:color w:val="auto"/>
                <w:kern w:val="0"/>
                <w:sz w:val="20"/>
                <w:szCs w:val="20"/>
                <w:lang w:bidi="ar"/>
              </w:rPr>
              <w:t>Model 1</w:t>
            </w:r>
          </w:p>
        </w:tc>
        <w:tc>
          <w:tcPr>
            <w:tcW w:w="1914" w:type="dxa"/>
            <w:shd w:val="clear" w:color="auto" w:fill="FFFFFF" w:themeFill="background1"/>
            <w:noWrap/>
            <w:vAlign w:val="center"/>
          </w:tcPr>
          <w:p>
            <w:pPr>
              <w:jc w:val="center"/>
              <w:rPr>
                <w:rFonts w:ascii="Arial" w:hAnsi="Arial" w:eastAsia="宋体" w:cs="Arial"/>
                <w:bCs/>
                <w:color w:val="auto"/>
                <w:sz w:val="20"/>
                <w:szCs w:val="20"/>
              </w:rPr>
            </w:pPr>
            <w:r>
              <w:rPr>
                <w:rFonts w:ascii="Arial" w:hAnsi="Arial" w:eastAsia="宋体" w:cs="Arial"/>
                <w:bCs/>
                <w:color w:val="auto"/>
                <w:kern w:val="0"/>
                <w:sz w:val="20"/>
                <w:szCs w:val="20"/>
                <w:lang w:bidi="ar"/>
              </w:rPr>
              <w:t>Model 2</w:t>
            </w:r>
          </w:p>
        </w:tc>
        <w:tc>
          <w:tcPr>
            <w:tcW w:w="1914" w:type="dxa"/>
            <w:shd w:val="clear" w:color="auto" w:fill="FFFFFF" w:themeFill="background1"/>
            <w:noWrap/>
            <w:vAlign w:val="center"/>
          </w:tcPr>
          <w:p>
            <w:pPr>
              <w:jc w:val="center"/>
              <w:rPr>
                <w:rFonts w:ascii="Arial" w:hAnsi="Arial" w:eastAsia="宋体" w:cs="Arial"/>
                <w:bCs/>
                <w:color w:val="auto"/>
                <w:sz w:val="20"/>
                <w:szCs w:val="20"/>
              </w:rPr>
            </w:pPr>
            <w:r>
              <w:rPr>
                <w:rFonts w:ascii="Arial" w:hAnsi="Arial" w:eastAsia="宋体" w:cs="Arial"/>
                <w:bCs/>
                <w:color w:val="auto"/>
                <w:kern w:val="0"/>
                <w:sz w:val="20"/>
                <w:szCs w:val="20"/>
                <w:lang w:bidi="ar"/>
              </w:rPr>
              <w:t>Model 3</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9" w:hRule="atLeast"/>
          <w:jc w:val="center"/>
        </w:trPr>
        <w:tc>
          <w:tcPr>
            <w:tcW w:w="2426" w:type="dxa"/>
            <w:vMerge w:val="continue"/>
            <w:tcBorders>
              <w:bottom w:val="single" w:color="000000" w:themeColor="text1" w:sz="12" w:space="0"/>
            </w:tcBorders>
            <w:shd w:val="clear" w:color="auto" w:fill="FFFFFF" w:themeFill="background1"/>
            <w:noWrap/>
            <w:vAlign w:val="center"/>
          </w:tcPr>
          <w:p>
            <w:pPr>
              <w:jc w:val="center"/>
              <w:rPr>
                <w:rFonts w:ascii="Arial" w:hAnsi="Arial" w:eastAsia="宋体" w:cs="Arial"/>
                <w:bCs/>
                <w:color w:val="000000"/>
                <w:sz w:val="20"/>
                <w:szCs w:val="20"/>
              </w:rPr>
            </w:pPr>
          </w:p>
        </w:tc>
        <w:tc>
          <w:tcPr>
            <w:tcW w:w="1732" w:type="dxa"/>
            <w:tcBorders>
              <w:bottom w:val="single" w:color="000000" w:themeColor="text1" w:sz="12" w:space="0"/>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(HR, 95% CI)</w:t>
            </w:r>
          </w:p>
        </w:tc>
        <w:tc>
          <w:tcPr>
            <w:tcW w:w="1914" w:type="dxa"/>
            <w:tcBorders>
              <w:bottom w:val="single" w:color="000000" w:themeColor="text1" w:sz="12" w:space="0"/>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(HR, 95% CI)</w:t>
            </w:r>
          </w:p>
        </w:tc>
        <w:tc>
          <w:tcPr>
            <w:tcW w:w="1914" w:type="dxa"/>
            <w:tcBorders>
              <w:bottom w:val="single" w:color="000000" w:themeColor="text1" w:sz="12" w:space="0"/>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(HR, 95% CI)</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9" w:hRule="atLeast"/>
          <w:jc w:val="center"/>
        </w:trPr>
        <w:tc>
          <w:tcPr>
            <w:tcW w:w="2426" w:type="dxa"/>
            <w:tcBorders>
              <w:top w:val="single" w:color="000000" w:themeColor="text1" w:sz="12" w:space="0"/>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Cardiovascular disease</w:t>
            </w:r>
          </w:p>
        </w:tc>
        <w:tc>
          <w:tcPr>
            <w:tcW w:w="1732" w:type="dxa"/>
            <w:tcBorders>
              <w:top w:val="single" w:color="000000" w:themeColor="text1" w:sz="12" w:space="0"/>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914" w:type="dxa"/>
            <w:tcBorders>
              <w:top w:val="single" w:color="000000" w:themeColor="text1" w:sz="12" w:space="0"/>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914" w:type="dxa"/>
            <w:tcBorders>
              <w:top w:val="single" w:color="000000" w:themeColor="text1" w:sz="12" w:space="0"/>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9"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Per SD increment</w:t>
            </w:r>
          </w:p>
        </w:tc>
        <w:tc>
          <w:tcPr>
            <w:tcW w:w="1732"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1.42 (1.23, 1.65)</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1.44 (1.24, 1.67)</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1.39 (1.21, 1.60)</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0"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Tertiles</w:t>
            </w:r>
          </w:p>
        </w:tc>
        <w:tc>
          <w:tcPr>
            <w:tcW w:w="1732"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91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91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0"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w:t>
            </w:r>
          </w:p>
        </w:tc>
        <w:tc>
          <w:tcPr>
            <w:tcW w:w="1732"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2"/>
                <w:szCs w:val="22"/>
                <w:lang w:bidi="ar"/>
              </w:rPr>
              <w:t>Reference</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2"/>
                <w:szCs w:val="22"/>
                <w:lang w:bidi="ar"/>
              </w:rPr>
              <w:t>Reference</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2"/>
                <w:szCs w:val="22"/>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9"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T2</w:t>
            </w:r>
          </w:p>
        </w:tc>
        <w:tc>
          <w:tcPr>
            <w:tcW w:w="1732"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1.49 (0.99, 2.23)</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1.44 (0.96, 2.16)</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1.46 (0.98, 2.18)</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9"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732"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2.65 (1.82, 3.88)</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2.65 (1.81, 3.90)</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2.44 (1.70, 3.50)</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0"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Categories</w:t>
            </w:r>
          </w:p>
        </w:tc>
        <w:tc>
          <w:tcPr>
            <w:tcW w:w="1732"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91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91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0"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T1-2</w:t>
            </w:r>
          </w:p>
        </w:tc>
        <w:tc>
          <w:tcPr>
            <w:tcW w:w="1732"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2"/>
                <w:szCs w:val="22"/>
                <w:lang w:bidi="ar"/>
              </w:rPr>
              <w:t>Reference</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2"/>
                <w:szCs w:val="22"/>
                <w:lang w:bidi="ar"/>
              </w:rPr>
              <w:t>Reference</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2"/>
                <w:szCs w:val="22"/>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9"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732"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2.16 (1.60, 2.91)</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2.19 (1.62, 2.97)</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2.01 (1.52, 2.68)</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9"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Coronary heart disease</w:t>
            </w:r>
          </w:p>
        </w:tc>
        <w:tc>
          <w:tcPr>
            <w:tcW w:w="1732"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91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91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9"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Per SD increment</w:t>
            </w:r>
          </w:p>
        </w:tc>
        <w:tc>
          <w:tcPr>
            <w:tcW w:w="1732"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1.46 (1.21, 1.76)</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1.44 (1.19, 1.74)</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1.45 (1.21, 1.72)</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0"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Tertiles</w:t>
            </w:r>
          </w:p>
        </w:tc>
        <w:tc>
          <w:tcPr>
            <w:tcW w:w="1732"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91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91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0"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w:t>
            </w:r>
          </w:p>
        </w:tc>
        <w:tc>
          <w:tcPr>
            <w:tcW w:w="1732"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2"/>
                <w:szCs w:val="22"/>
                <w:lang w:bidi="ar"/>
              </w:rPr>
              <w:t>Reference</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2"/>
                <w:szCs w:val="22"/>
                <w:lang w:bidi="ar"/>
              </w:rPr>
              <w:t>Reference</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2"/>
                <w:szCs w:val="22"/>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9"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T2</w:t>
            </w:r>
          </w:p>
        </w:tc>
        <w:tc>
          <w:tcPr>
            <w:tcW w:w="1732"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1.25 (0.74, 2.10)</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1.17 (0.69, 1.97)</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1.24 (0.74, 2.08)</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9"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732"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2.52 (1.57, 4.06)</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2.35 (1.45, 3.81)</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2.36 (1.51, 3.71)</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0"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Categories</w:t>
            </w:r>
          </w:p>
        </w:tc>
        <w:tc>
          <w:tcPr>
            <w:tcW w:w="1732"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91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91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0"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T1-2</w:t>
            </w:r>
          </w:p>
        </w:tc>
        <w:tc>
          <w:tcPr>
            <w:tcW w:w="1732"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2"/>
                <w:szCs w:val="22"/>
                <w:lang w:bidi="ar"/>
              </w:rPr>
              <w:t>Reference</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2"/>
                <w:szCs w:val="22"/>
                <w:lang w:bidi="ar"/>
              </w:rPr>
              <w:t>Reference</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2"/>
                <w:szCs w:val="22"/>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9"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732"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2.26 (1.54, 3.32)</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2.18 (1.47, 3.22)</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2.13 (1.48, 3.06)</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0"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Stroke</w:t>
            </w:r>
          </w:p>
        </w:tc>
        <w:tc>
          <w:tcPr>
            <w:tcW w:w="1732"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91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91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9"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Per SD increment</w:t>
            </w:r>
          </w:p>
        </w:tc>
        <w:tc>
          <w:tcPr>
            <w:tcW w:w="1732"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1.38 (1.09, 1.74)</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1.44 (1.14, 1.82)</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1.32 (1.05, 1.64)</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0"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Tertiles</w:t>
            </w:r>
          </w:p>
        </w:tc>
        <w:tc>
          <w:tcPr>
            <w:tcW w:w="1732"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91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91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0"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w:t>
            </w:r>
          </w:p>
        </w:tc>
        <w:tc>
          <w:tcPr>
            <w:tcW w:w="1732"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2"/>
                <w:szCs w:val="22"/>
                <w:lang w:bidi="ar"/>
              </w:rPr>
              <w:t>Reference</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2"/>
                <w:szCs w:val="22"/>
                <w:lang w:bidi="ar"/>
              </w:rPr>
              <w:t>Reference</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2"/>
                <w:szCs w:val="22"/>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9"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T2</w:t>
            </w:r>
          </w:p>
        </w:tc>
        <w:tc>
          <w:tcPr>
            <w:tcW w:w="1732"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1.96 (1.02, 3.77)</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1.99 (1.03, 3.83)</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1.86 (0.98, 3.54)</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9"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732"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2.94 (1.56, 5.51)</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3.27 (1.73, 6.17)</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2.57 (1.40, 4.72)</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Categories</w:t>
            </w:r>
          </w:p>
        </w:tc>
        <w:tc>
          <w:tcPr>
            <w:tcW w:w="1732"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91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914"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T1-2</w:t>
            </w:r>
          </w:p>
        </w:tc>
        <w:tc>
          <w:tcPr>
            <w:tcW w:w="1732"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2"/>
                <w:szCs w:val="22"/>
                <w:lang w:bidi="ar"/>
              </w:rPr>
              <w:t>Reference</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2"/>
                <w:szCs w:val="22"/>
                <w:lang w:bidi="ar"/>
              </w:rPr>
              <w:t>Reference</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2"/>
                <w:szCs w:val="22"/>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9" w:hRule="atLeast"/>
          <w:jc w:val="center"/>
        </w:trPr>
        <w:tc>
          <w:tcPr>
            <w:tcW w:w="2426"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732"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2.02 (1.25, 3.26)</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2.24 (1.38, 3.62)</w:t>
            </w:r>
          </w:p>
        </w:tc>
        <w:tc>
          <w:tcPr>
            <w:tcW w:w="1914"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1.84 (1.16, 2.92)</w:t>
            </w:r>
          </w:p>
        </w:tc>
      </w:tr>
    </w:tbl>
    <w:p>
      <w:pPr>
        <w:widowControl/>
        <w:textAlignment w:val="cente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Model 1: adjusted for age and sex.</w:t>
      </w:r>
    </w:p>
    <w:p>
      <w:pPr>
        <w:widowControl/>
        <w:textAlignment w:val="cente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Model 2: adjusted for variables in model 1 plus smoking status, history of diabetes, DBP, and SBP.</w:t>
      </w:r>
    </w:p>
    <w:p>
      <w:pPr>
        <w:widowControl/>
        <w:textAlignment w:val="cente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Model 3: adjusted for variables in model 2 plus eGFR, TC, LDL-C, FPG, AHI, ACEIs/ARBs, β-Blockers, CCBs, diuretics,and OSA therapy.</w:t>
      </w:r>
    </w:p>
    <w:p>
      <w:pPr>
        <w:rPr>
          <w:rFonts w:ascii="Arial" w:hAnsi="Arial" w:eastAsia="宋体" w:cs="Arial"/>
          <w:bCs/>
          <w:color w:val="000000"/>
          <w:kern w:val="0"/>
          <w:sz w:val="20"/>
          <w:szCs w:val="20"/>
          <w:lang w:bidi="ar"/>
        </w:rPr>
      </w:pPr>
      <w:bookmarkStart w:id="5" w:name="OLE_LINK9"/>
      <w:r>
        <w:rPr>
          <w:rFonts w:ascii="Arial" w:hAnsi="Arial" w:eastAsia="宋体" w:cs="Arial"/>
          <w:bCs/>
          <w:color w:val="000000"/>
          <w:kern w:val="0"/>
          <w:sz w:val="20"/>
          <w:szCs w:val="20"/>
          <w:lang w:bidi="ar"/>
        </w:rPr>
        <w:t>HR, hazard ratio; CI, confidence interval</w:t>
      </w:r>
      <w:r>
        <w:rPr>
          <w:rFonts w:hint="eastAsia" w:ascii="Arial" w:hAnsi="Arial" w:eastAsia="宋体" w:cs="Arial"/>
          <w:bCs/>
          <w:color w:val="000000"/>
          <w:kern w:val="0"/>
          <w:sz w:val="20"/>
          <w:szCs w:val="20"/>
          <w:lang w:val="en-US" w:eastAsia="zh-CN" w:bidi="ar"/>
        </w:rPr>
        <w:t xml:space="preserve">; </w:t>
      </w:r>
      <w:r>
        <w:rPr>
          <w:rFonts w:ascii="Arial" w:hAnsi="Arial" w:eastAsia="仿宋" w:cs="Arial"/>
          <w:color w:val="000000"/>
          <w:kern w:val="0"/>
          <w:sz w:val="20"/>
          <w:szCs w:val="20"/>
          <w:lang w:bidi="ar"/>
        </w:rPr>
        <w:t>METS-IR, metabolic score for insulin resistance.</w:t>
      </w:r>
    </w:p>
    <w:bookmarkEnd w:id="5"/>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auto"/>
          <w:kern w:val="0"/>
          <w:sz w:val="20"/>
          <w:szCs w:val="20"/>
          <w:lang w:bidi="ar"/>
        </w:rPr>
      </w:pPr>
      <w:r>
        <w:rPr>
          <w:rFonts w:ascii="Arial" w:hAnsi="Arial" w:eastAsia="宋体" w:cs="Arial"/>
          <w:b/>
          <w:color w:val="auto"/>
          <w:kern w:val="0"/>
          <w:sz w:val="20"/>
          <w:szCs w:val="20"/>
        </w:rPr>
        <w:t xml:space="preserve">Supplemental </w:t>
      </w:r>
      <w:r>
        <w:rPr>
          <w:rFonts w:ascii="Arial" w:hAnsi="Arial" w:eastAsia="FZYaoTi" w:cs="Arial"/>
          <w:b/>
          <w:color w:val="auto"/>
          <w:sz w:val="20"/>
          <w:szCs w:val="20"/>
        </w:rPr>
        <w:t>Table 5</w:t>
      </w:r>
      <w:r>
        <w:rPr>
          <w:rFonts w:ascii="Arial" w:hAnsi="Arial" w:eastAsia="宋体" w:cs="Arial"/>
          <w:b/>
          <w:color w:val="auto"/>
          <w:kern w:val="0"/>
          <w:sz w:val="20"/>
          <w:szCs w:val="20"/>
          <w:lang w:bidi="ar"/>
        </w:rPr>
        <w:t xml:space="preserve">. </w:t>
      </w:r>
      <w:r>
        <w:rPr>
          <w:rFonts w:ascii="Arial" w:hAnsi="Arial" w:eastAsia="宋体" w:cs="Arial"/>
          <w:bCs/>
          <w:color w:val="auto"/>
          <w:kern w:val="0"/>
          <w:sz w:val="20"/>
          <w:szCs w:val="20"/>
          <w:lang w:bidi="ar"/>
        </w:rPr>
        <w:t>Hazard ratios (95% CI) for cardiovascular disease, coronary heart disease, and stroke stratified by METS-IR, excluding patients on OSA therapy.</w:t>
      </w:r>
    </w:p>
    <w:tbl>
      <w:tblPr>
        <w:tblStyle w:val="6"/>
        <w:tblW w:w="4310" w:type="pct"/>
        <w:jc w:val="center"/>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2295"/>
        <w:gridCol w:w="1684"/>
        <w:gridCol w:w="1684"/>
        <w:gridCol w:w="1684"/>
      </w:tblGrid>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77" w:hRule="atLeast"/>
          <w:jc w:val="center"/>
        </w:trPr>
        <w:tc>
          <w:tcPr>
            <w:tcW w:w="1561" w:type="pct"/>
            <w:vMerge w:val="restart"/>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Exposure</w:t>
            </w:r>
          </w:p>
        </w:tc>
        <w:tc>
          <w:tcPr>
            <w:tcW w:w="1146" w:type="pct"/>
            <w:shd w:val="clear" w:color="auto" w:fill="FFFFFF" w:themeFill="background1"/>
            <w:noWrap/>
            <w:vAlign w:val="center"/>
          </w:tcPr>
          <w:p>
            <w:pPr>
              <w:jc w:val="center"/>
              <w:rPr>
                <w:rFonts w:ascii="Arial" w:hAnsi="Arial" w:eastAsia="宋体" w:cs="Arial"/>
                <w:bCs/>
                <w:color w:val="000000"/>
                <w:sz w:val="20"/>
                <w:szCs w:val="20"/>
              </w:rPr>
            </w:pPr>
            <w:r>
              <w:rPr>
                <w:rFonts w:ascii="Arial" w:hAnsi="Arial" w:eastAsia="宋体" w:cs="Arial"/>
                <w:bCs/>
                <w:color w:val="000000"/>
                <w:kern w:val="0"/>
                <w:sz w:val="20"/>
                <w:szCs w:val="20"/>
                <w:lang w:bidi="ar"/>
              </w:rPr>
              <w:t>Model 1</w:t>
            </w:r>
          </w:p>
        </w:tc>
        <w:tc>
          <w:tcPr>
            <w:tcW w:w="1146" w:type="pct"/>
            <w:shd w:val="clear" w:color="auto" w:fill="FFFFFF" w:themeFill="background1"/>
            <w:noWrap/>
            <w:vAlign w:val="center"/>
          </w:tcPr>
          <w:p>
            <w:pPr>
              <w:jc w:val="center"/>
              <w:rPr>
                <w:rFonts w:ascii="Arial" w:hAnsi="Arial" w:eastAsia="宋体" w:cs="Arial"/>
                <w:bCs/>
                <w:color w:val="000000"/>
                <w:sz w:val="20"/>
                <w:szCs w:val="20"/>
              </w:rPr>
            </w:pPr>
            <w:r>
              <w:rPr>
                <w:rFonts w:ascii="Arial" w:hAnsi="Arial" w:eastAsia="宋体" w:cs="Arial"/>
                <w:bCs/>
                <w:color w:val="000000"/>
                <w:kern w:val="0"/>
                <w:sz w:val="20"/>
                <w:szCs w:val="20"/>
                <w:lang w:bidi="ar"/>
              </w:rPr>
              <w:t>Model 2</w:t>
            </w:r>
          </w:p>
        </w:tc>
        <w:tc>
          <w:tcPr>
            <w:tcW w:w="1146" w:type="pct"/>
            <w:shd w:val="clear" w:color="auto" w:fill="FFFFFF" w:themeFill="background1"/>
            <w:noWrap/>
            <w:vAlign w:val="center"/>
          </w:tcPr>
          <w:p>
            <w:pPr>
              <w:jc w:val="center"/>
              <w:rPr>
                <w:rFonts w:ascii="Arial" w:hAnsi="Arial" w:eastAsia="宋体" w:cs="Arial"/>
                <w:bCs/>
                <w:color w:val="000000"/>
                <w:sz w:val="20"/>
                <w:szCs w:val="20"/>
              </w:rPr>
            </w:pPr>
            <w:r>
              <w:rPr>
                <w:rFonts w:ascii="Arial" w:hAnsi="Arial" w:eastAsia="宋体" w:cs="Arial"/>
                <w:bCs/>
                <w:color w:val="000000"/>
                <w:kern w:val="0"/>
                <w:sz w:val="20"/>
                <w:szCs w:val="20"/>
                <w:lang w:bidi="ar"/>
              </w:rPr>
              <w:t>Model 3</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2" w:hRule="atLeast"/>
          <w:jc w:val="center"/>
        </w:trPr>
        <w:tc>
          <w:tcPr>
            <w:tcW w:w="1561" w:type="pct"/>
            <w:vMerge w:val="continue"/>
            <w:tcBorders>
              <w:bottom w:val="single" w:color="000000" w:themeColor="text1" w:sz="12" w:space="0"/>
            </w:tcBorders>
            <w:shd w:val="clear" w:color="auto" w:fill="FFFFFF" w:themeFill="background1"/>
            <w:noWrap/>
            <w:vAlign w:val="center"/>
          </w:tcPr>
          <w:p>
            <w:pPr>
              <w:jc w:val="center"/>
              <w:rPr>
                <w:rFonts w:ascii="Arial" w:hAnsi="Arial" w:eastAsia="宋体" w:cs="Arial"/>
                <w:bCs/>
                <w:color w:val="000000"/>
                <w:sz w:val="20"/>
                <w:szCs w:val="20"/>
              </w:rPr>
            </w:pPr>
          </w:p>
        </w:tc>
        <w:tc>
          <w:tcPr>
            <w:tcW w:w="1146" w:type="pct"/>
            <w:tcBorders>
              <w:bottom w:val="single" w:color="000000" w:themeColor="text1" w:sz="12" w:space="0"/>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(HR, 95% CI)</w:t>
            </w:r>
          </w:p>
        </w:tc>
        <w:tc>
          <w:tcPr>
            <w:tcW w:w="1146" w:type="pct"/>
            <w:tcBorders>
              <w:bottom w:val="single" w:color="000000" w:themeColor="text1" w:sz="12" w:space="0"/>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(HR, 95% CI)</w:t>
            </w:r>
          </w:p>
        </w:tc>
        <w:tc>
          <w:tcPr>
            <w:tcW w:w="1146" w:type="pct"/>
            <w:tcBorders>
              <w:bottom w:val="single" w:color="000000" w:themeColor="text1" w:sz="12" w:space="0"/>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(HR, 95% CI)</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2" w:hRule="atLeast"/>
          <w:jc w:val="center"/>
        </w:trPr>
        <w:tc>
          <w:tcPr>
            <w:tcW w:w="1561" w:type="pct"/>
            <w:tcBorders>
              <w:top w:val="single" w:color="000000" w:themeColor="text1" w:sz="12" w:space="0"/>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Cardiovascular disease</w:t>
            </w:r>
          </w:p>
        </w:tc>
        <w:tc>
          <w:tcPr>
            <w:tcW w:w="1146" w:type="pct"/>
            <w:tcBorders>
              <w:top w:val="single" w:color="000000" w:themeColor="text1" w:sz="12" w:space="0"/>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146" w:type="pct"/>
            <w:tcBorders>
              <w:top w:val="single" w:color="000000" w:themeColor="text1" w:sz="12" w:space="0"/>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146" w:type="pct"/>
            <w:tcBorders>
              <w:top w:val="single" w:color="000000" w:themeColor="text1" w:sz="12" w:space="0"/>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9"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Per SD increment</w:t>
            </w:r>
          </w:p>
        </w:tc>
        <w:tc>
          <w:tcPr>
            <w:tcW w:w="1146" w:type="pct"/>
            <w:tcBorders>
              <w:tl2br w:val="nil"/>
              <w:tr2bl w:val="nil"/>
            </w:tcBorders>
            <w:shd w:val="clear" w:color="auto" w:fill="FFFFFF" w:themeFill="background1"/>
            <w:noWrap/>
            <w:vAlign w:val="center"/>
          </w:tcPr>
          <w:p>
            <w:pPr>
              <w:widowControl/>
              <w:jc w:val="left"/>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1.38 (1.21, 1.56)</w:t>
            </w:r>
          </w:p>
        </w:tc>
        <w:tc>
          <w:tcPr>
            <w:tcW w:w="1146" w:type="pct"/>
            <w:tcBorders>
              <w:tl2br w:val="nil"/>
              <w:tr2bl w:val="nil"/>
            </w:tcBorders>
            <w:shd w:val="clear" w:color="auto" w:fill="FFFFFF" w:themeFill="background1"/>
            <w:noWrap/>
            <w:vAlign w:val="center"/>
          </w:tcPr>
          <w:p>
            <w:pPr>
              <w:widowControl/>
              <w:jc w:val="left"/>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1.37 (1.20, 1.56)</w:t>
            </w:r>
          </w:p>
        </w:tc>
        <w:tc>
          <w:tcPr>
            <w:tcW w:w="1146" w:type="pct"/>
            <w:tcBorders>
              <w:tl2br w:val="nil"/>
              <w:tr2bl w:val="nil"/>
            </w:tcBorders>
            <w:shd w:val="clear" w:color="auto" w:fill="FFFFFF" w:themeFill="background1"/>
            <w:noWrap/>
            <w:vAlign w:val="center"/>
          </w:tcPr>
          <w:p>
            <w:pPr>
              <w:widowControl/>
              <w:jc w:val="left"/>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1.32 (1.17, 1.49)</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77"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Tertiles</w:t>
            </w: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77"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w:t>
            </w:r>
          </w:p>
        </w:tc>
        <w:tc>
          <w:tcPr>
            <w:tcW w:w="1146" w:type="pct"/>
            <w:tcBorders>
              <w:tl2br w:val="nil"/>
              <w:tr2bl w:val="nil"/>
            </w:tcBorders>
            <w:shd w:val="clear" w:color="auto" w:fill="FFFFFF" w:themeFill="background1"/>
            <w:noWrap/>
            <w:vAlign w:val="center"/>
          </w:tcPr>
          <w:p>
            <w:pPr>
              <w:widowControl/>
              <w:jc w:val="left"/>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146" w:type="pct"/>
            <w:tcBorders>
              <w:tl2br w:val="nil"/>
              <w:tr2bl w:val="nil"/>
            </w:tcBorders>
            <w:shd w:val="clear" w:color="auto" w:fill="FFFFFF" w:themeFill="background1"/>
            <w:noWrap/>
            <w:vAlign w:val="center"/>
          </w:tcPr>
          <w:p>
            <w:pPr>
              <w:widowControl/>
              <w:jc w:val="left"/>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146" w:type="pct"/>
            <w:tcBorders>
              <w:tl2br w:val="nil"/>
              <w:tr2bl w:val="nil"/>
            </w:tcBorders>
            <w:shd w:val="clear" w:color="auto" w:fill="FFFFFF" w:themeFill="background1"/>
            <w:noWrap/>
            <w:vAlign w:val="center"/>
          </w:tcPr>
          <w:p>
            <w:pPr>
              <w:widowControl/>
              <w:jc w:val="left"/>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2"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T2</w:t>
            </w:r>
          </w:p>
        </w:tc>
        <w:tc>
          <w:tcPr>
            <w:tcW w:w="1146" w:type="pct"/>
            <w:tcBorders>
              <w:tl2br w:val="nil"/>
              <w:tr2bl w:val="nil"/>
            </w:tcBorders>
            <w:shd w:val="clear" w:color="auto" w:fill="FFFFFF" w:themeFill="background1"/>
            <w:noWrap/>
            <w:vAlign w:val="center"/>
          </w:tcPr>
          <w:p>
            <w:pPr>
              <w:widowControl/>
              <w:jc w:val="left"/>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1.46 (1.03, 2.06)</w:t>
            </w:r>
          </w:p>
        </w:tc>
        <w:tc>
          <w:tcPr>
            <w:tcW w:w="1146" w:type="pct"/>
            <w:tcBorders>
              <w:tl2br w:val="nil"/>
              <w:tr2bl w:val="nil"/>
            </w:tcBorders>
            <w:shd w:val="clear" w:color="auto" w:fill="FFFFFF" w:themeFill="background1"/>
            <w:noWrap/>
            <w:vAlign w:val="center"/>
          </w:tcPr>
          <w:p>
            <w:pPr>
              <w:widowControl/>
              <w:jc w:val="left"/>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1.42 (1.00, 2.00)</w:t>
            </w:r>
          </w:p>
        </w:tc>
        <w:tc>
          <w:tcPr>
            <w:tcW w:w="1146" w:type="pct"/>
            <w:tcBorders>
              <w:tl2br w:val="nil"/>
              <w:tr2bl w:val="nil"/>
            </w:tcBorders>
            <w:shd w:val="clear" w:color="auto" w:fill="FFFFFF" w:themeFill="background1"/>
            <w:noWrap/>
            <w:vAlign w:val="center"/>
          </w:tcPr>
          <w:p>
            <w:pPr>
              <w:widowControl/>
              <w:jc w:val="left"/>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1.36 (0.97, 1.91)</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2"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146" w:type="pct"/>
            <w:tcBorders>
              <w:tl2br w:val="nil"/>
              <w:tr2bl w:val="nil"/>
            </w:tcBorders>
            <w:shd w:val="clear" w:color="auto" w:fill="FFFFFF" w:themeFill="background1"/>
            <w:noWrap/>
            <w:vAlign w:val="center"/>
          </w:tcPr>
          <w:p>
            <w:pPr>
              <w:widowControl/>
              <w:jc w:val="left"/>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2.47 (1.78, 3.43)</w:t>
            </w:r>
          </w:p>
        </w:tc>
        <w:tc>
          <w:tcPr>
            <w:tcW w:w="1146" w:type="pct"/>
            <w:tcBorders>
              <w:tl2br w:val="nil"/>
              <w:tr2bl w:val="nil"/>
            </w:tcBorders>
            <w:shd w:val="clear" w:color="auto" w:fill="FFFFFF" w:themeFill="background1"/>
            <w:noWrap/>
            <w:vAlign w:val="center"/>
          </w:tcPr>
          <w:p>
            <w:pPr>
              <w:widowControl/>
              <w:jc w:val="left"/>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2.39 (1.71, 3.32)</w:t>
            </w:r>
          </w:p>
        </w:tc>
        <w:tc>
          <w:tcPr>
            <w:tcW w:w="1146" w:type="pct"/>
            <w:tcBorders>
              <w:tl2br w:val="nil"/>
              <w:tr2bl w:val="nil"/>
            </w:tcBorders>
            <w:shd w:val="clear" w:color="auto" w:fill="FFFFFF" w:themeFill="background1"/>
            <w:noWrap/>
            <w:vAlign w:val="center"/>
          </w:tcPr>
          <w:p>
            <w:pPr>
              <w:widowControl/>
              <w:jc w:val="left"/>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2.18 (1.59, 2.98)</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77"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Categories</w:t>
            </w: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77"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T1-2</w:t>
            </w:r>
          </w:p>
        </w:tc>
        <w:tc>
          <w:tcPr>
            <w:tcW w:w="1146" w:type="pct"/>
            <w:tcBorders>
              <w:tl2br w:val="nil"/>
              <w:tr2bl w:val="nil"/>
            </w:tcBorders>
            <w:shd w:val="clear" w:color="auto" w:fill="FFFFFF" w:themeFill="background1"/>
            <w:noWrap/>
            <w:vAlign w:val="center"/>
          </w:tcPr>
          <w:p>
            <w:pPr>
              <w:widowControl/>
              <w:jc w:val="left"/>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146" w:type="pct"/>
            <w:tcBorders>
              <w:tl2br w:val="nil"/>
              <w:tr2bl w:val="nil"/>
            </w:tcBorders>
            <w:shd w:val="clear" w:color="auto" w:fill="FFFFFF" w:themeFill="background1"/>
            <w:noWrap/>
            <w:vAlign w:val="center"/>
          </w:tcPr>
          <w:p>
            <w:pPr>
              <w:widowControl/>
              <w:jc w:val="left"/>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146" w:type="pct"/>
            <w:tcBorders>
              <w:tl2br w:val="nil"/>
              <w:tr2bl w:val="nil"/>
            </w:tcBorders>
            <w:shd w:val="clear" w:color="auto" w:fill="FFFFFF" w:themeFill="background1"/>
            <w:noWrap/>
            <w:vAlign w:val="center"/>
          </w:tcPr>
          <w:p>
            <w:pPr>
              <w:widowControl/>
              <w:jc w:val="left"/>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2"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146" w:type="pct"/>
            <w:tcBorders>
              <w:tl2br w:val="nil"/>
              <w:tr2bl w:val="nil"/>
            </w:tcBorders>
            <w:shd w:val="clear" w:color="auto" w:fill="FFFFFF" w:themeFill="background1"/>
            <w:noWrap/>
            <w:vAlign w:val="center"/>
          </w:tcPr>
          <w:p>
            <w:pPr>
              <w:widowControl/>
              <w:jc w:val="left"/>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2.02 (1.56, 2.61)</w:t>
            </w:r>
          </w:p>
        </w:tc>
        <w:tc>
          <w:tcPr>
            <w:tcW w:w="1146" w:type="pct"/>
            <w:tcBorders>
              <w:tl2br w:val="nil"/>
              <w:tr2bl w:val="nil"/>
            </w:tcBorders>
            <w:shd w:val="clear" w:color="auto" w:fill="FFFFFF" w:themeFill="background1"/>
            <w:noWrap/>
            <w:vAlign w:val="center"/>
          </w:tcPr>
          <w:p>
            <w:pPr>
              <w:widowControl/>
              <w:jc w:val="left"/>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1.97 (1.52, 2.56)</w:t>
            </w:r>
          </w:p>
        </w:tc>
        <w:tc>
          <w:tcPr>
            <w:tcW w:w="1146" w:type="pct"/>
            <w:tcBorders>
              <w:tl2br w:val="nil"/>
              <w:tr2bl w:val="nil"/>
            </w:tcBorders>
            <w:shd w:val="clear" w:color="auto" w:fill="FFFFFF" w:themeFill="background1"/>
            <w:noWrap/>
            <w:vAlign w:val="center"/>
          </w:tcPr>
          <w:p>
            <w:pPr>
              <w:widowControl/>
              <w:jc w:val="left"/>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1.86 (1.45, 2.38)</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2"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Coronary heart disease</w:t>
            </w: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2"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Per SD increment</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1.39 (1.19, 1.63)</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1.36 (1.15, 1.60)</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1.34 (1.15, 1.55)</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77"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Tertiles</w:t>
            </w: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77"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2"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T2</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1.39 (0.91, 2.13)</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1.33 (0.87, 2.04)</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1.34 (0.88, 2.03)</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2"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2.34 (1.55, 3.52)</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2.11 (1.40, 3.20)</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2.07 (1.40, 3.05)</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77"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Categories</w:t>
            </w: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77"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T1-2</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2"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1.95 (1.41, 2.70)</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1.81 (1.30, 2.52)</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1.78 (1.30, 2.42)</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77"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Stroke</w:t>
            </w: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2"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Per SD increment</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1.37 (1.11, 1.69)</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1.41 (1.14, 1.74)</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1.29 (1.06, 1.59)</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77"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Tertiles</w:t>
            </w: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77"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2"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T2</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1.61 (0.89, 2.90)</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1.65 (0.91, 2.96)</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1.41 (0.79, 2.51)</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2"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2.80 (1.61, 4.85)</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2.99 (1.72, 5.19)</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2.40 (1.41, 4.08)</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77"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Categories</w:t>
            </w: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146" w:type="pct"/>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77"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T1-2</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53" w:hRule="atLeast"/>
          <w:jc w:val="center"/>
        </w:trPr>
        <w:tc>
          <w:tcPr>
            <w:tcW w:w="1561"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2.17 (1.42, 3.33)</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2.29 (1.49, 3.52)</w:t>
            </w:r>
          </w:p>
        </w:tc>
        <w:tc>
          <w:tcPr>
            <w:tcW w:w="1146" w:type="pct"/>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2.00 (1.33, 3.03)</w:t>
            </w:r>
          </w:p>
        </w:tc>
      </w:tr>
    </w:tbl>
    <w:p>
      <w:pPr>
        <w:widowControl/>
        <w:textAlignment w:val="cente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Model 1: adjusted for age and sex.</w:t>
      </w:r>
    </w:p>
    <w:p>
      <w:pPr>
        <w:widowControl/>
        <w:textAlignment w:val="cente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Model 2: adjusted for variables in model 1 plus drinking status, history of diabetes, smoking status, DBP, and SBP.</w:t>
      </w:r>
    </w:p>
    <w:p>
      <w:pPr>
        <w:widowControl/>
        <w:textAlignment w:val="cente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Model 3: adjusted for variables in model 2 plus eGFR, TC, LDL-C, FPG, AHI, ACEIs/ARBs, β-Blockers, CCBs,and diuretics.</w:t>
      </w:r>
    </w:p>
    <w:p>
      <w:pP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HR, hazard ratio; CI, confidence interval</w:t>
      </w:r>
      <w:r>
        <w:rPr>
          <w:rFonts w:hint="eastAsia" w:ascii="Arial" w:hAnsi="Arial" w:eastAsia="宋体" w:cs="Arial"/>
          <w:bCs/>
          <w:color w:val="000000"/>
          <w:kern w:val="0"/>
          <w:sz w:val="20"/>
          <w:szCs w:val="20"/>
          <w:lang w:val="en-US" w:eastAsia="zh-CN" w:bidi="ar"/>
        </w:rPr>
        <w:t xml:space="preserve">; OSA, obstructive sleep apnea; </w:t>
      </w:r>
      <w:r>
        <w:rPr>
          <w:rFonts w:ascii="Arial" w:hAnsi="Arial" w:eastAsia="仿宋" w:cs="Arial"/>
          <w:color w:val="000000"/>
          <w:kern w:val="0"/>
          <w:sz w:val="20"/>
          <w:szCs w:val="20"/>
          <w:lang w:bidi="ar"/>
        </w:rPr>
        <w:t>METS-IR, metabolic score for insulin resistance.</w:t>
      </w: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auto"/>
          <w:kern w:val="0"/>
          <w:sz w:val="20"/>
          <w:szCs w:val="20"/>
          <w:lang w:bidi="ar"/>
        </w:rPr>
      </w:pPr>
      <w:bookmarkStart w:id="6" w:name="OLE_LINK4"/>
      <w:bookmarkStart w:id="7" w:name="OLE_LINK1"/>
      <w:r>
        <w:rPr>
          <w:rFonts w:ascii="Arial" w:hAnsi="Arial" w:eastAsia="宋体" w:cs="Arial"/>
          <w:b/>
          <w:color w:val="auto"/>
          <w:kern w:val="0"/>
          <w:sz w:val="20"/>
          <w:szCs w:val="20"/>
        </w:rPr>
        <w:t xml:space="preserve">Supplemental </w:t>
      </w:r>
      <w:r>
        <w:rPr>
          <w:rFonts w:ascii="Arial" w:hAnsi="Arial" w:eastAsia="FZYaoTi" w:cs="Arial"/>
          <w:b/>
          <w:color w:val="auto"/>
          <w:sz w:val="20"/>
          <w:szCs w:val="20"/>
        </w:rPr>
        <w:t>Table 6</w:t>
      </w:r>
      <w:r>
        <w:rPr>
          <w:rFonts w:ascii="Arial" w:hAnsi="Arial" w:eastAsia="宋体" w:cs="Arial"/>
          <w:b/>
          <w:color w:val="auto"/>
          <w:kern w:val="0"/>
          <w:sz w:val="20"/>
          <w:szCs w:val="20"/>
          <w:lang w:bidi="ar"/>
        </w:rPr>
        <w:t xml:space="preserve">. </w:t>
      </w:r>
      <w:bookmarkEnd w:id="6"/>
      <w:r>
        <w:rPr>
          <w:rFonts w:ascii="Arial" w:hAnsi="Arial" w:eastAsia="宋体" w:cs="Arial"/>
          <w:bCs/>
          <w:color w:val="auto"/>
          <w:kern w:val="0"/>
          <w:sz w:val="20"/>
          <w:szCs w:val="20"/>
          <w:lang w:bidi="ar"/>
        </w:rPr>
        <w:t xml:space="preserve">Hazard ratios (95% CI) for cardiovascular disease, coronary heart disease, and stroke were stratified by </w:t>
      </w:r>
      <w:bookmarkStart w:id="8" w:name="OLE_LINK5"/>
      <w:r>
        <w:rPr>
          <w:rFonts w:ascii="Arial" w:hAnsi="Arial" w:eastAsia="宋体" w:cs="Arial"/>
          <w:bCs/>
          <w:color w:val="auto"/>
          <w:kern w:val="0"/>
          <w:sz w:val="20"/>
          <w:szCs w:val="20"/>
          <w:lang w:bidi="ar"/>
        </w:rPr>
        <w:t>METS-IR</w:t>
      </w:r>
      <w:bookmarkEnd w:id="8"/>
      <w:r>
        <w:rPr>
          <w:rFonts w:ascii="Arial" w:hAnsi="Arial" w:eastAsia="宋体" w:cs="Arial"/>
          <w:bCs/>
          <w:color w:val="auto"/>
          <w:kern w:val="0"/>
          <w:sz w:val="20"/>
          <w:szCs w:val="20"/>
          <w:lang w:bidi="ar"/>
        </w:rPr>
        <w:t>, excluding participants with cardiovascular disease occurring within the first two years of the follow-up.</w:t>
      </w:r>
    </w:p>
    <w:bookmarkEnd w:id="7"/>
    <w:tbl>
      <w:tblPr>
        <w:tblStyle w:val="6"/>
        <w:tblW w:w="7983" w:type="dxa"/>
        <w:jc w:val="center"/>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2493"/>
        <w:gridCol w:w="1830"/>
        <w:gridCol w:w="1830"/>
        <w:gridCol w:w="1830"/>
      </w:tblGrid>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3" w:hRule="atLeast"/>
          <w:jc w:val="center"/>
        </w:trPr>
        <w:tc>
          <w:tcPr>
            <w:tcW w:w="2493" w:type="dxa"/>
            <w:vMerge w:val="restart"/>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Exposure</w:t>
            </w:r>
          </w:p>
        </w:tc>
        <w:tc>
          <w:tcPr>
            <w:tcW w:w="1830" w:type="dxa"/>
            <w:shd w:val="clear" w:color="auto" w:fill="FFFFFF" w:themeFill="background1"/>
            <w:noWrap/>
            <w:vAlign w:val="center"/>
          </w:tcPr>
          <w:p>
            <w:pPr>
              <w:jc w:val="center"/>
              <w:rPr>
                <w:rFonts w:ascii="Arial" w:hAnsi="Arial" w:eastAsia="宋体" w:cs="Arial"/>
                <w:bCs/>
                <w:color w:val="000000"/>
                <w:sz w:val="20"/>
                <w:szCs w:val="20"/>
              </w:rPr>
            </w:pPr>
            <w:r>
              <w:rPr>
                <w:rFonts w:ascii="Arial" w:hAnsi="Arial" w:eastAsia="宋体" w:cs="Arial"/>
                <w:bCs/>
                <w:color w:val="000000"/>
                <w:kern w:val="0"/>
                <w:sz w:val="20"/>
                <w:szCs w:val="20"/>
                <w:lang w:bidi="ar"/>
              </w:rPr>
              <w:t>Model 1</w:t>
            </w:r>
          </w:p>
        </w:tc>
        <w:tc>
          <w:tcPr>
            <w:tcW w:w="1830" w:type="dxa"/>
            <w:shd w:val="clear" w:color="auto" w:fill="FFFFFF" w:themeFill="background1"/>
            <w:noWrap/>
            <w:vAlign w:val="center"/>
          </w:tcPr>
          <w:p>
            <w:pPr>
              <w:jc w:val="center"/>
              <w:rPr>
                <w:rFonts w:ascii="Arial" w:hAnsi="Arial" w:eastAsia="宋体" w:cs="Arial"/>
                <w:bCs/>
                <w:color w:val="000000"/>
                <w:sz w:val="20"/>
                <w:szCs w:val="20"/>
              </w:rPr>
            </w:pPr>
            <w:r>
              <w:rPr>
                <w:rFonts w:ascii="Arial" w:hAnsi="Arial" w:eastAsia="宋体" w:cs="Arial"/>
                <w:bCs/>
                <w:color w:val="000000"/>
                <w:kern w:val="0"/>
                <w:sz w:val="20"/>
                <w:szCs w:val="20"/>
                <w:lang w:bidi="ar"/>
              </w:rPr>
              <w:t>Model 2</w:t>
            </w:r>
          </w:p>
        </w:tc>
        <w:tc>
          <w:tcPr>
            <w:tcW w:w="1830" w:type="dxa"/>
            <w:shd w:val="clear" w:color="auto" w:fill="FFFFFF" w:themeFill="background1"/>
            <w:noWrap/>
            <w:vAlign w:val="center"/>
          </w:tcPr>
          <w:p>
            <w:pPr>
              <w:jc w:val="center"/>
              <w:rPr>
                <w:rFonts w:ascii="Arial" w:hAnsi="Arial" w:eastAsia="宋体" w:cs="Arial"/>
                <w:bCs/>
                <w:color w:val="000000"/>
                <w:sz w:val="20"/>
                <w:szCs w:val="20"/>
              </w:rPr>
            </w:pPr>
            <w:r>
              <w:rPr>
                <w:rFonts w:ascii="Arial" w:hAnsi="Arial" w:eastAsia="宋体" w:cs="Arial"/>
                <w:bCs/>
                <w:color w:val="000000"/>
                <w:kern w:val="0"/>
                <w:sz w:val="20"/>
                <w:szCs w:val="20"/>
                <w:lang w:bidi="ar"/>
              </w:rPr>
              <w:t>Model 3</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8" w:hRule="atLeast"/>
          <w:jc w:val="center"/>
        </w:trPr>
        <w:tc>
          <w:tcPr>
            <w:tcW w:w="2493" w:type="dxa"/>
            <w:vMerge w:val="continue"/>
            <w:tcBorders>
              <w:bottom w:val="single" w:color="000000" w:themeColor="text1" w:sz="12" w:space="0"/>
            </w:tcBorders>
            <w:shd w:val="clear" w:color="auto" w:fill="FFFFFF" w:themeFill="background1"/>
            <w:noWrap/>
            <w:vAlign w:val="center"/>
          </w:tcPr>
          <w:p>
            <w:pPr>
              <w:jc w:val="center"/>
              <w:rPr>
                <w:rFonts w:ascii="Arial" w:hAnsi="Arial" w:eastAsia="宋体" w:cs="Arial"/>
                <w:bCs/>
                <w:color w:val="000000"/>
                <w:sz w:val="20"/>
                <w:szCs w:val="20"/>
              </w:rPr>
            </w:pPr>
          </w:p>
        </w:tc>
        <w:tc>
          <w:tcPr>
            <w:tcW w:w="1830" w:type="dxa"/>
            <w:tcBorders>
              <w:bottom w:val="single" w:color="000000" w:themeColor="text1" w:sz="12" w:space="0"/>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(HR, 95% CI)</w:t>
            </w:r>
          </w:p>
        </w:tc>
        <w:tc>
          <w:tcPr>
            <w:tcW w:w="1830" w:type="dxa"/>
            <w:tcBorders>
              <w:bottom w:val="single" w:color="000000" w:themeColor="text1" w:sz="12" w:space="0"/>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(HR, 95% CI)</w:t>
            </w:r>
          </w:p>
        </w:tc>
        <w:tc>
          <w:tcPr>
            <w:tcW w:w="1830" w:type="dxa"/>
            <w:tcBorders>
              <w:bottom w:val="single" w:color="000000" w:themeColor="text1" w:sz="12" w:space="0"/>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(HR, 95% CI)</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7" w:hRule="atLeast"/>
          <w:jc w:val="center"/>
        </w:trPr>
        <w:tc>
          <w:tcPr>
            <w:tcW w:w="2493" w:type="dxa"/>
            <w:tcBorders>
              <w:top w:val="single" w:color="000000" w:themeColor="text1" w:sz="12" w:space="0"/>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Cardiovascular disease</w:t>
            </w:r>
          </w:p>
        </w:tc>
        <w:tc>
          <w:tcPr>
            <w:tcW w:w="1830" w:type="dxa"/>
            <w:tcBorders>
              <w:top w:val="single" w:color="000000" w:themeColor="text1" w:sz="12" w:space="0"/>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830" w:type="dxa"/>
            <w:tcBorders>
              <w:top w:val="single" w:color="000000" w:themeColor="text1" w:sz="12" w:space="0"/>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830" w:type="dxa"/>
            <w:tcBorders>
              <w:top w:val="single" w:color="000000" w:themeColor="text1" w:sz="12" w:space="0"/>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3"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Per SD increment</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1.36 (1.19, 1.55)</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1.36 (1.18, 1.56)</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1.31 (1.15, 1.49)</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8"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Tertiles</w:t>
            </w: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8"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3"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T2</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1.25 (0.86, 1.80)</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1.22 (0.84, 1.76)</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1.20 (0.84, 1.73)</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3"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2.33 (1.66, 3.29)</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2.30 (1.62, 3.25)</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2.10 (1.52, 2.92)</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8"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Categories</w:t>
            </w: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8"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T1-2</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3"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2.08 (1.58, 2.72)</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2.07 (1.57, 2.72)</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1.91 (1.47, 2.48)</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3"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Coronary heart disease</w:t>
            </w: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3"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Per SD increment</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1.38 (1.17, 1.64)</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1.36 (1.14, 1.63)</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1.34 (1.14, 1.58)</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8"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Tertiles</w:t>
            </w: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8"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3"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T2</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1.18 (0.74, 1.88)</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1.15 (0.72, 1.83)</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1.20 (0.76, 1.89)</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3"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2.23 (1.44, 3.45)</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2.07 (1.33, 3.22)</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2.04 (1.35, 3.08)</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8"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Categories</w:t>
            </w: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8"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T1-2</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3"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2.04 (1.44, 2.88)</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1.92 (1.35, 2.74)</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1.86 (1.33, 2.59)</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8"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Stroke</w:t>
            </w: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3"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Per SD increment</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1.32 (1.07, 1.64)</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1.37 (1.10, 1.71)</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1.26 (1.02, 1.55)</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8"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Tertiles</w:t>
            </w: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3"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T2</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1.36 (0.75, 2.49)</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1.39 (0.76, 2.54)</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1.22 (0.67, 2.21)</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2.56 (1.47, 4.45)</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2.76 (1.58, 4.83)</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2.22 (1.30, 3.78)</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Categories</w:t>
            </w: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830"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8"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T1-2</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32" w:hRule="atLeast"/>
          <w:jc w:val="center"/>
        </w:trPr>
        <w:tc>
          <w:tcPr>
            <w:tcW w:w="2493"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2.17 (1.40, 3.37)</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2.33 (1.49, 3.62)</w:t>
            </w:r>
          </w:p>
        </w:tc>
        <w:tc>
          <w:tcPr>
            <w:tcW w:w="1830"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2.00 (1.31, 3.06)</w:t>
            </w:r>
          </w:p>
        </w:tc>
      </w:tr>
    </w:tbl>
    <w:p>
      <w:pPr>
        <w:widowControl/>
        <w:textAlignment w:val="center"/>
        <w:rPr>
          <w:rFonts w:ascii="Arial" w:hAnsi="Arial" w:eastAsia="宋体" w:cs="Arial"/>
          <w:bCs/>
          <w:color w:val="000000"/>
          <w:kern w:val="0"/>
          <w:sz w:val="20"/>
          <w:szCs w:val="20"/>
          <w:lang w:bidi="ar"/>
        </w:rPr>
      </w:pPr>
      <w:bookmarkStart w:id="9" w:name="OLE_LINK8"/>
      <w:r>
        <w:rPr>
          <w:rFonts w:ascii="Arial" w:hAnsi="Arial" w:eastAsia="宋体" w:cs="Arial"/>
          <w:bCs/>
          <w:color w:val="000000"/>
          <w:kern w:val="0"/>
          <w:sz w:val="20"/>
          <w:szCs w:val="20"/>
          <w:lang w:bidi="ar"/>
        </w:rPr>
        <w:t>Model 1: adjusted for age and sex.</w:t>
      </w:r>
    </w:p>
    <w:p>
      <w:pPr>
        <w:widowControl/>
        <w:textAlignment w:val="cente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Model 2: adjusted for variables in model 1 plus drinking status, history of diabetes, smoking status, DBP, and SBP.</w:t>
      </w:r>
    </w:p>
    <w:p>
      <w:pPr>
        <w:widowControl/>
        <w:textAlignment w:val="cente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Model 3: adjusted for variables in model 2 plus eGFR, TC, LDL-C, FPG, AHI, ACEIs/ARBs, β-Blockers, CCBs, diuretics,and OSA therapy.</w:t>
      </w:r>
    </w:p>
    <w:bookmarkEnd w:id="9"/>
    <w:p>
      <w:pP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HR, hazard ratio; CI, confidence interval</w:t>
      </w:r>
      <w:r>
        <w:rPr>
          <w:rFonts w:hint="eastAsia" w:ascii="Arial" w:hAnsi="Arial" w:eastAsia="宋体" w:cs="Arial"/>
          <w:bCs/>
          <w:color w:val="000000"/>
          <w:kern w:val="0"/>
          <w:sz w:val="20"/>
          <w:szCs w:val="20"/>
          <w:lang w:val="en-US" w:eastAsia="zh-CN" w:bidi="ar"/>
        </w:rPr>
        <w:t xml:space="preserve">; </w:t>
      </w:r>
      <w:r>
        <w:rPr>
          <w:rFonts w:ascii="Arial" w:hAnsi="Arial" w:eastAsia="仿宋" w:cs="Arial"/>
          <w:color w:val="000000"/>
          <w:kern w:val="0"/>
          <w:sz w:val="20"/>
          <w:szCs w:val="20"/>
          <w:lang w:bidi="ar"/>
        </w:rPr>
        <w:t>METS-IR, metabolic score for insulin resistance.</w:t>
      </w: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auto"/>
          <w:kern w:val="0"/>
          <w:sz w:val="20"/>
          <w:szCs w:val="20"/>
          <w:lang w:bidi="ar"/>
        </w:rPr>
      </w:pPr>
      <w:bookmarkStart w:id="10" w:name="OLE_LINK7"/>
      <w:r>
        <w:rPr>
          <w:rFonts w:ascii="Arial" w:hAnsi="Arial" w:eastAsia="宋体" w:cs="Arial"/>
          <w:b/>
          <w:color w:val="auto"/>
          <w:kern w:val="0"/>
          <w:sz w:val="20"/>
          <w:szCs w:val="20"/>
        </w:rPr>
        <w:t xml:space="preserve">Supplemental </w:t>
      </w:r>
      <w:r>
        <w:rPr>
          <w:rFonts w:ascii="Arial" w:hAnsi="Arial" w:eastAsia="FZYaoTi" w:cs="Arial"/>
          <w:b/>
          <w:color w:val="auto"/>
          <w:sz w:val="20"/>
          <w:szCs w:val="20"/>
        </w:rPr>
        <w:t>Table 7</w:t>
      </w:r>
      <w:r>
        <w:rPr>
          <w:rFonts w:ascii="Arial" w:hAnsi="Arial" w:eastAsia="宋体" w:cs="Arial"/>
          <w:b/>
          <w:color w:val="auto"/>
          <w:kern w:val="0"/>
          <w:sz w:val="20"/>
          <w:szCs w:val="20"/>
          <w:lang w:bidi="ar"/>
        </w:rPr>
        <w:t xml:space="preserve">. </w:t>
      </w:r>
      <w:r>
        <w:rPr>
          <w:rFonts w:ascii="Arial" w:hAnsi="Arial" w:eastAsia="宋体" w:cs="Arial"/>
          <w:bCs/>
          <w:color w:val="auto"/>
          <w:kern w:val="0"/>
          <w:sz w:val="20"/>
          <w:szCs w:val="20"/>
          <w:lang w:bidi="ar"/>
        </w:rPr>
        <w:t>Competing risk models for the association of METS-IR with cardiovascular disease, coronary heart disease, and stroke.</w:t>
      </w:r>
    </w:p>
    <w:bookmarkEnd w:id="10"/>
    <w:tbl>
      <w:tblPr>
        <w:tblStyle w:val="6"/>
        <w:tblW w:w="7803" w:type="dxa"/>
        <w:jc w:val="center"/>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2437"/>
        <w:gridCol w:w="1788"/>
        <w:gridCol w:w="1789"/>
        <w:gridCol w:w="1789"/>
      </w:tblGrid>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vMerge w:val="restart"/>
            <w:shd w:val="clear" w:color="auto" w:fill="FFFFFF" w:themeFill="background1"/>
            <w:noWrap/>
            <w:vAlign w:val="center"/>
          </w:tcPr>
          <w:p>
            <w:pPr>
              <w:widowControl/>
              <w:jc w:val="center"/>
              <w:textAlignment w:val="center"/>
              <w:rPr>
                <w:rFonts w:ascii="Arial" w:hAnsi="Arial" w:eastAsia="宋体" w:cs="Arial"/>
                <w:bCs/>
                <w:color w:val="auto"/>
                <w:sz w:val="20"/>
                <w:szCs w:val="20"/>
              </w:rPr>
            </w:pPr>
            <w:r>
              <w:rPr>
                <w:rFonts w:ascii="Arial" w:hAnsi="Arial" w:eastAsia="宋体" w:cs="Arial"/>
                <w:bCs/>
                <w:color w:val="auto"/>
                <w:kern w:val="0"/>
                <w:sz w:val="20"/>
                <w:szCs w:val="20"/>
                <w:lang w:bidi="ar"/>
              </w:rPr>
              <w:t>Exposure</w:t>
            </w:r>
          </w:p>
        </w:tc>
        <w:tc>
          <w:tcPr>
            <w:tcW w:w="1788" w:type="dxa"/>
            <w:shd w:val="clear" w:color="auto" w:fill="FFFFFF" w:themeFill="background1"/>
            <w:noWrap/>
            <w:vAlign w:val="center"/>
          </w:tcPr>
          <w:p>
            <w:pPr>
              <w:jc w:val="center"/>
              <w:rPr>
                <w:rFonts w:ascii="Arial" w:hAnsi="Arial" w:eastAsia="宋体" w:cs="Arial"/>
                <w:bCs/>
                <w:color w:val="auto"/>
                <w:sz w:val="20"/>
                <w:szCs w:val="20"/>
              </w:rPr>
            </w:pPr>
            <w:r>
              <w:rPr>
                <w:rFonts w:ascii="Arial" w:hAnsi="Arial" w:eastAsia="宋体" w:cs="Arial"/>
                <w:bCs/>
                <w:color w:val="auto"/>
                <w:kern w:val="0"/>
                <w:sz w:val="20"/>
                <w:szCs w:val="20"/>
                <w:lang w:bidi="ar"/>
              </w:rPr>
              <w:t>Model 1</w:t>
            </w:r>
          </w:p>
        </w:tc>
        <w:tc>
          <w:tcPr>
            <w:tcW w:w="1789" w:type="dxa"/>
            <w:shd w:val="clear" w:color="auto" w:fill="FFFFFF" w:themeFill="background1"/>
            <w:noWrap/>
            <w:vAlign w:val="center"/>
          </w:tcPr>
          <w:p>
            <w:pPr>
              <w:jc w:val="center"/>
              <w:rPr>
                <w:rFonts w:ascii="Arial" w:hAnsi="Arial" w:eastAsia="宋体" w:cs="Arial"/>
                <w:bCs/>
                <w:color w:val="auto"/>
                <w:sz w:val="20"/>
                <w:szCs w:val="20"/>
              </w:rPr>
            </w:pPr>
            <w:r>
              <w:rPr>
                <w:rFonts w:ascii="Arial" w:hAnsi="Arial" w:eastAsia="宋体" w:cs="Arial"/>
                <w:bCs/>
                <w:color w:val="auto"/>
                <w:kern w:val="0"/>
                <w:sz w:val="20"/>
                <w:szCs w:val="20"/>
                <w:lang w:bidi="ar"/>
              </w:rPr>
              <w:t>Model 2</w:t>
            </w:r>
          </w:p>
        </w:tc>
        <w:tc>
          <w:tcPr>
            <w:tcW w:w="1789" w:type="dxa"/>
            <w:shd w:val="clear" w:color="auto" w:fill="FFFFFF" w:themeFill="background1"/>
            <w:noWrap/>
            <w:vAlign w:val="center"/>
          </w:tcPr>
          <w:p>
            <w:pPr>
              <w:jc w:val="center"/>
              <w:rPr>
                <w:rFonts w:ascii="Arial" w:hAnsi="Arial" w:eastAsia="宋体" w:cs="Arial"/>
                <w:bCs/>
                <w:color w:val="auto"/>
                <w:sz w:val="20"/>
                <w:szCs w:val="20"/>
              </w:rPr>
            </w:pPr>
            <w:r>
              <w:rPr>
                <w:rFonts w:ascii="Arial" w:hAnsi="Arial" w:eastAsia="宋体" w:cs="Arial"/>
                <w:bCs/>
                <w:color w:val="auto"/>
                <w:kern w:val="0"/>
                <w:sz w:val="20"/>
                <w:szCs w:val="20"/>
                <w:lang w:bidi="ar"/>
              </w:rPr>
              <w:t>Model 3</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vMerge w:val="continue"/>
            <w:tcBorders>
              <w:bottom w:val="single" w:color="000000" w:themeColor="text1" w:sz="12" w:space="0"/>
            </w:tcBorders>
            <w:shd w:val="clear" w:color="auto" w:fill="FFFFFF" w:themeFill="background1"/>
            <w:noWrap/>
            <w:vAlign w:val="center"/>
          </w:tcPr>
          <w:p>
            <w:pPr>
              <w:jc w:val="center"/>
              <w:rPr>
                <w:rFonts w:ascii="Arial" w:hAnsi="Arial" w:eastAsia="宋体" w:cs="Arial"/>
                <w:bCs/>
                <w:color w:val="000000"/>
                <w:sz w:val="20"/>
                <w:szCs w:val="20"/>
              </w:rPr>
            </w:pPr>
          </w:p>
        </w:tc>
        <w:tc>
          <w:tcPr>
            <w:tcW w:w="1788" w:type="dxa"/>
            <w:tcBorders>
              <w:bottom w:val="single" w:color="000000" w:themeColor="text1" w:sz="12" w:space="0"/>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(SHR, 95% CI)</w:t>
            </w:r>
          </w:p>
        </w:tc>
        <w:tc>
          <w:tcPr>
            <w:tcW w:w="1789" w:type="dxa"/>
            <w:tcBorders>
              <w:bottom w:val="single" w:color="000000" w:themeColor="text1" w:sz="12" w:space="0"/>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(SHR, 95% CI)</w:t>
            </w:r>
          </w:p>
        </w:tc>
        <w:tc>
          <w:tcPr>
            <w:tcW w:w="1789" w:type="dxa"/>
            <w:tcBorders>
              <w:bottom w:val="single" w:color="000000" w:themeColor="text1" w:sz="12" w:space="0"/>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(SHR, 95% CI)</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op w:val="single" w:color="000000" w:themeColor="text1" w:sz="12" w:space="0"/>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Cardiovascular disease</w:t>
            </w:r>
          </w:p>
        </w:tc>
        <w:tc>
          <w:tcPr>
            <w:tcW w:w="1788" w:type="dxa"/>
            <w:tcBorders>
              <w:top w:val="single" w:color="000000" w:themeColor="text1" w:sz="12" w:space="0"/>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789" w:type="dxa"/>
            <w:tcBorders>
              <w:top w:val="single" w:color="000000" w:themeColor="text1" w:sz="12" w:space="0"/>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789" w:type="dxa"/>
            <w:tcBorders>
              <w:top w:val="single" w:color="000000" w:themeColor="text1" w:sz="12" w:space="0"/>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Per SD increment</w:t>
            </w:r>
          </w:p>
        </w:tc>
        <w:tc>
          <w:tcPr>
            <w:tcW w:w="1788"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1.26 (1.11, 1.43)</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1.25 (1.10, 1.42)</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1.22 (1.08, 1.38)</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Tertiles</w:t>
            </w:r>
          </w:p>
        </w:tc>
        <w:tc>
          <w:tcPr>
            <w:tcW w:w="1788"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789"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789"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w:t>
            </w:r>
          </w:p>
        </w:tc>
        <w:tc>
          <w:tcPr>
            <w:tcW w:w="1788"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T2</w:t>
            </w:r>
          </w:p>
        </w:tc>
        <w:tc>
          <w:tcPr>
            <w:tcW w:w="1788"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1.18 (0.84, 1.66)</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1.17 (0.83, 1.64)</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1.15 (0.82, 1.61)</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788"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1.91 (1.38, 2.63)</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1.86 (1.35, 2.58)</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1.75 (1.28, 2.38)</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Categories</w:t>
            </w:r>
          </w:p>
        </w:tc>
        <w:tc>
          <w:tcPr>
            <w:tcW w:w="1788"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789"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789"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T1-2</w:t>
            </w:r>
          </w:p>
        </w:tc>
        <w:tc>
          <w:tcPr>
            <w:tcW w:w="1788"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788"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1.72 (1.32, 2.23)</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1.69 (1.30, 2.20)</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1.60 (1.24, 2.06)</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Coronary heart disease</w:t>
            </w:r>
          </w:p>
        </w:tc>
        <w:tc>
          <w:tcPr>
            <w:tcW w:w="1788"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789"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789"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Per SD increment</w:t>
            </w:r>
          </w:p>
        </w:tc>
        <w:tc>
          <w:tcPr>
            <w:tcW w:w="1788"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1.26 (1.07, 1.48)</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1.24 (1.05, 1.46)</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1.22 (1.05, 1.42)</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Tertiles</w:t>
            </w:r>
          </w:p>
        </w:tc>
        <w:tc>
          <w:tcPr>
            <w:tcW w:w="1788"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789"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789"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w:t>
            </w:r>
          </w:p>
        </w:tc>
        <w:tc>
          <w:tcPr>
            <w:tcW w:w="1788"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T2</w:t>
            </w:r>
          </w:p>
        </w:tc>
        <w:tc>
          <w:tcPr>
            <w:tcW w:w="1788"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0.97 (0.64, 1.47)</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0.96 (0.63, 1.46)</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0.97 (0.64, 1.46)</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788"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1.73 (1.17, 2.54)</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1.64 (1.11, 2.43)</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1.58 (1.09, 2.29)</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Categories</w:t>
            </w:r>
          </w:p>
        </w:tc>
        <w:tc>
          <w:tcPr>
            <w:tcW w:w="1788"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789"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789"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T1-2</w:t>
            </w:r>
          </w:p>
        </w:tc>
        <w:tc>
          <w:tcPr>
            <w:tcW w:w="1788"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788"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1.72 (1.24, 2.37)</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1.63 (1.18, 2.27)</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1.57 (1.15, 2.14)</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Stroke</w:t>
            </w:r>
          </w:p>
        </w:tc>
        <w:tc>
          <w:tcPr>
            <w:tcW w:w="1788"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789"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789"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Per SD increment</w:t>
            </w:r>
          </w:p>
        </w:tc>
        <w:tc>
          <w:tcPr>
            <w:tcW w:w="1788"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1.27 (1.03, 1.58)</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1.29 (1.03, 1.60)</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1.23 (0.99, 1.52)</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Tertiles</w:t>
            </w:r>
          </w:p>
        </w:tc>
        <w:tc>
          <w:tcPr>
            <w:tcW w:w="1788"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789"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789"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w:t>
            </w:r>
          </w:p>
        </w:tc>
        <w:tc>
          <w:tcPr>
            <w:tcW w:w="1788"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T2</w:t>
            </w:r>
          </w:p>
        </w:tc>
        <w:tc>
          <w:tcPr>
            <w:tcW w:w="1788"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1.76 (0.97, 3.20)</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1.77 (0.97, 3.21)</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1.62 (0.90, 2.92)</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788"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2.41 (1.35, 4.28)</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2.46 (1.38, 4.41)</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2.17 (1.24, 3.81)</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Categories</w:t>
            </w:r>
          </w:p>
        </w:tc>
        <w:tc>
          <w:tcPr>
            <w:tcW w:w="1788"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789"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c>
          <w:tcPr>
            <w:tcW w:w="1789" w:type="dxa"/>
            <w:tcBorders>
              <w:tl2br w:val="nil"/>
              <w:tr2bl w:val="nil"/>
            </w:tcBorders>
            <w:shd w:val="clear" w:color="auto" w:fill="FFFFFF" w:themeFill="background1"/>
            <w:noWrap/>
            <w:vAlign w:val="center"/>
          </w:tcPr>
          <w:p>
            <w:pPr>
              <w:jc w:val="center"/>
              <w:rPr>
                <w:rFonts w:ascii="Arial" w:hAnsi="Arial" w:eastAsia="宋体" w:cs="Arial"/>
                <w:bCs/>
                <w:color w:val="000000"/>
                <w:sz w:val="20"/>
                <w:szCs w:val="20"/>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T1-2</w:t>
            </w:r>
          </w:p>
        </w:tc>
        <w:tc>
          <w:tcPr>
            <w:tcW w:w="1788"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Reference</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1" w:hRule="atLeast"/>
          <w:jc w:val="center"/>
        </w:trPr>
        <w:tc>
          <w:tcPr>
            <w:tcW w:w="2437"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bCs/>
                <w:color w:val="000000"/>
                <w:kern w:val="0"/>
                <w:sz w:val="20"/>
                <w:szCs w:val="20"/>
                <w:lang w:bidi="ar"/>
              </w:rPr>
              <w:t>T3</w:t>
            </w:r>
          </w:p>
        </w:tc>
        <w:tc>
          <w:tcPr>
            <w:tcW w:w="1788"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1.75 (1.13, 2.72)</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1.78 (1.14, 2.78)</w:t>
            </w:r>
          </w:p>
        </w:tc>
        <w:tc>
          <w:tcPr>
            <w:tcW w:w="1789" w:type="dxa"/>
            <w:tcBorders>
              <w:tl2br w:val="nil"/>
              <w:tr2bl w:val="nil"/>
            </w:tcBorders>
            <w:shd w:val="clear" w:color="auto" w:fill="FFFFFF" w:themeFill="background1"/>
            <w:noWrap/>
            <w:vAlign w:val="center"/>
          </w:tcPr>
          <w:p>
            <w:pPr>
              <w:widowControl/>
              <w:jc w:val="center"/>
              <w:textAlignment w:val="center"/>
              <w:rPr>
                <w:rFonts w:ascii="Arial" w:hAnsi="Arial" w:eastAsia="宋体" w:cs="Arial"/>
                <w:bCs/>
                <w:color w:val="000000"/>
                <w:sz w:val="20"/>
                <w:szCs w:val="20"/>
              </w:rPr>
            </w:pPr>
            <w:r>
              <w:rPr>
                <w:rFonts w:ascii="Arial" w:hAnsi="Arial" w:eastAsia="宋体" w:cs="Arial"/>
                <w:color w:val="000000"/>
                <w:kern w:val="0"/>
                <w:sz w:val="20"/>
                <w:szCs w:val="20"/>
                <w:lang w:bidi="ar"/>
              </w:rPr>
              <w:t>1.66 (1.08, 2.55)</w:t>
            </w:r>
          </w:p>
        </w:tc>
      </w:tr>
    </w:tbl>
    <w:p>
      <w:pPr>
        <w:widowControl/>
        <w:textAlignment w:val="cente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Model 1: adjusted for age and sex.</w:t>
      </w:r>
    </w:p>
    <w:p>
      <w:pPr>
        <w:widowControl/>
        <w:textAlignment w:val="cente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Model 2: adjusted for variables in model 1 plus drinking status, history of diabetes, smoking status, DBP, and SBP.</w:t>
      </w:r>
    </w:p>
    <w:p>
      <w:pPr>
        <w:widowControl/>
        <w:textAlignment w:val="cente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Model 3: adjusted for variables in model 2 plus eGFR, TC, LDL-C, FPG, AHI, ACEIs/ARBs, β-Blockers, CCBs, diuretics,and OSA therapy.</w:t>
      </w:r>
    </w:p>
    <w:p>
      <w:pP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SHR, sub-distribution hazard ratio; CI, confidence interval</w:t>
      </w:r>
      <w:r>
        <w:rPr>
          <w:rFonts w:hint="eastAsia" w:ascii="Arial" w:hAnsi="Arial" w:eastAsia="宋体" w:cs="Arial"/>
          <w:bCs/>
          <w:color w:val="000000"/>
          <w:kern w:val="0"/>
          <w:sz w:val="20"/>
          <w:szCs w:val="20"/>
          <w:lang w:val="en-US" w:eastAsia="zh-CN" w:bidi="ar"/>
        </w:rPr>
        <w:t xml:space="preserve">; </w:t>
      </w:r>
      <w:r>
        <w:rPr>
          <w:rFonts w:ascii="Arial" w:hAnsi="Arial" w:eastAsia="仿宋" w:cs="Arial"/>
          <w:color w:val="000000"/>
          <w:kern w:val="0"/>
          <w:sz w:val="20"/>
          <w:szCs w:val="20"/>
          <w:lang w:bidi="ar"/>
        </w:rPr>
        <w:t>METS-IR, metabolic score for insulin resistance.</w:t>
      </w: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bookmarkStart w:id="11" w:name="_GoBack"/>
      <w:bookmarkEnd w:id="11"/>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p>
      <w:pPr>
        <w:rPr>
          <w:rFonts w:ascii="Arial" w:hAnsi="Arial" w:eastAsia="宋体" w:cs="Arial"/>
          <w:bCs/>
          <w:color w:val="000000"/>
          <w:kern w:val="0"/>
          <w:sz w:val="20"/>
          <w:szCs w:val="20"/>
          <w:lang w:bidi="ar"/>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FZYaoTi">
    <w:altName w:val="宋体"/>
    <w:panose1 w:val="00000000000000000000"/>
    <w:charset w:val="86"/>
    <w:family w:val="auto"/>
    <w:pitch w:val="default"/>
    <w:sig w:usb0="00000000" w:usb1="00000000" w:usb2="00000000" w:usb3="00000000" w:csb0="00040000" w:csb1="00000000"/>
  </w:font>
  <w:font w:name="Rockwell">
    <w:altName w:val="Segoe Print"/>
    <w:panose1 w:val="02060603020205020403"/>
    <w:charset w:val="00"/>
    <w:family w:val="roman"/>
    <w:pitch w:val="default"/>
    <w:sig w:usb0="00000000" w:usb1="00000000" w:usb2="00000000" w:usb3="00000000" w:csb0="00000003"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10237470</wp:posOffset>
              </wp:positionV>
              <wp:extent cx="7560310" cy="263525"/>
              <wp:effectExtent l="0" t="0" r="0" b="3175"/>
              <wp:wrapNone/>
              <wp:docPr id="1" name="MSIPCM52944fc5998ec08c6d0ac4b5"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wps:spPr>
                    <wps:txbx>
                      <w:txbxContent>
                        <w:p>
                          <w:pPr>
                            <w:jc w:val="left"/>
                            <w:rPr>
                              <w:rFonts w:ascii="Rockwell" w:hAnsi="Rockwell"/>
                              <w:color w:val="0078D7"/>
                              <w:sz w:val="18"/>
                            </w:rPr>
                          </w:pPr>
                          <w:r>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52944fc5998ec08c6d0ac4b5" o:spid="_x0000_s1026" o:spt="202" alt="{&quot;HashCode&quot;:-1348403003,&quot;Height&quot;:841.0,&quot;Width&quot;:595.0,&quot;Placement&quot;:&quot;Footer&quot;,&quot;Index&quot;:&quot;Primary&quot;,&quot;Section&quot;:1,&quot;Top&quot;:0.0,&quot;Left&quot;:0.0}" type="#_x0000_t202" style="position:absolute;left:0pt;margin-left:0pt;margin-top:806.1pt;height:20.75pt;width:595.3pt;mso-position-horizontal-relative:page;mso-position-vertical-relative:page;z-index:251659264;v-text-anchor:bottom;mso-width-relative:page;mso-height-relative:page;" filled="f" stroked="f" coordsize="21600,21600" o:allowincell="f" o:gfxdata="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y7TaAdgAAAALAQAADwAAAAAAAAABACAAAAAiAAAAZHJz&#10;L2Rvd25yZXYueG1sUEsBAhQAFAAAAAgAh07iQAfK73evAgAAXAUAAA4AAAAAAAAAAQAgAAAAJwEA&#10;AGRycy9lMm9Eb2MueG1sUEsFBgAAAAAGAAYAWQEAAEgGAAAAAA==&#10;">
              <v:fill on="f" focussize="0,0"/>
              <v:stroke on="f" weight="0.5pt"/>
              <v:imagedata o:title=""/>
              <o:lock v:ext="edit" aspectratio="f"/>
              <v:textbox inset="20pt,0mm,2.54mm,0mm">
                <w:txbxContent>
                  <w:p>
                    <w:pPr>
                      <w:jc w:val="left"/>
                      <w:rPr>
                        <w:rFonts w:ascii="Rockwell" w:hAnsi="Rockwell"/>
                        <w:color w:val="0078D7"/>
                        <w:sz w:val="18"/>
                      </w:rPr>
                    </w:pPr>
                    <w:r>
                      <w:rPr>
                        <w:rFonts w:ascii="Rockwell" w:hAnsi="Rockwell"/>
                        <w:color w:val="0078D7"/>
                        <w:sz w:val="18"/>
                      </w:rPr>
                      <w:t>Information Classification: General</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hMTFiOTVjNGZmNzRjMjVjYjVmMDI5YmNmNTQzYjAifQ=="/>
    <w:docVar w:name="KY_MEDREF_DOCUID" w:val="{329EDFB7-F368-4317-9CA8-6E26149AF2D0}"/>
    <w:docVar w:name="KY_MEDREF_VERSION" w:val="3"/>
  </w:docVars>
  <w:rsids>
    <w:rsidRoot w:val="00167BC8"/>
    <w:rsid w:val="00167BC8"/>
    <w:rsid w:val="0081768E"/>
    <w:rsid w:val="008A29D7"/>
    <w:rsid w:val="00AC6305"/>
    <w:rsid w:val="027D36B0"/>
    <w:rsid w:val="030572D6"/>
    <w:rsid w:val="041C69A4"/>
    <w:rsid w:val="05DD4ED2"/>
    <w:rsid w:val="0A0F43CA"/>
    <w:rsid w:val="0BAF45D8"/>
    <w:rsid w:val="0FF93EC6"/>
    <w:rsid w:val="106C29E9"/>
    <w:rsid w:val="10E85ABB"/>
    <w:rsid w:val="12042C4B"/>
    <w:rsid w:val="14A950E9"/>
    <w:rsid w:val="1699710C"/>
    <w:rsid w:val="16AE1F41"/>
    <w:rsid w:val="178A116B"/>
    <w:rsid w:val="182C48E3"/>
    <w:rsid w:val="1B130FD1"/>
    <w:rsid w:val="1DCE4E3D"/>
    <w:rsid w:val="1EA03D0F"/>
    <w:rsid w:val="200F635C"/>
    <w:rsid w:val="20BA70DC"/>
    <w:rsid w:val="219033A2"/>
    <w:rsid w:val="22482236"/>
    <w:rsid w:val="224D0523"/>
    <w:rsid w:val="23D9273A"/>
    <w:rsid w:val="2411770C"/>
    <w:rsid w:val="2735589A"/>
    <w:rsid w:val="27F54F9D"/>
    <w:rsid w:val="294B133D"/>
    <w:rsid w:val="2A380555"/>
    <w:rsid w:val="2A5F1650"/>
    <w:rsid w:val="2ABB24AC"/>
    <w:rsid w:val="2BC23FE2"/>
    <w:rsid w:val="2C01309C"/>
    <w:rsid w:val="2CC97DA0"/>
    <w:rsid w:val="2E0F49FC"/>
    <w:rsid w:val="2F6E275E"/>
    <w:rsid w:val="3A3D138E"/>
    <w:rsid w:val="3AB25BD7"/>
    <w:rsid w:val="3C494CE9"/>
    <w:rsid w:val="3E1C1F7B"/>
    <w:rsid w:val="43B1796C"/>
    <w:rsid w:val="44037520"/>
    <w:rsid w:val="442347E8"/>
    <w:rsid w:val="449078DB"/>
    <w:rsid w:val="44D05EFD"/>
    <w:rsid w:val="46094FCA"/>
    <w:rsid w:val="474236BF"/>
    <w:rsid w:val="4ECD3CCE"/>
    <w:rsid w:val="50312956"/>
    <w:rsid w:val="50A10C08"/>
    <w:rsid w:val="52A8373A"/>
    <w:rsid w:val="53841AA0"/>
    <w:rsid w:val="59203DEE"/>
    <w:rsid w:val="5A754FBB"/>
    <w:rsid w:val="5C3D06D8"/>
    <w:rsid w:val="5D5D309C"/>
    <w:rsid w:val="5DE94656"/>
    <w:rsid w:val="5E18680E"/>
    <w:rsid w:val="60210935"/>
    <w:rsid w:val="6162474A"/>
    <w:rsid w:val="61BC2608"/>
    <w:rsid w:val="61DE2B89"/>
    <w:rsid w:val="64404FBB"/>
    <w:rsid w:val="653E63D7"/>
    <w:rsid w:val="670A4486"/>
    <w:rsid w:val="670F41E4"/>
    <w:rsid w:val="67123A03"/>
    <w:rsid w:val="6894662D"/>
    <w:rsid w:val="69BF30D1"/>
    <w:rsid w:val="6A1C6B51"/>
    <w:rsid w:val="6AB97829"/>
    <w:rsid w:val="6BE1567D"/>
    <w:rsid w:val="6CE44055"/>
    <w:rsid w:val="6D0234C5"/>
    <w:rsid w:val="72C13F96"/>
    <w:rsid w:val="74C83263"/>
    <w:rsid w:val="74DD16A8"/>
    <w:rsid w:val="763C178A"/>
    <w:rsid w:val="76E144F5"/>
    <w:rsid w:val="77514E1B"/>
    <w:rsid w:val="77E10130"/>
    <w:rsid w:val="78175D13"/>
    <w:rsid w:val="794E4383"/>
    <w:rsid w:val="7E4F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iPriority w:val="0"/>
    <w:rPr>
      <w:sz w:val="20"/>
      <w:szCs w:val="20"/>
    </w:rPr>
  </w:style>
  <w:style w:type="paragraph" w:styleId="3">
    <w:name w:val="footer"/>
    <w:basedOn w:val="1"/>
    <w:link w:val="14"/>
    <w:uiPriority w:val="0"/>
    <w:pPr>
      <w:tabs>
        <w:tab w:val="center" w:pos="4513"/>
        <w:tab w:val="right" w:pos="9026"/>
      </w:tabs>
    </w:pPr>
  </w:style>
  <w:style w:type="paragraph" w:styleId="4">
    <w:name w:val="header"/>
    <w:basedOn w:val="1"/>
    <w:link w:val="13"/>
    <w:uiPriority w:val="0"/>
    <w:pPr>
      <w:tabs>
        <w:tab w:val="center" w:pos="4513"/>
        <w:tab w:val="right" w:pos="9026"/>
      </w:tabs>
    </w:pPr>
  </w:style>
  <w:style w:type="paragraph" w:styleId="5">
    <w:name w:val="annotation subject"/>
    <w:basedOn w:val="2"/>
    <w:next w:val="2"/>
    <w:link w:val="12"/>
    <w:uiPriority w:val="0"/>
    <w:rPr>
      <w:b/>
      <w:bC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uiPriority w:val="0"/>
    <w:rPr>
      <w:sz w:val="16"/>
      <w:szCs w:val="16"/>
    </w:rPr>
  </w:style>
  <w:style w:type="paragraph" w:customStyle="1" w:styleId="10">
    <w:name w:val="EndNote Bibliography"/>
    <w:basedOn w:val="1"/>
    <w:semiHidden/>
    <w:qFormat/>
    <w:uiPriority w:val="99"/>
    <w:pPr>
      <w:spacing w:after="200"/>
    </w:pPr>
    <w:rPr>
      <w:rFonts w:eastAsia="MS Mincho"/>
      <w:szCs w:val="22"/>
    </w:rPr>
  </w:style>
  <w:style w:type="character" w:customStyle="1" w:styleId="11">
    <w:name w:val="Comment Text Char"/>
    <w:basedOn w:val="8"/>
    <w:link w:val="2"/>
    <w:uiPriority w:val="0"/>
    <w:rPr>
      <w:rFonts w:asciiTheme="minorHAnsi" w:hAnsiTheme="minorHAnsi" w:eastAsiaTheme="minorEastAsia" w:cstheme="minorBidi"/>
      <w:kern w:val="2"/>
    </w:rPr>
  </w:style>
  <w:style w:type="character" w:customStyle="1" w:styleId="12">
    <w:name w:val="Comment Subject Char"/>
    <w:basedOn w:val="11"/>
    <w:link w:val="5"/>
    <w:uiPriority w:val="0"/>
    <w:rPr>
      <w:rFonts w:asciiTheme="minorHAnsi" w:hAnsiTheme="minorHAnsi" w:eastAsiaTheme="minorEastAsia" w:cstheme="minorBidi"/>
      <w:b/>
      <w:bCs/>
      <w:kern w:val="2"/>
    </w:rPr>
  </w:style>
  <w:style w:type="character" w:customStyle="1" w:styleId="13">
    <w:name w:val="Header Char"/>
    <w:basedOn w:val="8"/>
    <w:link w:val="4"/>
    <w:uiPriority w:val="0"/>
    <w:rPr>
      <w:rFonts w:asciiTheme="minorHAnsi" w:hAnsiTheme="minorHAnsi" w:eastAsiaTheme="minorEastAsia" w:cstheme="minorBidi"/>
      <w:kern w:val="2"/>
      <w:sz w:val="21"/>
      <w:szCs w:val="24"/>
    </w:rPr>
  </w:style>
  <w:style w:type="character" w:customStyle="1" w:styleId="14">
    <w:name w:val="Footer Char"/>
    <w:basedOn w:val="8"/>
    <w:link w:val="3"/>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2309</Words>
  <Characters>12670</Characters>
  <Lines>109</Lines>
  <Paragraphs>30</Paragraphs>
  <TotalTime>1</TotalTime>
  <ScaleCrop>false</ScaleCrop>
  <LinksUpToDate>false</LinksUpToDate>
  <CharactersWithSpaces>14354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2023-01-24T23:57:00Z</dcterms:created>
  <dc:creator>dell</dc:creator>
  <cp:lastModifiedBy>杨文博</cp:lastModifiedBy>
  <dcterms:modified xsi:type="dcterms:W3CDTF">2023-01-25T17:42:03Z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FB4DD98994854119ADC805243231F981</vt:lpwstr>
  </property>
  <property fmtid="{D5CDD505-2E9C-101B-9397-08002B2CF9AE}" pid="4" name="MSIP_Label_2bbab825-a111-45e4-86a1-18cee0005896_Enabled">
    <vt:lpwstr>true</vt:lpwstr>
  </property>
  <property fmtid="{D5CDD505-2E9C-101B-9397-08002B2CF9AE}" pid="5" name="MSIP_Label_2bbab825-a111-45e4-86a1-18cee0005896_SetDate">
    <vt:lpwstr>2023-01-24T23:57:41Z</vt:lpwstr>
  </property>
  <property fmtid="{D5CDD505-2E9C-101B-9397-08002B2CF9AE}" pid="6" name="MSIP_Label_2bbab825-a111-45e4-86a1-18cee0005896_Method">
    <vt:lpwstr>Standard</vt:lpwstr>
  </property>
  <property fmtid="{D5CDD505-2E9C-101B-9397-08002B2CF9AE}" pid="7" name="MSIP_Label_2bbab825-a111-45e4-86a1-18cee0005896_Name">
    <vt:lpwstr>2bbab825-a111-45e4-86a1-18cee0005896</vt:lpwstr>
  </property>
  <property fmtid="{D5CDD505-2E9C-101B-9397-08002B2CF9AE}" pid="8" name="MSIP_Label_2bbab825-a111-45e4-86a1-18cee0005896_SiteId">
    <vt:lpwstr>2567d566-604c-408a-8a60-55d0dc9d9d6b</vt:lpwstr>
  </property>
  <property fmtid="{D5CDD505-2E9C-101B-9397-08002B2CF9AE}" pid="9" name="MSIP_Label_2bbab825-a111-45e4-86a1-18cee0005896_ActionId">
    <vt:lpwstr>55053207-f8e0-4fc1-8b35-3eb5907a1250</vt:lpwstr>
  </property>
  <property fmtid="{D5CDD505-2E9C-101B-9397-08002B2CF9AE}" pid="10" name="MSIP_Label_2bbab825-a111-45e4-86a1-18cee0005896_ContentBits">
    <vt:lpwstr>2</vt:lpwstr>
  </property>
</Properties>
</file>