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20E38" w14:textId="77777777" w:rsidR="00614B2B" w:rsidRDefault="00614B2B" w:rsidP="00614B2B">
      <w:pPr>
        <w:pStyle w:val="Heading1"/>
        <w:rPr>
          <w:rFonts w:hint="eastAsia"/>
        </w:rPr>
      </w:pPr>
      <w:r>
        <w:t>Supplementary section</w:t>
      </w:r>
    </w:p>
    <w:p w14:paraId="11083DDB" w14:textId="77777777" w:rsidR="00614B2B" w:rsidRDefault="00614B2B" w:rsidP="00614B2B">
      <w:pPr>
        <w:pStyle w:val="Heading2"/>
        <w:rPr>
          <w:sz w:val="24"/>
          <w:szCs w:val="24"/>
        </w:rPr>
      </w:pPr>
      <w:r>
        <w:rPr>
          <w:sz w:val="24"/>
          <w:szCs w:val="24"/>
        </w:rPr>
        <w:t>Supplementary Methods</w:t>
      </w:r>
    </w:p>
    <w:p w14:paraId="0439C74A" w14:textId="77777777" w:rsidR="00614B2B" w:rsidRDefault="00614B2B" w:rsidP="00614B2B">
      <w:pPr>
        <w:pStyle w:val="Heading3"/>
        <w:rPr>
          <w:rFonts w:ascii="Arial" w:hAnsi="Arial" w:cs="Arial"/>
          <w:b/>
          <w:bCs/>
          <w:color w:val="auto"/>
          <w:sz w:val="22"/>
          <w:szCs w:val="22"/>
        </w:rPr>
      </w:pPr>
      <w:r>
        <w:rPr>
          <w:rFonts w:ascii="Arial" w:hAnsi="Arial" w:cs="Arial"/>
          <w:b/>
          <w:bCs/>
          <w:color w:val="auto"/>
          <w:sz w:val="22"/>
          <w:szCs w:val="22"/>
        </w:rPr>
        <w:t>PK and PK/PD Model Development for rVWF</w:t>
      </w:r>
    </w:p>
    <w:p w14:paraId="379F155C" w14:textId="77777777" w:rsidR="00614B2B" w:rsidRDefault="00614B2B" w:rsidP="00614B2B">
      <w:pPr>
        <w:pStyle w:val="Heading4"/>
        <w:rPr>
          <w:rFonts w:ascii="Arial" w:hAnsi="Arial" w:cs="Arial"/>
          <w:b/>
          <w:bCs/>
          <w:color w:val="auto"/>
        </w:rPr>
      </w:pPr>
      <w:r>
        <w:rPr>
          <w:rFonts w:ascii="Arial" w:hAnsi="Arial" w:cs="Arial"/>
          <w:b/>
          <w:bCs/>
          <w:color w:val="auto"/>
        </w:rPr>
        <w:t>Structural Models</w:t>
      </w:r>
    </w:p>
    <w:p w14:paraId="6D033C17" w14:textId="77777777" w:rsidR="00614B2B" w:rsidRDefault="00614B2B" w:rsidP="00614B2B">
      <w:r>
        <w:t>One- and two-compartment disposition models with first-order elimination from the central compartment and a component describing endogenous VWF:RCo activity levels were evaluated for VWF:RCo PK. The one-compartment model parameters were clearance and central volume of distribution. For the two-compartment model, intercompartmental clearance and peripheral volume of distribution were added. Body weight was included as a structural covariate on clearance and volume parameters.</w:t>
      </w:r>
    </w:p>
    <w:p w14:paraId="30253E1C" w14:textId="77777777" w:rsidR="00614B2B" w:rsidRDefault="00614B2B" w:rsidP="00614B2B">
      <w:pPr>
        <w:ind w:firstLine="284"/>
      </w:pPr>
      <w:r>
        <w:t>The structural model describing the VWF-FVIII relationship was based on the known mechanism of FVIII protection exerted by the VWF protein as well as on the hysteresis loops observed in the available PK/PD data (</w:t>
      </w:r>
      <w:r>
        <w:rPr>
          <w:b/>
        </w:rPr>
        <w:t>Supplementary Figure 2</w:t>
      </w:r>
      <w:r>
        <w:t>). This warranted the use of an indirect response model, which can capture the delayed FVIII response in relation to VWF activity (</w:t>
      </w:r>
      <w:r>
        <w:rPr>
          <w:b/>
          <w:bCs/>
        </w:rPr>
        <w:t>Supplementary Figure 1</w:t>
      </w:r>
      <w:r>
        <w:t>). Thus, the model takes into account FVIII levels at VWF:RCo activity of 0 IU/dL (FVIII</w:t>
      </w:r>
      <w:r>
        <w:rPr>
          <w:vertAlign w:val="subscript"/>
        </w:rPr>
        <w:t>0</w:t>
      </w:r>
      <w:r>
        <w:t>), the zero-order production (</w:t>
      </w:r>
      <w:r>
        <w:rPr>
          <w:i/>
          <w:iCs/>
        </w:rPr>
        <w:t>k</w:t>
      </w:r>
      <w:r>
        <w:rPr>
          <w:vertAlign w:val="subscript"/>
        </w:rPr>
        <w:t>in</w:t>
      </w:r>
      <w:r>
        <w:t>) and first-order removal (</w:t>
      </w:r>
      <w:r>
        <w:rPr>
          <w:i/>
          <w:iCs/>
        </w:rPr>
        <w:t>k</w:t>
      </w:r>
      <w:r>
        <w:rPr>
          <w:vertAlign w:val="subscript"/>
        </w:rPr>
        <w:t>out</w:t>
      </w:r>
      <w:r>
        <w:t xml:space="preserve">) rate constants for FVIII, and the inhibitory effect of VWF:RCo on </w:t>
      </w:r>
      <w:r>
        <w:rPr>
          <w:i/>
          <w:iCs/>
        </w:rPr>
        <w:t>k</w:t>
      </w:r>
      <w:r>
        <w:rPr>
          <w:vertAlign w:val="subscript"/>
        </w:rPr>
        <w:t>out</w:t>
      </w:r>
      <w:r>
        <w:t xml:space="preserve"> described as </w:t>
      </w:r>
    </w:p>
    <w:p w14:paraId="1FCC8679" w14:textId="77777777" w:rsidR="00614B2B" w:rsidRDefault="00614B2B" w:rsidP="00614B2B">
      <w:pPr>
        <w:spacing w:line="360" w:lineRule="auto"/>
        <w:rPr>
          <w:rFonts w:cs="Arial"/>
        </w:rPr>
      </w:pPr>
      <m:oMathPara>
        <m:oMath>
          <m:r>
            <w:rPr>
              <w:rFonts w:ascii="Cambria Math" w:hAnsi="Cambria Math" w:cs="Arial"/>
            </w:rPr>
            <m:t>VWF effect=1-</m:t>
          </m:r>
          <m:sSub>
            <m:sSubPr>
              <m:ctrlPr>
                <w:rPr>
                  <w:rFonts w:ascii="Cambria Math" w:hAnsi="Cambria Math" w:cs="Arial"/>
                  <w:i/>
                  <w:iCs/>
                </w:rPr>
              </m:ctrlPr>
            </m:sSubPr>
            <m:e>
              <m:r>
                <w:rPr>
                  <w:rFonts w:ascii="Cambria Math" w:hAnsi="Cambria Math" w:cs="Arial"/>
                </w:rPr>
                <m:t>I</m:t>
              </m:r>
            </m:e>
            <m:sub>
              <m:r>
                <w:rPr>
                  <w:rFonts w:ascii="Cambria Math" w:hAnsi="Cambria Math" w:cs="Arial"/>
                </w:rPr>
                <m:t>max</m:t>
              </m:r>
            </m:sub>
          </m:sSub>
          <m:r>
            <w:rPr>
              <w:rFonts w:ascii="Cambria Math" w:hAnsi="Cambria Math" w:cs="Arial"/>
            </w:rPr>
            <m:t>∙</m:t>
          </m:r>
          <m:f>
            <m:fPr>
              <m:ctrlPr>
                <w:rPr>
                  <w:rFonts w:ascii="Cambria Math" w:hAnsi="Cambria Math" w:cs="Arial"/>
                  <w:i/>
                  <w:iCs/>
                </w:rPr>
              </m:ctrlPr>
            </m:fPr>
            <m:num>
              <m:r>
                <w:rPr>
                  <w:rFonts w:ascii="Cambria Math" w:hAnsi="Cambria Math" w:cs="Arial"/>
                </w:rPr>
                <m:t>VWF:RCo</m:t>
              </m:r>
            </m:num>
            <m:den>
              <m:sSub>
                <m:sSubPr>
                  <m:ctrlPr>
                    <w:rPr>
                      <w:rFonts w:ascii="Cambria Math" w:hAnsi="Cambria Math" w:cs="Arial"/>
                      <w:i/>
                      <w:iCs/>
                    </w:rPr>
                  </m:ctrlPr>
                </m:sSubPr>
                <m:e>
                  <m:r>
                    <w:rPr>
                      <w:rFonts w:ascii="Cambria Math" w:hAnsi="Cambria Math" w:cs="Arial"/>
                    </w:rPr>
                    <m:t>IC</m:t>
                  </m:r>
                </m:e>
                <m:sub>
                  <m:r>
                    <w:rPr>
                      <w:rFonts w:ascii="Cambria Math" w:hAnsi="Cambria Math" w:cs="Arial"/>
                    </w:rPr>
                    <m:t>50</m:t>
                  </m:r>
                </m:sub>
              </m:sSub>
              <m:r>
                <w:rPr>
                  <w:rFonts w:ascii="Cambria Math" w:hAnsi="Cambria Math" w:cs="Arial"/>
                </w:rPr>
                <m:t>+VWF:RCo</m:t>
              </m:r>
            </m:den>
          </m:f>
        </m:oMath>
      </m:oMathPara>
    </w:p>
    <w:p w14:paraId="044FA2AF" w14:textId="7B228623" w:rsidR="00614B2B" w:rsidRDefault="00614B2B" w:rsidP="00614B2B">
      <w:r>
        <w:t>where I</w:t>
      </w:r>
      <w:r>
        <w:rPr>
          <w:vertAlign w:val="subscript"/>
        </w:rPr>
        <w:t>max</w:t>
      </w:r>
      <w:r>
        <w:t xml:space="preserve"> is the maximal inhibition of </w:t>
      </w:r>
      <w:r>
        <w:rPr>
          <w:i/>
          <w:iCs/>
        </w:rPr>
        <w:t>k</w:t>
      </w:r>
      <w:r>
        <w:rPr>
          <w:vertAlign w:val="subscript"/>
        </w:rPr>
        <w:t>out</w:t>
      </w:r>
      <w:r>
        <w:t>, and IC</w:t>
      </w:r>
      <w:r>
        <w:rPr>
          <w:vertAlign w:val="subscript"/>
        </w:rPr>
        <w:t>50</w:t>
      </w:r>
      <w:r>
        <w:t xml:space="preserve"> is the VWF:RCo activity level leading to a 50% reduction in </w:t>
      </w:r>
      <w:r>
        <w:rPr>
          <w:i/>
          <w:iCs/>
        </w:rPr>
        <w:t>k</w:t>
      </w:r>
      <w:r>
        <w:rPr>
          <w:vertAlign w:val="subscript"/>
        </w:rPr>
        <w:t>out</w:t>
      </w:r>
      <w:r>
        <w:t>. Estimated system-specific parameters were FVIII</w:t>
      </w:r>
      <w:r>
        <w:rPr>
          <w:vertAlign w:val="subscript"/>
        </w:rPr>
        <w:t>0</w:t>
      </w:r>
      <w:r>
        <w:t xml:space="preserve"> and </w:t>
      </w:r>
      <w:r>
        <w:rPr>
          <w:i/>
          <w:iCs/>
        </w:rPr>
        <w:t>k</w:t>
      </w:r>
      <w:r>
        <w:rPr>
          <w:vertAlign w:val="subscript"/>
        </w:rPr>
        <w:t>out</w:t>
      </w:r>
      <w:r>
        <w:t xml:space="preserve">, while </w:t>
      </w:r>
      <w:r>
        <w:rPr>
          <w:i/>
          <w:iCs/>
        </w:rPr>
        <w:t>k</w:t>
      </w:r>
      <w:r>
        <w:rPr>
          <w:vertAlign w:val="subscript"/>
        </w:rPr>
        <w:t>in</w:t>
      </w:r>
      <w:r>
        <w:t xml:space="preserve"> was derived from the steady-state condition </w:t>
      </w:r>
      <w:r>
        <w:rPr>
          <w:i/>
          <w:iCs/>
        </w:rPr>
        <w:t>k</w:t>
      </w:r>
      <w:r>
        <w:rPr>
          <w:vertAlign w:val="subscript"/>
        </w:rPr>
        <w:t>in</w:t>
      </w:r>
      <w:r>
        <w:t xml:space="preserve"> = FVIII</w:t>
      </w:r>
      <w:r>
        <w:rPr>
          <w:vertAlign w:val="subscript"/>
        </w:rPr>
        <w:t>0</w:t>
      </w:r>
      <w:r>
        <w:t>∙</w:t>
      </w:r>
      <w:r>
        <w:rPr>
          <w:i/>
          <w:iCs/>
        </w:rPr>
        <w:t>k</w:t>
      </w:r>
      <w:r>
        <w:rPr>
          <w:vertAlign w:val="subscript"/>
        </w:rPr>
        <w:t>out</w:t>
      </w:r>
      <w:r>
        <w:t xml:space="preserve">. PK/PD model building was conditioned on the individual VWF:RCo parameters estimated in the PK step. For both models, samples below the LLOQ </w:t>
      </w:r>
      <w:r w:rsidR="000B0043">
        <w:t>(</w:t>
      </w:r>
      <w:r w:rsidR="000B0043" w:rsidRPr="000B0043">
        <w:t>lower limit of quantification</w:t>
      </w:r>
      <w:r w:rsidR="000B0043">
        <w:t xml:space="preserve">) </w:t>
      </w:r>
      <w:r>
        <w:t>were retained in the analysis set and modeled using the likelihood-based M3 method.</w:t>
      </w:r>
      <w:r>
        <w:fldChar w:fldCharType="begin"/>
      </w:r>
      <w:r w:rsidR="00F31C01">
        <w:instrText xml:space="preserve"> ADDIN EN.CITE &lt;EndNote&gt;&lt;Cite&gt;&lt;Author&gt;Ahn&lt;/Author&gt;&lt;Year&gt;2008&lt;/Year&gt;&lt;RecNum&gt;43&lt;/RecNum&gt;&lt;DisplayText&gt;&lt;style face="superscript"&gt;1&lt;/style&gt;&lt;/DisplayText&gt;&lt;record&gt;&lt;rec-number&gt;43&lt;/rec-number&gt;&lt;foreign-keys&gt;&lt;key app="EN" db-id="szs0z50rr99e09er550pev9rwpzxxpsdtree" timestamp="1663240618"&gt;43&lt;/key&gt;&lt;/foreign-keys&gt;&lt;ref-type name="Journal Article"&gt;17&lt;/ref-type&gt;&lt;contributors&gt;&lt;authors&gt;&lt;author&gt;Ahn, J. E.&lt;/author&gt;&lt;author&gt;Karlsson, M. O.&lt;/author&gt;&lt;author&gt;Dunne, A.&lt;/author&gt;&lt;author&gt;Ludden, T. M.&lt;/author&gt;&lt;/authors&gt;&lt;/contributors&gt;&lt;auth-address&gt;Pharmacometrics R &amp;amp; D, ICON Development Solutions, Ellicott City, MD, USA. jaeeun.ahn@pfizer.com&lt;/auth-address&gt;&lt;titles&gt;&lt;title&gt;Likelihood based approaches to handling data below the quantification limit using NONMEM VI&lt;/title&gt;&lt;secondary-title&gt;J Pharmacokinet Pharmacodyn&lt;/secondary-title&gt;&lt;/titles&gt;&lt;periodical&gt;&lt;full-title&gt;J Pharmacokinet Pharmacodyn&lt;/full-title&gt;&lt;/periodical&gt;&lt;pages&gt;401-21&lt;/pages&gt;&lt;volume&gt;35&lt;/volume&gt;&lt;number&gt;4&lt;/number&gt;&lt;edition&gt;2008/08/08&lt;/edition&gt;&lt;keywords&gt;&lt;keyword&gt;Administration, Oral&lt;/keyword&gt;&lt;keyword&gt;Computer Simulation&lt;/keyword&gt;&lt;keyword&gt;*Data Interpretation, Statistical&lt;/keyword&gt;&lt;keyword&gt;Humans&lt;/keyword&gt;&lt;keyword&gt;Intestinal Absorption&lt;/keyword&gt;&lt;keyword&gt;*Likelihood Functions&lt;/keyword&gt;&lt;keyword&gt;Models, Statistical&lt;/keyword&gt;&lt;keyword&gt;Pharmacokinetics&lt;/keyword&gt;&lt;keyword&gt;Software&lt;/keyword&gt;&lt;/keywords&gt;&lt;dates&gt;&lt;year&gt;2008&lt;/year&gt;&lt;pub-dates&gt;&lt;date&gt;Aug&lt;/date&gt;&lt;/pub-dates&gt;&lt;/dates&gt;&lt;isbn&gt;1567-567X (Print)&amp;#xD;1567-567X (Linking)&lt;/isbn&gt;&lt;accession-num&gt;18686017&lt;/accession-num&gt;&lt;urls&gt;&lt;related-urls&gt;&lt;url&gt;https://www.ncbi.nlm.nih.gov/pubmed/18686017&lt;/url&gt;&lt;/related-urls&gt;&lt;/urls&gt;&lt;electronic-resource-num&gt;10.1007/s10928-008-9094-4&lt;/electronic-resource-num&gt;&lt;/record&gt;&lt;/Cite&gt;&lt;/EndNote&gt;</w:instrText>
      </w:r>
      <w:r>
        <w:fldChar w:fldCharType="separate"/>
      </w:r>
      <w:r w:rsidR="00E91234" w:rsidRPr="00E91234">
        <w:rPr>
          <w:noProof/>
          <w:vertAlign w:val="superscript"/>
        </w:rPr>
        <w:t>1</w:t>
      </w:r>
      <w:r>
        <w:fldChar w:fldCharType="end"/>
      </w:r>
    </w:p>
    <w:p w14:paraId="7E20B510" w14:textId="77777777" w:rsidR="00614B2B" w:rsidRDefault="00614B2B" w:rsidP="00614B2B">
      <w:pPr>
        <w:pStyle w:val="Heading4"/>
        <w:rPr>
          <w:rFonts w:ascii="Arial" w:hAnsi="Arial" w:cs="Arial"/>
          <w:b/>
          <w:bCs/>
          <w:color w:val="auto"/>
        </w:rPr>
      </w:pPr>
      <w:bookmarkStart w:id="0" w:name="_Hlk133489905"/>
      <w:r>
        <w:rPr>
          <w:rFonts w:ascii="Arial" w:hAnsi="Arial" w:cs="Arial"/>
          <w:b/>
          <w:bCs/>
          <w:color w:val="auto"/>
        </w:rPr>
        <w:lastRenderedPageBreak/>
        <w:t xml:space="preserve">Stochastic Model </w:t>
      </w:r>
    </w:p>
    <w:bookmarkEnd w:id="0"/>
    <w:p w14:paraId="47CF2E6F" w14:textId="77777777" w:rsidR="00614B2B" w:rsidRDefault="00614B2B" w:rsidP="00614B2B">
      <w:r>
        <w:t xml:space="preserve">First, IIV was included in an exponential manner as follows </w:t>
      </w:r>
    </w:p>
    <w:p w14:paraId="72352978" w14:textId="77777777" w:rsidR="00614B2B" w:rsidRDefault="00914DDC" w:rsidP="00614B2B">
      <w:pPr>
        <w:spacing w:line="360" w:lineRule="auto"/>
        <w:rPr>
          <w:rFonts w:cs="Arial"/>
        </w:rPr>
      </w:pPr>
      <m:oMathPara>
        <m:oMath>
          <m:sSub>
            <m:sSubPr>
              <m:ctrlPr>
                <w:rPr>
                  <w:rFonts w:ascii="Cambria Math" w:hAnsi="Cambria Math" w:cs="Arial"/>
                  <w:i/>
                </w:rPr>
              </m:ctrlPr>
            </m:sSubPr>
            <m:e>
              <m:r>
                <w:rPr>
                  <w:rFonts w:ascii="Cambria Math" w:hAnsi="Cambria Math" w:cs="Arial"/>
                </w:rPr>
                <m:t>P</m:t>
              </m:r>
            </m:e>
            <m:sub>
              <m:r>
                <w:rPr>
                  <w:rFonts w:ascii="Cambria Math" w:hAnsi="Cambria Math" w:cs="Arial"/>
                </w:rPr>
                <m:t>i</m:t>
              </m:r>
            </m:sub>
          </m:sSub>
          <m:r>
            <w:rPr>
              <w:rFonts w:ascii="Cambria Math" w:hAnsi="Cambria Math" w:cs="Arial"/>
            </w:rPr>
            <m:t>=</m:t>
          </m:r>
          <m:r>
            <w:rPr>
              <w:rFonts w:ascii="Cambria Math" w:hAnsi="Cambria Math" w:cs="Arial"/>
            </w:rPr>
            <m:t>TVP</m:t>
          </m:r>
          <m:r>
            <w:rPr>
              <w:rFonts w:ascii="Cambria Math" w:hAnsi="Cambria Math" w:cs="Arial"/>
            </w:rPr>
            <m:t>∙</m:t>
          </m:r>
          <m:sSup>
            <m:sSupPr>
              <m:ctrlPr>
                <w:rPr>
                  <w:rFonts w:ascii="Cambria Math" w:hAnsi="Cambria Math" w:cs="Arial"/>
                  <w:i/>
                </w:rPr>
              </m:ctrlPr>
            </m:sSupPr>
            <m:e>
              <m:r>
                <w:rPr>
                  <w:rFonts w:ascii="Cambria Math" w:hAnsi="Cambria Math" w:cs="Arial"/>
                </w:rPr>
                <m:t>e</m:t>
              </m:r>
            </m:e>
            <m:sup>
              <m:sSub>
                <m:sSubPr>
                  <m:ctrlPr>
                    <w:rPr>
                      <w:rFonts w:ascii="Cambria Math" w:hAnsi="Cambria Math" w:cs="Arial"/>
                      <w:i/>
                    </w:rPr>
                  </m:ctrlPr>
                </m:sSubPr>
                <m:e>
                  <m:r>
                    <w:rPr>
                      <w:rFonts w:ascii="Cambria Math" w:hAnsi="Cambria Math" w:cs="Arial"/>
                    </w:rPr>
                    <m:t>η</m:t>
                  </m:r>
                </m:e>
                <m:sub>
                  <m:r>
                    <w:rPr>
                      <w:rFonts w:ascii="Cambria Math" w:hAnsi="Cambria Math" w:cs="Arial"/>
                    </w:rPr>
                    <m:t>i</m:t>
                  </m:r>
                </m:sub>
              </m:sSub>
            </m:sup>
          </m:sSup>
        </m:oMath>
      </m:oMathPara>
    </w:p>
    <w:p w14:paraId="7C84D5EE" w14:textId="10C62215" w:rsidR="00614B2B" w:rsidRDefault="00614B2B" w:rsidP="00614B2B">
      <w:r>
        <w:t>where TVP is the typical value of the parameter P in the population, P</w:t>
      </w:r>
      <w:r>
        <w:rPr>
          <w:vertAlign w:val="subscript"/>
        </w:rPr>
        <w:t>i</w:t>
      </w:r>
      <w:r>
        <w:t xml:space="preserve"> the i</w:t>
      </w:r>
      <w:r>
        <w:rPr>
          <w:vertAlign w:val="superscript"/>
        </w:rPr>
        <w:t>th</w:t>
      </w:r>
      <w:r>
        <w:t xml:space="preserve"> individual’s value of the parameter, e is exponent and η</w:t>
      </w:r>
      <w:r>
        <w:rPr>
          <w:vertAlign w:val="subscript"/>
        </w:rPr>
        <w:t>i</w:t>
      </w:r>
      <w:r>
        <w:t xml:space="preserve"> the random effect term accounting for IIV (η</w:t>
      </w:r>
      <w:r>
        <w:rPr>
          <w:vertAlign w:val="subscript"/>
        </w:rPr>
        <w:t>i</w:t>
      </w:r>
      <w:r>
        <w:t>~N(0, ω</w:t>
      </w:r>
      <w:r>
        <w:rPr>
          <w:vertAlign w:val="superscript"/>
        </w:rPr>
        <w:t>2</w:t>
      </w:r>
      <w:r>
        <w:t>)), where ω is the standard deviation of interindividual variability. Second, because data from multiple dosing occasions were available, interoccasion variability (IOV) was also tested on the PK and PD parameters</w:t>
      </w:r>
      <w:r>
        <w:fldChar w:fldCharType="begin"/>
      </w:r>
      <w:r w:rsidR="00F31C01">
        <w:instrText xml:space="preserve"> ADDIN EN.CITE &lt;EndNote&gt;&lt;Cite&gt;&lt;Author&gt;Karlsson&lt;/Author&gt;&lt;Year&gt;1993&lt;/Year&gt;&lt;RecNum&gt;44&lt;/RecNum&gt;&lt;DisplayText&gt;&lt;style face="superscript"&gt;2&lt;/style&gt;&lt;/DisplayText&gt;&lt;record&gt;&lt;rec-number&gt;44&lt;/rec-number&gt;&lt;foreign-keys&gt;&lt;key app="EN" db-id="szs0z50rr99e09er550pev9rwpzxxpsdtree" timestamp="1663240618"&gt;44&lt;/key&gt;&lt;/foreign-keys&gt;&lt;ref-type name="Journal Article"&gt;17&lt;/ref-type&gt;&lt;contributors&gt;&lt;authors&gt;&lt;author&gt;Karlsson, M. O.&lt;/author&gt;&lt;author&gt;Sheiner, L. B.&lt;/author&gt;&lt;/authors&gt;&lt;/contributors&gt;&lt;auth-address&gt;Department of Pharmacy, School of Pharmacy, University of California, San Francisco 94143.&lt;/auth-address&gt;&lt;titles&gt;&lt;title&gt;The importance of modeling interoccasion variability in population pharmacokinetic analyses&lt;/title&gt;&lt;secondary-title&gt;J Pharmacokinet Biopharm&lt;/secondary-title&gt;&lt;/titles&gt;&lt;periodical&gt;&lt;full-title&gt;J Pharmacokinet Biopharm&lt;/full-title&gt;&lt;/periodical&gt;&lt;pages&gt;735-50&lt;/pages&gt;&lt;volume&gt;21&lt;/volume&gt;&lt;number&gt;6&lt;/number&gt;&lt;edition&gt;1993/12/01&lt;/edition&gt;&lt;keywords&gt;&lt;keyword&gt;*Computer Simulation&lt;/keyword&gt;&lt;keyword&gt;Humans&lt;/keyword&gt;&lt;keyword&gt;*Individuality&lt;/keyword&gt;&lt;keyword&gt;*Models, Biological&lt;/keyword&gt;&lt;keyword&gt;*Pharmacokinetics&lt;/keyword&gt;&lt;keyword&gt;Population&lt;/keyword&gt;&lt;/keywords&gt;&lt;dates&gt;&lt;year&gt;1993&lt;/year&gt;&lt;pub-dates&gt;&lt;date&gt;Dec&lt;/date&gt;&lt;/pub-dates&gt;&lt;/dates&gt;&lt;isbn&gt;0090-466X (Print)&amp;#xD;0090-466X (Linking)&lt;/isbn&gt;&lt;accession-num&gt;8138894&lt;/accession-num&gt;&lt;urls&gt;&lt;related-urls&gt;&lt;url&gt;https://www.ncbi.nlm.nih.gov/pubmed/8138894&lt;/url&gt;&lt;/related-urls&gt;&lt;/urls&gt;&lt;electronic-resource-num&gt;10.1007/BF01113502&lt;/electronic-resource-num&gt;&lt;/record&gt;&lt;/Cite&gt;&lt;/EndNote&gt;</w:instrText>
      </w:r>
      <w:r>
        <w:fldChar w:fldCharType="separate"/>
      </w:r>
      <w:r w:rsidR="00E91234" w:rsidRPr="00E91234">
        <w:rPr>
          <w:noProof/>
          <w:vertAlign w:val="superscript"/>
        </w:rPr>
        <w:t>2</w:t>
      </w:r>
      <w:r>
        <w:fldChar w:fldCharType="end"/>
      </w:r>
      <w:r>
        <w:t xml:space="preserve"> as</w:t>
      </w:r>
    </w:p>
    <w:p w14:paraId="0F0FF6B0" w14:textId="77777777" w:rsidR="00614B2B" w:rsidRDefault="00914DDC" w:rsidP="00614B2B">
      <w:pPr>
        <w:spacing w:line="360" w:lineRule="auto"/>
        <w:rPr>
          <w:rFonts w:cs="Arial"/>
        </w:rPr>
      </w:pPr>
      <m:oMathPara>
        <m:oMath>
          <m:sSub>
            <m:sSubPr>
              <m:ctrlPr>
                <w:rPr>
                  <w:rFonts w:ascii="Cambria Math" w:hAnsi="Cambria Math" w:cs="Arial"/>
                  <w:i/>
                </w:rPr>
              </m:ctrlPr>
            </m:sSubPr>
            <m:e>
              <m:r>
                <w:rPr>
                  <w:rFonts w:ascii="Cambria Math" w:hAnsi="Cambria Math" w:cs="Arial"/>
                </w:rPr>
                <m:t>P</m:t>
              </m:r>
            </m:e>
            <m:sub>
              <m:r>
                <w:rPr>
                  <w:rFonts w:ascii="Cambria Math" w:hAnsi="Cambria Math" w:cs="Arial"/>
                </w:rPr>
                <m:t>ik</m:t>
              </m:r>
            </m:sub>
          </m:sSub>
          <m:r>
            <w:rPr>
              <w:rFonts w:ascii="Cambria Math" w:hAnsi="Cambria Math" w:cs="Arial"/>
            </w:rPr>
            <m:t>=</m:t>
          </m:r>
          <m:r>
            <w:rPr>
              <w:rFonts w:ascii="Cambria Math" w:hAnsi="Cambria Math" w:cs="Arial"/>
            </w:rPr>
            <m:t>TVP</m:t>
          </m:r>
          <m:r>
            <w:rPr>
              <w:rFonts w:ascii="Cambria Math" w:hAnsi="Cambria Math" w:cs="Arial"/>
            </w:rPr>
            <m:t>∙</m:t>
          </m:r>
          <m:sSup>
            <m:sSupPr>
              <m:ctrlPr>
                <w:rPr>
                  <w:rFonts w:ascii="Cambria Math" w:hAnsi="Cambria Math" w:cs="Arial"/>
                  <w:i/>
                </w:rPr>
              </m:ctrlPr>
            </m:sSupPr>
            <m:e>
              <m:r>
                <w:rPr>
                  <w:rFonts w:ascii="Cambria Math" w:hAnsi="Cambria Math" w:cs="Arial"/>
                </w:rPr>
                <m:t>e</m:t>
              </m:r>
            </m:e>
            <m:sup>
              <m:sSub>
                <m:sSubPr>
                  <m:ctrlPr>
                    <w:rPr>
                      <w:rFonts w:ascii="Cambria Math" w:hAnsi="Cambria Math" w:cs="Arial"/>
                      <w:i/>
                    </w:rPr>
                  </m:ctrlPr>
                </m:sSubPr>
                <m:e>
                  <m:r>
                    <w:rPr>
                      <w:rFonts w:ascii="Cambria Math" w:hAnsi="Cambria Math" w:cs="Arial"/>
                    </w:rPr>
                    <m:t>η</m:t>
                  </m:r>
                </m:e>
                <m:sub>
                  <m:r>
                    <w:rPr>
                      <w:rFonts w:ascii="Cambria Math" w:hAnsi="Cambria Math" w:cs="Arial"/>
                    </w:rPr>
                    <m:t>i</m:t>
                  </m:r>
                </m:sub>
              </m:sSub>
              <m:r>
                <w:rPr>
                  <w:rFonts w:ascii="Cambria Math" w:hAnsi="Cambria Math" w:cs="Arial"/>
                </w:rPr>
                <m:t>+</m:t>
              </m:r>
              <m:sSub>
                <m:sSubPr>
                  <m:ctrlPr>
                    <w:rPr>
                      <w:rFonts w:ascii="Cambria Math" w:hAnsi="Cambria Math" w:cs="Arial"/>
                      <w:i/>
                    </w:rPr>
                  </m:ctrlPr>
                </m:sSubPr>
                <m:e>
                  <m:r>
                    <w:rPr>
                      <w:rFonts w:ascii="Cambria Math" w:hAnsi="Cambria Math" w:cs="Arial"/>
                    </w:rPr>
                    <m:t>κ</m:t>
                  </m:r>
                </m:e>
                <m:sub>
                  <m:r>
                    <w:rPr>
                      <w:rFonts w:ascii="Cambria Math" w:hAnsi="Cambria Math" w:cs="Arial"/>
                    </w:rPr>
                    <m:t>ik</m:t>
                  </m:r>
                </m:sub>
              </m:sSub>
            </m:sup>
          </m:sSup>
        </m:oMath>
      </m:oMathPara>
    </w:p>
    <w:p w14:paraId="72776EB7" w14:textId="77777777" w:rsidR="00614B2B" w:rsidRDefault="00614B2B" w:rsidP="00614B2B">
      <w:r>
        <w:t>where P</w:t>
      </w:r>
      <w:r>
        <w:rPr>
          <w:vertAlign w:val="subscript"/>
        </w:rPr>
        <w:t>ik</w:t>
      </w:r>
      <w:r>
        <w:t xml:space="preserve"> is the i</w:t>
      </w:r>
      <w:r>
        <w:rPr>
          <w:vertAlign w:val="superscript"/>
        </w:rPr>
        <w:t>th</w:t>
      </w:r>
      <w:r>
        <w:t xml:space="preserve"> individual’s value of the parameter at occasion k and κ</w:t>
      </w:r>
      <w:r>
        <w:rPr>
          <w:vertAlign w:val="subscript"/>
        </w:rPr>
        <w:t>ik</w:t>
      </w:r>
      <w:r>
        <w:t xml:space="preserve"> is the random effect term accounting for IOV (κ</w:t>
      </w:r>
      <w:r>
        <w:rPr>
          <w:vertAlign w:val="subscript"/>
        </w:rPr>
        <w:t>i</w:t>
      </w:r>
      <w:r>
        <w:t>~N(0, ν</w:t>
      </w:r>
      <w:r>
        <w:rPr>
          <w:vertAlign w:val="superscript"/>
        </w:rPr>
        <w:t>2</w:t>
      </w:r>
      <w:r>
        <w:t xml:space="preserve">)). Finally, the residual unexplained variability was described by a combined additive and proportional error model. </w:t>
      </w:r>
    </w:p>
    <w:p w14:paraId="6ADF45D5" w14:textId="77777777" w:rsidR="00614B2B" w:rsidRDefault="00614B2B" w:rsidP="00614B2B"/>
    <w:p w14:paraId="1286F731" w14:textId="77777777" w:rsidR="00614B2B" w:rsidRDefault="00614B2B" w:rsidP="00614B2B">
      <w:pPr>
        <w:pStyle w:val="Heading4"/>
        <w:rPr>
          <w:rFonts w:ascii="Arial" w:hAnsi="Arial" w:cs="Arial"/>
          <w:b/>
          <w:bCs/>
          <w:color w:val="auto"/>
        </w:rPr>
      </w:pPr>
      <w:r>
        <w:rPr>
          <w:rFonts w:ascii="Arial" w:hAnsi="Arial" w:cs="Arial"/>
          <w:b/>
          <w:bCs/>
          <w:color w:val="auto"/>
        </w:rPr>
        <w:t>Covariate Model Building</w:t>
      </w:r>
    </w:p>
    <w:p w14:paraId="5EC5BB30" w14:textId="7A4CE3B9" w:rsidR="00614B2B" w:rsidRDefault="00614B2B" w:rsidP="00614B2B">
      <w:r>
        <w:t xml:space="preserve">Following development of the base model including the structural and stochastic components, the covariate-parameter relationships in </w:t>
      </w:r>
      <w:r>
        <w:rPr>
          <w:b/>
          <w:bCs/>
        </w:rPr>
        <w:t>Supplementary Table 1</w:t>
      </w:r>
      <w:r>
        <w:t xml:space="preserve"> were evaluated using the stepwise covariate modeling (SCM) procedure.</w:t>
      </w:r>
      <w:r>
        <w:fldChar w:fldCharType="begin"/>
      </w:r>
      <w:r w:rsidR="00F31C01">
        <w:instrText xml:space="preserve"> ADDIN EN.CITE &lt;EndNote&gt;&lt;Cite&gt;&lt;Author&gt;Jonsson&lt;/Author&gt;&lt;Year&gt;1998&lt;/Year&gt;&lt;RecNum&gt;45&lt;/RecNum&gt;&lt;DisplayText&gt;&lt;style face="superscript"&gt;3&lt;/style&gt;&lt;/DisplayText&gt;&lt;record&gt;&lt;rec-number&gt;45&lt;/rec-number&gt;&lt;foreign-keys&gt;&lt;key app="EN" db-id="szs0z50rr99e09er550pev9rwpzxxpsdtree" timestamp="1663240618"&gt;45&lt;/key&gt;&lt;/foreign-keys&gt;&lt;ref-type name="Journal Article"&gt;17&lt;/ref-type&gt;&lt;contributors&gt;&lt;authors&gt;&lt;author&gt;Jonsson, E. N.&lt;/author&gt;&lt;author&gt;Karlsson, M. O.&lt;/author&gt;&lt;/authors&gt;&lt;/contributors&gt;&lt;auth-address&gt;Department of Pharmacy, Uppsala University, Sweden.&lt;/auth-address&gt;&lt;titles&gt;&lt;title&gt;Automated covariate model building within NONMEM&lt;/title&gt;&lt;secondary-title&gt;Pharm Res&lt;/secondary-title&gt;&lt;/titles&gt;&lt;periodical&gt;&lt;full-title&gt;Pharm Res&lt;/full-title&gt;&lt;/periodical&gt;&lt;pages&gt;1463-8&lt;/pages&gt;&lt;volume&gt;15&lt;/volume&gt;&lt;number&gt;9&lt;/number&gt;&lt;edition&gt;1998/10/02&lt;/edition&gt;&lt;keywords&gt;&lt;keyword&gt;*Mathematical Computing&lt;/keyword&gt;&lt;keyword&gt;*Models, Statistical&lt;/keyword&gt;&lt;keyword&gt;Pharmacokinetics&lt;/keyword&gt;&lt;keyword&gt;Population&lt;/keyword&gt;&lt;keyword&gt;*Software&lt;/keyword&gt;&lt;/keywords&gt;&lt;dates&gt;&lt;year&gt;1998&lt;/year&gt;&lt;pub-dates&gt;&lt;date&gt;Sep&lt;/date&gt;&lt;/pub-dates&gt;&lt;/dates&gt;&lt;isbn&gt;0724-8741 (Print)&amp;#xD;0724-8741 (Linking)&lt;/isbn&gt;&lt;accession-num&gt;9755901&lt;/accession-num&gt;&lt;urls&gt;&lt;related-urls&gt;&lt;url&gt;https://www.ncbi.nlm.nih.gov/pubmed/9755901&lt;/url&gt;&lt;/related-urls&gt;&lt;/urls&gt;&lt;electronic-resource-num&gt;10.1023/a:1011970125687&lt;/electronic-resource-num&gt;&lt;/record&gt;&lt;/Cite&gt;&lt;/EndNote&gt;</w:instrText>
      </w:r>
      <w:r>
        <w:fldChar w:fldCharType="separate"/>
      </w:r>
      <w:r w:rsidR="00E91234" w:rsidRPr="00E91234">
        <w:rPr>
          <w:noProof/>
          <w:vertAlign w:val="superscript"/>
        </w:rPr>
        <w:t>3</w:t>
      </w:r>
      <w:r>
        <w:fldChar w:fldCharType="end"/>
      </w:r>
      <w:r>
        <w:t xml:space="preserve"> Significance levels of </w:t>
      </w:r>
      <w:r>
        <w:rPr>
          <w:i/>
        </w:rPr>
        <w:t>p</w:t>
      </w:r>
      <w:r>
        <w:t xml:space="preserve">&lt;0.05 and </w:t>
      </w:r>
      <w:r>
        <w:rPr>
          <w:i/>
        </w:rPr>
        <w:t>p</w:t>
      </w:r>
      <w:r>
        <w:t>&lt;0.01 were used for the forward inclusion and backward deletion of covariates in the SCM, respectively. Continuous covariate relationships were parametrized with power models as follows</w:t>
      </w:r>
    </w:p>
    <w:bookmarkStart w:id="1" w:name="_Hlk56159736"/>
    <w:p w14:paraId="62AAF69A" w14:textId="77777777" w:rsidR="00614B2B" w:rsidRDefault="00914DDC" w:rsidP="00614B2B">
      <w:pPr>
        <w:spacing w:line="360" w:lineRule="auto"/>
        <w:rPr>
          <w:rFonts w:cs="Arial"/>
        </w:rPr>
      </w:pPr>
      <m:oMathPara>
        <m:oMath>
          <m:sSub>
            <m:sSubPr>
              <m:ctrlPr>
                <w:rPr>
                  <w:rFonts w:ascii="Cambria Math" w:hAnsi="Cambria Math" w:cs="Arial"/>
                  <w:i/>
                </w:rPr>
              </m:ctrlPr>
            </m:sSubPr>
            <m:e>
              <m:r>
                <w:rPr>
                  <w:rFonts w:ascii="Cambria Math" w:hAnsi="Cambria Math" w:cs="Arial"/>
                </w:rPr>
                <m:t>ParCov</m:t>
              </m:r>
            </m:e>
            <m:sub>
              <m:r>
                <w:rPr>
                  <w:rFonts w:ascii="Cambria Math" w:hAnsi="Cambria Math" w:cs="Arial"/>
                </w:rPr>
                <m:t>m</m:t>
              </m:r>
            </m:sub>
          </m:sSub>
          <w:bookmarkEnd w:id="1"/>
          <m:r>
            <w:rPr>
              <w:rFonts w:ascii="Cambria Math" w:hAnsi="Cambria Math" w:cs="Arial"/>
            </w:rPr>
            <m:t>=</m:t>
          </m:r>
          <m:sSup>
            <m:sSupPr>
              <m:ctrlPr>
                <w:rPr>
                  <w:rFonts w:ascii="Cambria Math" w:eastAsiaTheme="minorEastAsia" w:hAnsi="Cambria Math" w:cs="Arial"/>
                  <w:i/>
                </w:rPr>
              </m:ctrlPr>
            </m:sSupPr>
            <m:e>
              <m:d>
                <m:dPr>
                  <m:ctrlPr>
                    <w:rPr>
                      <w:rFonts w:ascii="Cambria Math" w:hAnsi="Cambria Math" w:cs="Arial"/>
                      <w:i/>
                    </w:rPr>
                  </m:ctrlPr>
                </m:dPr>
                <m:e>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Cov</m:t>
                          </m:r>
                        </m:e>
                        <m:sub>
                          <m:r>
                            <w:rPr>
                              <w:rFonts w:ascii="Cambria Math" w:hAnsi="Cambria Math" w:cs="Arial"/>
                            </w:rPr>
                            <m:t>i</m:t>
                          </m:r>
                        </m:sub>
                      </m:sSub>
                    </m:num>
                    <m:den>
                      <m:sSub>
                        <m:sSubPr>
                          <m:ctrlPr>
                            <w:rPr>
                              <w:rFonts w:ascii="Cambria Math" w:hAnsi="Cambria Math" w:cs="Arial"/>
                              <w:i/>
                            </w:rPr>
                          </m:ctrlPr>
                        </m:sSubPr>
                        <m:e>
                          <m:r>
                            <w:rPr>
                              <w:rFonts w:ascii="Cambria Math" w:hAnsi="Cambria Math" w:cs="Arial"/>
                            </w:rPr>
                            <m:t>Cov</m:t>
                          </m:r>
                        </m:e>
                        <m:sub>
                          <m:r>
                            <w:rPr>
                              <w:rFonts w:ascii="Cambria Math" w:hAnsi="Cambria Math" w:cs="Arial"/>
                            </w:rPr>
                            <m:t>ref</m:t>
                          </m:r>
                        </m:sub>
                      </m:sSub>
                    </m:den>
                  </m:f>
                </m:e>
              </m:d>
            </m:e>
            <m:sup>
              <m:sSub>
                <m:sSubPr>
                  <m:ctrlPr>
                    <w:rPr>
                      <w:rFonts w:ascii="Cambria Math" w:eastAsiaTheme="minorEastAsia" w:hAnsi="Cambria Math" w:cs="Arial"/>
                      <w:i/>
                    </w:rPr>
                  </m:ctrlPr>
                </m:sSubPr>
                <m:e>
                  <m:r>
                    <w:rPr>
                      <w:rFonts w:ascii="Cambria Math" w:eastAsiaTheme="minorEastAsia" w:hAnsi="Cambria Math" w:cs="Arial"/>
                    </w:rPr>
                    <m:t>θ</m:t>
                  </m:r>
                </m:e>
                <m:sub>
                  <m:r>
                    <w:rPr>
                      <w:rFonts w:ascii="Cambria Math" w:eastAsiaTheme="minorEastAsia" w:hAnsi="Cambria Math" w:cs="Arial"/>
                    </w:rPr>
                    <m:t>m</m:t>
                  </m:r>
                </m:sub>
              </m:sSub>
            </m:sup>
          </m:sSup>
        </m:oMath>
      </m:oMathPara>
    </w:p>
    <w:p w14:paraId="53C36DCD" w14:textId="77777777" w:rsidR="00614B2B" w:rsidRDefault="00614B2B" w:rsidP="00614B2B">
      <w:r>
        <w:t>where Cov</w:t>
      </w:r>
      <w:r>
        <w:rPr>
          <w:vertAlign w:val="subscript"/>
        </w:rPr>
        <w:t>i</w:t>
      </w:r>
      <w:r>
        <w:t xml:space="preserve"> and Cov</w:t>
      </w:r>
      <w:r>
        <w:rPr>
          <w:vertAlign w:val="subscript"/>
        </w:rPr>
        <w:t>ref</w:t>
      </w:r>
      <w:r>
        <w:t xml:space="preserve"> are the individual and reference value of the covariate m, respectively (Cov</w:t>
      </w:r>
      <w:r>
        <w:rPr>
          <w:vertAlign w:val="subscript"/>
        </w:rPr>
        <w:t>ref</w:t>
      </w:r>
      <w:r>
        <w:t xml:space="preserve"> is normally set to the median covariate value in the analysis data set), and </w:t>
      </w:r>
      <w:r>
        <w:rPr>
          <w:rFonts w:cs="Arial"/>
        </w:rPr>
        <w:t>θ</w:t>
      </w:r>
      <w:r>
        <w:rPr>
          <w:vertAlign w:val="subscript"/>
        </w:rPr>
        <w:t>m</w:t>
      </w:r>
      <w:r>
        <w:t xml:space="preserve"> is the parameter quantifying the covariate effect. </w:t>
      </w:r>
    </w:p>
    <w:p w14:paraId="0B5834FB" w14:textId="77777777" w:rsidR="00614B2B" w:rsidRDefault="00614B2B" w:rsidP="00614B2B"/>
    <w:p w14:paraId="51F53D0D" w14:textId="77777777" w:rsidR="00614B2B" w:rsidRDefault="00614B2B" w:rsidP="00614B2B">
      <w:pPr>
        <w:pStyle w:val="Heading4"/>
        <w:rPr>
          <w:rFonts w:ascii="Arial" w:hAnsi="Arial" w:cs="Arial"/>
          <w:b/>
          <w:bCs/>
          <w:color w:val="auto"/>
        </w:rPr>
      </w:pPr>
      <w:r>
        <w:rPr>
          <w:rFonts w:ascii="Arial" w:hAnsi="Arial" w:cs="Arial"/>
          <w:b/>
          <w:bCs/>
          <w:color w:val="auto"/>
        </w:rPr>
        <w:lastRenderedPageBreak/>
        <w:t>Model-Building Approach and Software</w:t>
      </w:r>
    </w:p>
    <w:p w14:paraId="4833FA95" w14:textId="77777777" w:rsidR="00614B2B" w:rsidRDefault="00614B2B" w:rsidP="00614B2B">
      <w:r>
        <w:t>Structural and stochastic models were initially evaluated to describe VWF:RCo and FVIII:C; this was followed by covariate model building and PK/PD simulations. The PK/PD model for FVIII:C was developed using a sequential approach (ie, conditioned on the individual PK parameters). The models were evaluated by inspecting graphical diagnostics, including goodness-of-fit plots, and changes in the objective function value.</w:t>
      </w:r>
    </w:p>
    <w:p w14:paraId="0D20FE53" w14:textId="2FAC4EFF" w:rsidR="00614B2B" w:rsidRDefault="00614B2B" w:rsidP="00614B2B">
      <w:pPr>
        <w:ind w:firstLine="284"/>
      </w:pPr>
      <w:r>
        <w:t>Parameter estimation was performed using the first-order conditional estimation method with interaction (FOCEI) method in NONMEM. Uncertainty in parameter estimates was assessed by means of nonparametric bootstrap methods using 2000 samples resampled from the complete original data set. Covariate modeling and bootstrap were assisted by Perl-speaks-NONMEM (PsN) software.</w:t>
      </w:r>
      <w:r>
        <w:fldChar w:fldCharType="begin"/>
      </w:r>
      <w:r w:rsidR="00F31C01">
        <w:instrText xml:space="preserve"> ADDIN EN.CITE &lt;EndNote&gt;&lt;Cite&gt;&lt;Author&gt;Lindbom&lt;/Author&gt;&lt;Year&gt;2005&lt;/Year&gt;&lt;RecNum&gt;46&lt;/RecNum&gt;&lt;DisplayText&gt;&lt;style face="superscript"&gt;4&lt;/style&gt;&lt;/DisplayText&gt;&lt;record&gt;&lt;rec-number&gt;46&lt;/rec-number&gt;&lt;foreign-keys&gt;&lt;key app="EN" db-id="szs0z50rr99e09er550pev9rwpzxxpsdtree" timestamp="1663240618"&gt;46&lt;/key&gt;&lt;/foreign-keys&gt;&lt;ref-type name="Journal Article"&gt;17&lt;/ref-type&gt;&lt;contributors&gt;&lt;authors&gt;&lt;author&gt;Lindbom, L.&lt;/author&gt;&lt;author&gt;Pihlgren, P.&lt;/author&gt;&lt;author&gt;Jonsson, E. N.&lt;/author&gt;&lt;/authors&gt;&lt;/contributors&gt;&lt;auth-address&gt;Department of Pharmaceutical Biosciences, Division of Pharmacokinetics and Drug Therapy, Uppsala University, Box 591, SE-751 24 Uppsala, Sweden. lars.lindbom@farmbio.uu.se&lt;/auth-address&gt;&lt;titles&gt;&lt;title&gt;PsN-Toolkit—a collection of computer intensive statistical methods for non-linear mixed effect modeling using NONMEM&lt;/title&gt;&lt;secondary-title&gt;Comput Methods Programs Biomed&lt;/secondary-title&gt;&lt;/titles&gt;&lt;periodical&gt;&lt;full-title&gt;Comput Methods Programs Biomed&lt;/full-title&gt;&lt;/periodical&gt;&lt;pages&gt;241-57&lt;/pages&gt;&lt;volume&gt;79&lt;/volume&gt;&lt;number&gt;3&lt;/number&gt;&lt;edition&gt;2005/07/19&lt;/edition&gt;&lt;keywords&gt;&lt;keyword&gt;Cluster Analysis&lt;/keyword&gt;&lt;keyword&gt;*Computers&lt;/keyword&gt;&lt;keyword&gt;Models, Statistical&lt;/keyword&gt;&lt;keyword&gt;Pharmacokinetics&lt;/keyword&gt;&lt;keyword&gt;Pharmacology&lt;/keyword&gt;&lt;keyword&gt;*Programming Languages&lt;/keyword&gt;&lt;keyword&gt;Statistics as Topic/*methods&lt;/keyword&gt;&lt;/keywords&gt;&lt;dates&gt;&lt;year&gt;2005&lt;/year&gt;&lt;pub-dates&gt;&lt;date&gt;Sep&lt;/date&gt;&lt;/pub-dates&gt;&lt;/dates&gt;&lt;isbn&gt;0169-2607 (Print)&amp;#xD;0169-2607 (Linking)&lt;/isbn&gt;&lt;accession-num&gt;16023764&lt;/accession-num&gt;&lt;urls&gt;&lt;related-urls&gt;&lt;url&gt;https://www.ncbi.nlm.nih.gov/pubmed/16023764&lt;/url&gt;&lt;/related-urls&gt;&lt;/urls&gt;&lt;electronic-resource-num&gt;10.1016/j.cmpb.2005.04.005&lt;/electronic-resource-num&gt;&lt;/record&gt;&lt;/Cite&gt;&lt;/EndNote&gt;</w:instrText>
      </w:r>
      <w:r>
        <w:fldChar w:fldCharType="separate"/>
      </w:r>
      <w:r w:rsidR="00E91234" w:rsidRPr="00E91234">
        <w:rPr>
          <w:noProof/>
          <w:vertAlign w:val="superscript"/>
        </w:rPr>
        <w:t>4</w:t>
      </w:r>
      <w:r>
        <w:fldChar w:fldCharType="end"/>
      </w:r>
    </w:p>
    <w:p w14:paraId="45C9619C" w14:textId="77777777" w:rsidR="00614B2B" w:rsidRDefault="00614B2B" w:rsidP="00614B2B">
      <w:pPr>
        <w:rPr>
          <w:color w:val="002060"/>
        </w:rPr>
      </w:pPr>
    </w:p>
    <w:p w14:paraId="59B284FF" w14:textId="77777777" w:rsidR="00614B2B" w:rsidRPr="00914DDC" w:rsidRDefault="00614B2B" w:rsidP="00614B2B">
      <w:pPr>
        <w:pStyle w:val="Heading2"/>
        <w:rPr>
          <w:sz w:val="24"/>
          <w:szCs w:val="24"/>
        </w:rPr>
      </w:pPr>
      <w:r w:rsidRPr="00914DDC">
        <w:rPr>
          <w:sz w:val="24"/>
          <w:szCs w:val="24"/>
        </w:rPr>
        <w:t xml:space="preserve">Supplementary Results </w:t>
      </w:r>
    </w:p>
    <w:p w14:paraId="091BBD56" w14:textId="77777777" w:rsidR="00B921A8" w:rsidRPr="00914DDC" w:rsidRDefault="00B921A8" w:rsidP="00914DDC">
      <w:pPr>
        <w:pStyle w:val="Heading3"/>
        <w:rPr>
          <w:rFonts w:cs="Arial"/>
          <w:bCs/>
          <w:i/>
          <w:color w:val="auto"/>
          <w:szCs w:val="22"/>
        </w:rPr>
      </w:pPr>
      <w:r w:rsidRPr="00914DDC">
        <w:rPr>
          <w:rFonts w:ascii="Arial" w:hAnsi="Arial" w:cs="Arial"/>
          <w:b/>
          <w:bCs/>
          <w:color w:val="auto"/>
          <w:sz w:val="22"/>
          <w:szCs w:val="22"/>
        </w:rPr>
        <w:t>PK Model for rVWF</w:t>
      </w:r>
    </w:p>
    <w:p w14:paraId="083B31C9" w14:textId="1CADE5A1" w:rsidR="00B921A8" w:rsidRPr="00985F2E" w:rsidRDefault="00B921A8" w:rsidP="00B921A8">
      <w:r>
        <w:t xml:space="preserve">Graphical exploration of PK profiles indicated considerable differences in endogenous VWF between patients with VWD and severe hemophilia A. In </w:t>
      </w:r>
      <w:r w:rsidR="000C74AF">
        <w:t>the</w:t>
      </w:r>
      <w:r>
        <w:t xml:space="preserve"> first step, the difference in the typical endogenous level between VWD and severe hemophilia A patients was added as a structural covariate in the model. In addition, the variability in the endogenous VWF was different between patient populations and this was also considered in the model. A significant number of VWD patients had endogenous </w:t>
      </w:r>
      <w:r w:rsidR="001669CF">
        <w:t xml:space="preserve">VWF </w:t>
      </w:r>
      <w:r>
        <w:t>levels below LLOQ, and to stabilize the model, the typical endogenous level for this population was set to half the LLOQ</w:t>
      </w:r>
      <w:r w:rsidR="00E63097">
        <w:t xml:space="preserve"> (</w:t>
      </w:r>
      <w:r>
        <w:t>0.5 IU/dL</w:t>
      </w:r>
      <w:r w:rsidR="00E63097">
        <w:t>)</w:t>
      </w:r>
      <w:r>
        <w:t>. A sensitivity analysis where the typical endogenous level was fixed at other values did not suggest a significant impact of this parameter on the important PK parameters CL and V</w:t>
      </w:r>
      <w:r w:rsidRPr="00C90C8F">
        <w:rPr>
          <w:vertAlign w:val="subscript"/>
        </w:rPr>
        <w:t>c</w:t>
      </w:r>
      <w:r>
        <w:t xml:space="preserve">. In contrast to VWD type 3, non-type 3 </w:t>
      </w:r>
      <w:r w:rsidR="00E63097">
        <w:t xml:space="preserve">VWD </w:t>
      </w:r>
      <w:r>
        <w:t xml:space="preserve">(types 1 and 2) is typically associated with endogenous levels above LLOQ. Therefore, in </w:t>
      </w:r>
      <w:r w:rsidR="000C74AF">
        <w:t>the</w:t>
      </w:r>
      <w:r>
        <w:t xml:space="preserve"> second step, the difference in the typical endogenous level between VWD type 3 and non-type 3 was added </w:t>
      </w:r>
      <w:r>
        <w:lastRenderedPageBreak/>
        <w:t xml:space="preserve">as a structural covariate, where the typical endogenous level for VWD type 3 patients was kept to half the LLOQ (i.e. 0.5 IU/dL). Given that only ~9% (5/57) of patients with VWD type 3 had estimated endogenous levels above LLOQ, the variability in this group was set to 0, which is also supported </w:t>
      </w:r>
      <w:r w:rsidR="009424B7">
        <w:t>by</w:t>
      </w:r>
      <w:r>
        <w:t xml:space="preserve"> graphical extrapolation. The conclusion was that patients with severe hemophilia A had significantly higher endogenous</w:t>
      </w:r>
      <w:r w:rsidR="001669CF">
        <w:t xml:space="preserve"> VWF</w:t>
      </w:r>
      <w:r>
        <w:t xml:space="preserve"> levels compared to patients </w:t>
      </w:r>
      <w:r w:rsidR="00EF2377">
        <w:t xml:space="preserve">with VWD </w:t>
      </w:r>
      <w:r>
        <w:t>but no other differences in PK parameters were identified between patient populations.</w:t>
      </w:r>
      <w:r w:rsidR="00936572">
        <w:t xml:space="preserve"> </w:t>
      </w:r>
      <w:r w:rsidR="00E1076E">
        <w:t>This allowed</w:t>
      </w:r>
      <w:r w:rsidR="00C15591">
        <w:t xml:space="preserve"> patients with hemophilia A</w:t>
      </w:r>
      <w:r w:rsidR="00E1076E">
        <w:t xml:space="preserve"> to be</w:t>
      </w:r>
      <w:r w:rsidR="00C15591">
        <w:t xml:space="preserve"> included </w:t>
      </w:r>
      <w:r w:rsidR="0048364B">
        <w:t xml:space="preserve">in the </w:t>
      </w:r>
      <w:r w:rsidR="0048364B" w:rsidRPr="0048364B">
        <w:t>PK Model for rVWF</w:t>
      </w:r>
      <w:r w:rsidR="0048364B">
        <w:t xml:space="preserve"> </w:t>
      </w:r>
      <w:r w:rsidR="00C15591">
        <w:t xml:space="preserve">to </w:t>
      </w:r>
      <w:r w:rsidR="00E1076E">
        <w:t>increase</w:t>
      </w:r>
      <w:r w:rsidR="00C15591">
        <w:t xml:space="preserve"> sample size. </w:t>
      </w:r>
    </w:p>
    <w:p w14:paraId="79E44FB1" w14:textId="77777777" w:rsidR="00985F2E" w:rsidRDefault="00985F2E" w:rsidP="00914DDC"/>
    <w:p w14:paraId="30A516FC" w14:textId="421D521F" w:rsidR="00614B2B" w:rsidRPr="00914DDC" w:rsidRDefault="00614B2B" w:rsidP="00914DDC">
      <w:pPr>
        <w:pStyle w:val="Heading3"/>
        <w:rPr>
          <w:rFonts w:cs="Arial"/>
          <w:bCs/>
          <w:i/>
          <w:szCs w:val="22"/>
        </w:rPr>
      </w:pPr>
      <w:r w:rsidRPr="00914DDC">
        <w:rPr>
          <w:rFonts w:ascii="Arial" w:hAnsi="Arial" w:cs="Arial"/>
          <w:b/>
          <w:bCs/>
          <w:color w:val="auto"/>
          <w:sz w:val="22"/>
          <w:szCs w:val="22"/>
        </w:rPr>
        <w:t>PK Model for pdVWF/FVIII</w:t>
      </w:r>
    </w:p>
    <w:p w14:paraId="486F8E0C" w14:textId="77777777" w:rsidR="00614B2B" w:rsidRDefault="00614B2B" w:rsidP="00614B2B">
      <w:r>
        <w:t>The pre-dose VWF:RCo was below the LLOQ in 18 patients and 1 IU/dL in two patients, and so fixing E</w:t>
      </w:r>
      <w:r>
        <w:rPr>
          <w:vertAlign w:val="subscript"/>
        </w:rPr>
        <w:t>VWF</w:t>
      </w:r>
      <w:r>
        <w:t xml:space="preserve"> to half the LLOQ at 0.5 IU/dL was considered appropriate for these data. Clearance (CL), intercompartmental clearance (Q), volume of distribution (V</w:t>
      </w:r>
      <w:r>
        <w:rPr>
          <w:vertAlign w:val="subscript"/>
        </w:rPr>
        <w:t>c</w:t>
      </w:r>
      <w:r>
        <w:t>) and volume of distribution for the peripheral compartment (V</w:t>
      </w:r>
      <w:r>
        <w:rPr>
          <w:vertAlign w:val="subscript"/>
        </w:rPr>
        <w:t>p</w:t>
      </w:r>
      <w:r>
        <w:t>) were allometrically scaled to body weight, with fixed allometric exponents, and parameterized as:</w:t>
      </w:r>
    </w:p>
    <w:p w14:paraId="7AA94DA7" w14:textId="77777777" w:rsidR="00614B2B" w:rsidRDefault="00914DDC" w:rsidP="00614B2B">
      <w:pPr>
        <w:spacing w:before="0" w:after="0"/>
        <w:ind w:firstLine="288"/>
        <w:rPr>
          <w:rFonts w:eastAsiaTheme="minorEastAsia"/>
        </w:rPr>
      </w:pPr>
      <m:oMathPara>
        <m:oMath>
          <m:sSub>
            <m:sSubPr>
              <m:ctrlPr>
                <w:rPr>
                  <w:rFonts w:ascii="Cambria Math" w:hAnsi="Cambria Math"/>
                  <w:i/>
                </w:rPr>
              </m:ctrlPr>
            </m:sSubPr>
            <m:e>
              <m:r>
                <w:rPr>
                  <w:rFonts w:ascii="Cambria Math" w:hAnsi="Cambria Math"/>
                </w:rPr>
                <m:t>CL</m:t>
              </m:r>
            </m:e>
            <m:sub>
              <m:r>
                <w:rPr>
                  <w:rFonts w:ascii="Cambria Math" w:hAnsi="Cambria Math"/>
                </w:rPr>
                <m:t>i</m:t>
              </m:r>
            </m:sub>
          </m:sSub>
          <m:r>
            <w:rPr>
              <w:rFonts w:ascii="Cambria Math" w:hAnsi="Cambria Math"/>
            </w:rPr>
            <m:t xml:space="preserve">= </m:t>
          </m:r>
          <m:r>
            <w:rPr>
              <w:rFonts w:ascii="Cambria Math" w:hAnsi="Cambria Math"/>
            </w:rPr>
            <m:t>CL</m:t>
          </m:r>
          <m:r>
            <w:rPr>
              <w:rFonts w:ascii="Cambria Math" w:hAnsi="Cambria Math"/>
            </w:rPr>
            <m:t>·</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WT</m:t>
                          </m:r>
                        </m:e>
                        <m:sub>
                          <m:r>
                            <w:rPr>
                              <w:rFonts w:ascii="Cambria Math" w:hAnsi="Cambria Math"/>
                            </w:rPr>
                            <m:t>i</m:t>
                          </m:r>
                        </m:sub>
                      </m:sSub>
                    </m:num>
                    <m:den>
                      <m:r>
                        <w:rPr>
                          <w:rFonts w:ascii="Cambria Math" w:hAnsi="Cambria Math"/>
                        </w:rPr>
                        <m:t>75</m:t>
                      </m:r>
                    </m:den>
                  </m:f>
                </m:e>
              </m:d>
            </m:e>
            <m:sup>
              <m:r>
                <w:rPr>
                  <w:rFonts w:ascii="Cambria Math" w:hAnsi="Cambria Math"/>
                </w:rPr>
                <m:t>0.75</m:t>
              </m:r>
            </m:sup>
          </m:sSup>
          <m:r>
            <w:rPr>
              <w:rFonts w:ascii="Cambria Math" w:hAnsi="Cambria Math"/>
            </w:rPr>
            <m:t>·</m:t>
          </m:r>
          <m:sSup>
            <m:sSupPr>
              <m:ctrlPr>
                <w:rPr>
                  <w:rFonts w:ascii="Cambria Math" w:hAnsi="Cambria Math"/>
                  <w:i/>
                </w:rPr>
              </m:ctrlPr>
            </m:sSupPr>
            <m:e>
              <m:r>
                <w:rPr>
                  <w:rFonts w:ascii="Cambria Math" w:hAnsi="Cambria Math"/>
                </w:rPr>
                <m:t>exp</m:t>
              </m:r>
            </m:e>
            <m:sup>
              <m:r>
                <w:rPr>
                  <w:rFonts w:ascii="Cambria Math" w:hAnsi="Cambria Math"/>
                </w:rPr>
                <m:t>(</m:t>
              </m:r>
              <m:r>
                <w:rPr>
                  <w:rFonts w:ascii="Cambria Math" w:hAnsi="Cambria Math"/>
                </w:rPr>
                <m:t>ηCL</m:t>
              </m:r>
              <m:r>
                <w:rPr>
                  <w:rFonts w:ascii="Cambria Math" w:hAnsi="Cambria Math"/>
                </w:rPr>
                <m:t>)</m:t>
              </m:r>
            </m:sup>
          </m:sSup>
          <m:r>
            <w:rPr>
              <w:rFonts w:ascii="Cambria Math" w:hAnsi="Cambria Math"/>
            </w:rPr>
            <m:t xml:space="preserve"> </m:t>
          </m:r>
        </m:oMath>
      </m:oMathPara>
    </w:p>
    <w:p w14:paraId="4C150411" w14:textId="77777777" w:rsidR="00614B2B" w:rsidRDefault="00914DDC" w:rsidP="00614B2B">
      <w:pPr>
        <w:spacing w:before="0" w:after="0"/>
        <w:ind w:firstLine="288"/>
        <w:rPr>
          <w:rFonts w:eastAsiaTheme="minorEastAsia"/>
        </w:rPr>
      </w:pPr>
      <m:oMathPara>
        <m:oMath>
          <m:sSub>
            <m:sSubPr>
              <m:ctrlPr>
                <w:rPr>
                  <w:rFonts w:ascii="Cambria Math" w:hAnsi="Cambria Math"/>
                  <w:i/>
                </w:rPr>
              </m:ctrlPr>
            </m:sSubPr>
            <m:e>
              <m:r>
                <w:rPr>
                  <w:rFonts w:ascii="Cambria Math" w:hAnsi="Cambria Math"/>
                </w:rPr>
                <m:t>Q</m:t>
              </m:r>
            </m:e>
            <m:sub>
              <m:r>
                <w:rPr>
                  <w:rFonts w:ascii="Cambria Math" w:hAnsi="Cambria Math"/>
                </w:rPr>
                <m:t>i</m:t>
              </m:r>
            </m:sub>
          </m:sSub>
          <m:r>
            <w:rPr>
              <w:rFonts w:ascii="Cambria Math" w:hAnsi="Cambria Math"/>
            </w:rPr>
            <m:t xml:space="preserve"> =</m:t>
          </m:r>
          <m:r>
            <w:rPr>
              <w:rFonts w:ascii="Cambria Math" w:hAnsi="Cambria Math"/>
            </w:rPr>
            <m:t>Q</m:t>
          </m:r>
          <m:r>
            <w:rPr>
              <w:rFonts w:ascii="Cambria Math" w:hAnsi="Cambria Math"/>
            </w:rPr>
            <m:t>·</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WT</m:t>
                          </m:r>
                        </m:e>
                        <m:sub>
                          <m:r>
                            <w:rPr>
                              <w:rFonts w:ascii="Cambria Math" w:hAnsi="Cambria Math"/>
                            </w:rPr>
                            <m:t>i</m:t>
                          </m:r>
                        </m:sub>
                      </m:sSub>
                    </m:num>
                    <m:den>
                      <m:r>
                        <w:rPr>
                          <w:rFonts w:ascii="Cambria Math" w:hAnsi="Cambria Math"/>
                        </w:rPr>
                        <m:t>75</m:t>
                      </m:r>
                    </m:den>
                  </m:f>
                </m:e>
              </m:d>
            </m:e>
            <m:sup>
              <m:r>
                <w:rPr>
                  <w:rFonts w:ascii="Cambria Math" w:hAnsi="Cambria Math"/>
                </w:rPr>
                <m:t>0.75</m:t>
              </m:r>
            </m:sup>
          </m:sSup>
        </m:oMath>
      </m:oMathPara>
    </w:p>
    <w:p w14:paraId="5D49D884" w14:textId="77777777" w:rsidR="00614B2B" w:rsidRDefault="00614B2B" w:rsidP="00614B2B">
      <w:pPr>
        <w:spacing w:before="0" w:after="0"/>
      </w:pPr>
    </w:p>
    <w:p w14:paraId="75041FB5" w14:textId="77777777" w:rsidR="00614B2B" w:rsidRDefault="00614B2B" w:rsidP="00614B2B">
      <w:pPr>
        <w:spacing w:before="0" w:after="0"/>
      </w:pPr>
      <w:r>
        <w:t>The covariate effects on V</w:t>
      </w:r>
      <w:r>
        <w:rPr>
          <w:vertAlign w:val="subscript"/>
        </w:rPr>
        <w:t>c</w:t>
      </w:r>
      <w:r>
        <w:t xml:space="preserve"> were expressed as below: </w:t>
      </w:r>
    </w:p>
    <w:p w14:paraId="3A416834" w14:textId="77777777" w:rsidR="00614B2B" w:rsidRDefault="00914DDC" w:rsidP="00614B2B">
      <w:pPr>
        <w:spacing w:before="0" w:after="0"/>
        <w:ind w:firstLine="288"/>
      </w:pPr>
      <m:oMathPara>
        <m:oMath>
          <m:sSub>
            <m:sSubPr>
              <m:ctrlPr>
                <w:rPr>
                  <w:rFonts w:ascii="Cambria Math" w:hAnsi="Cambria Math"/>
                  <w:i/>
                </w:rPr>
              </m:ctrlPr>
            </m:sSubPr>
            <m:e>
              <m:r>
                <w:rPr>
                  <w:rFonts w:ascii="Cambria Math" w:hAnsi="Cambria Math"/>
                </w:rPr>
                <m:t>Vc</m:t>
              </m:r>
            </m:e>
            <m:sub>
              <m:r>
                <w:rPr>
                  <w:rFonts w:ascii="Cambria Math" w:hAnsi="Cambria Math"/>
                </w:rPr>
                <m:t>i</m:t>
              </m:r>
            </m:sub>
          </m:sSub>
          <m:r>
            <w:rPr>
              <w:rFonts w:ascii="Cambria Math" w:hAnsi="Cambria Math"/>
            </w:rPr>
            <m:t xml:space="preserve"> =</m:t>
          </m:r>
          <m:r>
            <w:rPr>
              <w:rFonts w:ascii="Cambria Math" w:hAnsi="Cambria Math"/>
            </w:rPr>
            <m:t>Vc</m:t>
          </m:r>
          <m:r>
            <w:rPr>
              <w:rFonts w:ascii="Cambria Math" w:hAnsi="Cambria Math"/>
            </w:rPr>
            <m:t>·</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WT</m:t>
                          </m:r>
                        </m:e>
                        <m:sub>
                          <m:r>
                            <w:rPr>
                              <w:rFonts w:ascii="Cambria Math" w:hAnsi="Cambria Math"/>
                            </w:rPr>
                            <m:t>i</m:t>
                          </m:r>
                        </m:sub>
                      </m:sSub>
                    </m:num>
                    <m:den>
                      <m:r>
                        <w:rPr>
                          <w:rFonts w:ascii="Cambria Math" w:hAnsi="Cambria Math"/>
                        </w:rPr>
                        <m:t>75</m:t>
                      </m:r>
                    </m:den>
                  </m:f>
                </m:e>
              </m:d>
            </m:e>
            <m:sup>
              <m:r>
                <w:rPr>
                  <w:rFonts w:ascii="Cambria Math" w:hAnsi="Cambria Math"/>
                </w:rPr>
                <m:t>1</m:t>
              </m:r>
            </m:sup>
          </m:sSup>
          <m:r>
            <w:rPr>
              <w:rFonts w:ascii="Cambria Math" w:hAnsi="Cambria Math"/>
            </w:rPr>
            <m:t>·</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Hematocrit</m:t>
                          </m:r>
                        </m:e>
                        <m:sub>
                          <m:r>
                            <w:rPr>
                              <w:rFonts w:ascii="Cambria Math" w:hAnsi="Cambria Math"/>
                            </w:rPr>
                            <m:t>i</m:t>
                          </m:r>
                        </m:sub>
                      </m:sSub>
                    </m:num>
                    <m:den>
                      <m:r>
                        <w:rPr>
                          <w:rFonts w:ascii="Cambria Math" w:hAnsi="Cambria Math"/>
                        </w:rPr>
                        <m:t>0.4</m:t>
                      </m:r>
                    </m:den>
                  </m:f>
                </m:e>
              </m:d>
            </m:e>
            <m:sup>
              <m:r>
                <w:rPr>
                  <w:rFonts w:ascii="Cambria Math" w:hAnsi="Cambria Math"/>
                </w:rPr>
                <m:t>-</m:t>
              </m:r>
              <m:r>
                <w:rPr>
                  <w:rFonts w:ascii="Cambria Math" w:hAnsi="Cambria Math"/>
                </w:rPr>
                <m:t>0.334</m:t>
              </m:r>
            </m:sup>
          </m:sSup>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m:t>
              </m:r>
              <m:r>
                <w:rPr>
                  <w:rFonts w:ascii="Cambria Math" w:hAnsi="Cambria Math"/>
                </w:rPr>
                <m:t>ηVC</m:t>
              </m:r>
              <m:r>
                <w:rPr>
                  <w:rFonts w:ascii="Cambria Math" w:hAnsi="Cambria Math"/>
                </w:rPr>
                <m:t>)</m:t>
              </m:r>
            </m:sup>
          </m:sSup>
          <m:r>
            <w:rPr>
              <w:rFonts w:ascii="Cambria Math" w:hAnsi="Cambria Math"/>
            </w:rPr>
            <m:t xml:space="preserve"> </m:t>
          </m:r>
        </m:oMath>
      </m:oMathPara>
    </w:p>
    <w:p w14:paraId="7A4759B2" w14:textId="77777777" w:rsidR="00614B2B" w:rsidRDefault="00614B2B" w:rsidP="00614B2B">
      <w:pPr>
        <w:spacing w:before="0" w:after="0"/>
        <w:ind w:firstLine="288"/>
        <w:rPr>
          <w:rFonts w:eastAsiaTheme="minorEastAsia"/>
        </w:rPr>
      </w:pPr>
    </w:p>
    <w:p w14:paraId="1E48F475" w14:textId="77777777" w:rsidR="00614B2B" w:rsidRDefault="00914DDC" w:rsidP="00614B2B">
      <w:pPr>
        <w:spacing w:before="0" w:after="0"/>
        <w:ind w:firstLine="288"/>
        <w:rPr>
          <w:rFonts w:eastAsiaTheme="minorEastAsia"/>
        </w:rPr>
      </w:pPr>
      <m:oMathPara>
        <m:oMath>
          <m:sSub>
            <m:sSubPr>
              <m:ctrlPr>
                <w:rPr>
                  <w:rFonts w:ascii="Cambria Math" w:hAnsi="Cambria Math"/>
                  <w:i/>
                </w:rPr>
              </m:ctrlPr>
            </m:sSubPr>
            <m:e>
              <m:r>
                <w:rPr>
                  <w:rFonts w:ascii="Cambria Math" w:hAnsi="Cambria Math"/>
                </w:rPr>
                <m:t>Vp</m:t>
              </m:r>
            </m:e>
            <m:sub>
              <m:r>
                <w:rPr>
                  <w:rFonts w:ascii="Cambria Math" w:hAnsi="Cambria Math"/>
                </w:rPr>
                <m:t>i</m:t>
              </m:r>
            </m:sub>
          </m:sSub>
          <m:r>
            <w:rPr>
              <w:rFonts w:ascii="Cambria Math" w:hAnsi="Cambria Math"/>
            </w:rPr>
            <m:t xml:space="preserve"> =</m:t>
          </m:r>
          <m:r>
            <w:rPr>
              <w:rFonts w:ascii="Cambria Math" w:hAnsi="Cambria Math"/>
            </w:rPr>
            <m:t>Vp</m:t>
          </m:r>
          <m:r>
            <w:rPr>
              <w:rFonts w:ascii="Cambria Math" w:hAnsi="Cambria Math"/>
            </w:rPr>
            <m:t>·</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WT</m:t>
                          </m:r>
                        </m:e>
                        <m:sub>
                          <m:r>
                            <w:rPr>
                              <w:rFonts w:ascii="Cambria Math" w:hAnsi="Cambria Math"/>
                            </w:rPr>
                            <m:t>i</m:t>
                          </m:r>
                        </m:sub>
                      </m:sSub>
                    </m:num>
                    <m:den>
                      <m:r>
                        <w:rPr>
                          <w:rFonts w:ascii="Cambria Math" w:hAnsi="Cambria Math"/>
                        </w:rPr>
                        <m:t>75</m:t>
                      </m:r>
                    </m:den>
                  </m:f>
                </m:e>
              </m:d>
            </m:e>
            <m:sup>
              <m:r>
                <w:rPr>
                  <w:rFonts w:ascii="Cambria Math" w:hAnsi="Cambria Math"/>
                </w:rPr>
                <m:t>1</m:t>
              </m:r>
            </m:sup>
          </m:sSup>
        </m:oMath>
      </m:oMathPara>
    </w:p>
    <w:p w14:paraId="6FD6EA78" w14:textId="77777777" w:rsidR="00614B2B" w:rsidRDefault="00614B2B" w:rsidP="00614B2B">
      <w:pPr>
        <w:spacing w:before="0" w:after="0"/>
      </w:pPr>
      <w:r>
        <w:t>where CL</w:t>
      </w:r>
      <w:r>
        <w:rPr>
          <w:vertAlign w:val="subscript"/>
        </w:rPr>
        <w:t>i</w:t>
      </w:r>
      <w:r>
        <w:t>, Q</w:t>
      </w:r>
      <w:r>
        <w:rPr>
          <w:vertAlign w:val="subscript"/>
        </w:rPr>
        <w:t>i</w:t>
      </w:r>
      <w:r>
        <w:t>, V</w:t>
      </w:r>
      <w:r>
        <w:rPr>
          <w:vertAlign w:val="subscript"/>
        </w:rPr>
        <w:t>ci</w:t>
      </w:r>
      <w:r>
        <w:t xml:space="preserve"> and V</w:t>
      </w:r>
      <w:r>
        <w:rPr>
          <w:vertAlign w:val="subscript"/>
        </w:rPr>
        <w:t>pi</w:t>
      </w:r>
      <w:r>
        <w:t xml:space="preserve"> are the individual estimates, and CL, Q, V</w:t>
      </w:r>
      <w:r>
        <w:rPr>
          <w:vertAlign w:val="subscript"/>
        </w:rPr>
        <w:t>c</w:t>
      </w:r>
      <w:r>
        <w:t xml:space="preserve"> and V</w:t>
      </w:r>
      <w:r>
        <w:rPr>
          <w:vertAlign w:val="subscript"/>
        </w:rPr>
        <w:t>p</w:t>
      </w:r>
      <w:r>
        <w:t xml:space="preserve"> are the typical estimates for CL, Q, V</w:t>
      </w:r>
      <w:r>
        <w:rPr>
          <w:vertAlign w:val="subscript"/>
        </w:rPr>
        <w:t>c</w:t>
      </w:r>
      <w:r>
        <w:t xml:space="preserve"> and V</w:t>
      </w:r>
      <w:r>
        <w:rPr>
          <w:vertAlign w:val="subscript"/>
        </w:rPr>
        <w:t>p</w:t>
      </w:r>
      <w:r>
        <w:t>, respectively; WT</w:t>
      </w:r>
      <w:r>
        <w:rPr>
          <w:vertAlign w:val="subscript"/>
        </w:rPr>
        <w:t>i</w:t>
      </w:r>
      <w:r>
        <w:t xml:space="preserve"> is the individual body weight (WT) and 75 </w:t>
      </w:r>
      <w:r>
        <w:lastRenderedPageBreak/>
        <w:t>kg is the reference body weight; hematocrit</w:t>
      </w:r>
      <w:r>
        <w:rPr>
          <w:vertAlign w:val="subscript"/>
        </w:rPr>
        <w:t>i</w:t>
      </w:r>
      <w:r>
        <w:t xml:space="preserve"> the individual hematocrit and 0.4 L/L the reference hematocrit; and </w:t>
      </w:r>
      <w:r>
        <w:rPr>
          <w:rFonts w:cs="Arial"/>
          <w:i/>
          <w:iCs/>
        </w:rPr>
        <w:t>η</w:t>
      </w:r>
      <w:r>
        <w:t xml:space="preserve">CL and </w:t>
      </w:r>
      <w:r>
        <w:rPr>
          <w:rFonts w:cs="Arial"/>
          <w:i/>
          <w:iCs/>
        </w:rPr>
        <w:t>η</w:t>
      </w:r>
      <w:r>
        <w:t>VC the interindividual variability in CL and V</w:t>
      </w:r>
      <w:r>
        <w:rPr>
          <w:vertAlign w:val="subscript"/>
        </w:rPr>
        <w:t>c.</w:t>
      </w:r>
    </w:p>
    <w:p w14:paraId="22EDDFC0" w14:textId="60F92714" w:rsidR="00614B2B" w:rsidRDefault="00614B2B" w:rsidP="00614B2B">
      <w:pPr>
        <w:spacing w:before="0" w:after="0"/>
      </w:pPr>
      <w:r>
        <w:t xml:space="preserve"> </w:t>
      </w:r>
      <w:r>
        <w:tab/>
        <w:t>Estimated exponents for CL and volume of distribution parameters were 0.54 and 0.33, respectively. This did not appear to be in line with previous experience</w:t>
      </w:r>
      <w:r>
        <w:fldChar w:fldCharType="begin"/>
      </w:r>
      <w:r w:rsidR="00F31C01">
        <w:instrText xml:space="preserve"> ADDIN EN.CITE &lt;EndNote&gt;&lt;Cite&gt;&lt;Author&gt;Holford&lt;/Author&gt;&lt;Year&gt;1996&lt;/Year&gt;&lt;RecNum&gt;47&lt;/RecNum&gt;&lt;DisplayText&gt;&lt;style face="superscript"&gt;5&lt;/style&gt;&lt;/DisplayText&gt;&lt;record&gt;&lt;rec-number&gt;47&lt;/rec-number&gt;&lt;foreign-keys&gt;&lt;key app="EN" db-id="szs0z50rr99e09er550pev9rwpzxxpsdtree" timestamp="1663240618"&gt;47&lt;/key&gt;&lt;/foreign-keys&gt;&lt;ref-type name="Journal Article"&gt;17&lt;/ref-type&gt;&lt;contributors&gt;&lt;authors&gt;&lt;author&gt;Holford, N. H.&lt;/author&gt;&lt;/authors&gt;&lt;/contributors&gt;&lt;auth-address&gt;Department of Pharmacology and Clinical Pharmacology, University of Auckland, New Zealand.&lt;/auth-address&gt;&lt;titles&gt;&lt;title&gt;A size standard for pharmacokinetics&lt;/title&gt;&lt;secondary-title&gt;Clin Pharmacokinet&lt;/secondary-title&gt;&lt;/titles&gt;&lt;periodical&gt;&lt;full-title&gt;Clin Pharmacokinet&lt;/full-title&gt;&lt;/periodical&gt;&lt;pages&gt;329-32&lt;/pages&gt;&lt;volume&gt;30&lt;/volume&gt;&lt;number&gt;5&lt;/number&gt;&lt;edition&gt;1996/05/01&lt;/edition&gt;&lt;keywords&gt;&lt;keyword&gt;*Body Constitution&lt;/keyword&gt;&lt;keyword&gt;Body Surface Area&lt;/keyword&gt;&lt;keyword&gt;Humans&lt;/keyword&gt;&lt;keyword&gt;*Pharmacokinetics&lt;/keyword&gt;&lt;keyword&gt;Reference Standards&lt;/keyword&gt;&lt;/keywords&gt;&lt;dates&gt;&lt;year&gt;1996&lt;/year&gt;&lt;pub-dates&gt;&lt;date&gt;May&lt;/date&gt;&lt;/pub-dates&gt;&lt;/dates&gt;&lt;isbn&gt;0312-5963 (Print)&amp;#xD;0312-5963 (Linking)&lt;/isbn&gt;&lt;accession-num&gt;8743333&lt;/accession-num&gt;&lt;urls&gt;&lt;related-urls&gt;&lt;url&gt;https://www.ncbi.nlm.nih.gov/pubmed/8743333&lt;/url&gt;&lt;/related-urls&gt;&lt;/urls&gt;&lt;electronic-resource-num&gt;10.2165/00003088-199630050-00001&lt;/electronic-resource-num&gt;&lt;/record&gt;&lt;/Cite&gt;&lt;/EndNote&gt;</w:instrText>
      </w:r>
      <w:r>
        <w:fldChar w:fldCharType="separate"/>
      </w:r>
      <w:r w:rsidR="00E91234" w:rsidRPr="00E91234">
        <w:rPr>
          <w:noProof/>
          <w:vertAlign w:val="superscript"/>
        </w:rPr>
        <w:t>5</w:t>
      </w:r>
      <w:r>
        <w:fldChar w:fldCharType="end"/>
      </w:r>
      <w:r>
        <w:t xml:space="preserve"> and thus the fixed exponents were kept in the model. Interindividual variability terms were supported on CL and V</w:t>
      </w:r>
      <w:r>
        <w:rPr>
          <w:vertAlign w:val="subscript"/>
        </w:rPr>
        <w:t>c</w:t>
      </w:r>
      <w:r>
        <w:t>. The residual unexplained variability for VWF:RCo was described by a combined proportional and additive error model.</w:t>
      </w:r>
    </w:p>
    <w:p w14:paraId="1AADA0CB" w14:textId="77777777" w:rsidR="00614B2B" w:rsidRDefault="00614B2B" w:rsidP="00614B2B">
      <w:pPr>
        <w:spacing w:before="0" w:after="0"/>
      </w:pPr>
    </w:p>
    <w:p w14:paraId="11FE4FA2" w14:textId="77777777" w:rsidR="00614B2B" w:rsidRPr="007E5ACD" w:rsidRDefault="00614B2B" w:rsidP="00914DDC">
      <w:pPr>
        <w:pStyle w:val="Heading3"/>
        <w:rPr>
          <w:rFonts w:cs="Arial"/>
          <w:bCs/>
          <w:iCs/>
          <w:szCs w:val="22"/>
        </w:rPr>
      </w:pPr>
      <w:r w:rsidRPr="00914DDC">
        <w:rPr>
          <w:rFonts w:ascii="Arial" w:hAnsi="Arial" w:cs="Arial"/>
          <w:b/>
          <w:bCs/>
          <w:iCs/>
          <w:color w:val="auto"/>
          <w:szCs w:val="22"/>
        </w:rPr>
        <w:t>PK/PD Model for pdVWF/FVIII</w:t>
      </w:r>
    </w:p>
    <w:p w14:paraId="6441C30E" w14:textId="1BBF9DAA" w:rsidR="00614B2B" w:rsidRDefault="00614B2B" w:rsidP="00614B2B">
      <w:pPr>
        <w:spacing w:before="0" w:after="0"/>
      </w:pPr>
      <w:r>
        <w:t xml:space="preserve">To account for the distribution of the pdFVIII dose, a volume of distribution of FVIII was introduced into the model, V FVIII. It was assumed that the elimination of pdFVIII was the same as for endogenous FVIII, and thus accounted for by </w:t>
      </w:r>
      <w:r>
        <w:rPr>
          <w:i/>
          <w:iCs/>
        </w:rPr>
        <w:t>k</w:t>
      </w:r>
      <w:r>
        <w:rPr>
          <w:vertAlign w:val="subscript"/>
        </w:rPr>
        <w:t>out</w:t>
      </w:r>
      <w:r>
        <w:t xml:space="preserve"> in the model.</w:t>
      </w:r>
      <w:r w:rsidR="00C1024E" w:rsidRPr="00C1024E">
        <w:t xml:space="preserve"> </w:t>
      </w:r>
      <w:r w:rsidR="0072726B" w:rsidRPr="0072726B">
        <w:t xml:space="preserve">Indirect evidence supports the similarity of the elimination rates </w:t>
      </w:r>
      <w:r w:rsidR="0072726B">
        <w:t xml:space="preserve">for </w:t>
      </w:r>
      <w:r w:rsidR="0072726B" w:rsidRPr="0072726B">
        <w:t>pdFVIII and endogenous FVIII.</w:t>
      </w:r>
      <w:r w:rsidR="0072726B">
        <w:t xml:space="preserve"> </w:t>
      </w:r>
      <w:r w:rsidR="00640FCC">
        <w:t>First, t</w:t>
      </w:r>
      <w:r w:rsidR="00C1024E" w:rsidRPr="00C1024E">
        <w:t>he estimated k</w:t>
      </w:r>
      <w:r w:rsidR="00C1024E" w:rsidRPr="00914DDC">
        <w:rPr>
          <w:vertAlign w:val="subscript"/>
        </w:rPr>
        <w:t>out</w:t>
      </w:r>
      <w:r w:rsidR="00C1024E" w:rsidRPr="00C1024E">
        <w:t xml:space="preserve"> in the model (15.9 h</w:t>
      </w:r>
      <w:r w:rsidR="00C1024E" w:rsidRPr="00914DDC">
        <w:rPr>
          <w:vertAlign w:val="superscript"/>
        </w:rPr>
        <w:t>-1</w:t>
      </w:r>
      <w:r w:rsidR="00C1024E" w:rsidRPr="00C1024E">
        <w:t>) corresponds to the FVIII elimination rate associated with zero VWF:RCo activity, but for VWF:RCo activities larger than zero, for example 50 IU/dL, the adjusted k</w:t>
      </w:r>
      <w:r w:rsidR="00C1024E" w:rsidRPr="00914DDC">
        <w:rPr>
          <w:vertAlign w:val="subscript"/>
        </w:rPr>
        <w:t xml:space="preserve">out </w:t>
      </w:r>
      <w:r w:rsidR="00C1024E" w:rsidRPr="00C1024E">
        <w:t>for type 3 VWD would be 0.06 h</w:t>
      </w:r>
      <w:r w:rsidR="00C1024E" w:rsidRPr="00914DDC">
        <w:rPr>
          <w:vertAlign w:val="superscript"/>
        </w:rPr>
        <w:t>-1</w:t>
      </w:r>
      <w:r w:rsidR="00C1024E" w:rsidRPr="00C1024E">
        <w:t>, which translates into a FVIII half-life of 11.5 h (95% CI</w:t>
      </w:r>
      <w:r w:rsidR="00C1024E">
        <w:t xml:space="preserve">: </w:t>
      </w:r>
      <w:r w:rsidR="00C1024E" w:rsidRPr="00C1024E">
        <w:t xml:space="preserve">10.1–13.3 h). This half-life is in the range of those observed for </w:t>
      </w:r>
      <w:r w:rsidR="00640FCC" w:rsidRPr="0072726B">
        <w:t>pdFVIII</w:t>
      </w:r>
      <w:r w:rsidR="00640FCC" w:rsidRPr="00C1024E">
        <w:t xml:space="preserve"> </w:t>
      </w:r>
      <w:r w:rsidR="00C1024E" w:rsidRPr="00C1024E">
        <w:t>products.</w:t>
      </w:r>
      <w:r w:rsidR="00F31C01">
        <w:fldChar w:fldCharType="begin"/>
      </w:r>
      <w:r w:rsidR="00F31C01">
        <w:instrText xml:space="preserve"> ADDIN EN.CITE &lt;EndNote&gt;&lt;Cite&gt;&lt;Author&gt;Humate-P prescribing information&lt;/Author&gt;&lt;RecNum&gt;50&lt;/RecNum&gt;&lt;DisplayText&gt;&lt;style face="superscript"&gt;6,7&lt;/style&gt;&lt;/DisplayText&gt;&lt;record&gt;&lt;rec-number&gt;50&lt;/rec-number&gt;&lt;foreign-keys&gt;&lt;key app="EN" db-id="szs0z50rr99e09er550pev9rwpzxxpsdtree" timestamp="1679915516"&gt;50&lt;/key&gt;&lt;/foreign-keys&gt;&lt;ref-type name="Journal Article"&gt;17&lt;/ref-type&gt;&lt;contributors&gt;&lt;authors&gt;&lt;author&gt;Humate-P prescribing information,&lt;/author&gt;&lt;/authors&gt;&lt;/contributors&gt;&lt;titles&gt;&lt;title&gt;https://labeling.cslbehring.com/pi/us/humate-p/en/humate-p-prescribing-information.pdf Accessed 27 March 2023&lt;/title&gt;&lt;/titles&gt;&lt;dates&gt;&lt;/dates&gt;&lt;urls&gt;&lt;/urls&gt;&lt;/record&gt;&lt;/Cite&gt;&lt;Cite&gt;&lt;Author&gt;Wilate prescribing information&lt;/Author&gt;&lt;RecNum&gt;51&lt;/RecNum&gt;&lt;record&gt;&lt;rec-number&gt;51&lt;/rec-number&gt;&lt;foreign-keys&gt;&lt;key app="EN" db-id="szs0z50rr99e09er550pev9rwpzxxpsdtree" timestamp="1679915603"&gt;51&lt;/key&gt;&lt;/foreign-keys&gt;&lt;ref-type name="Journal Article"&gt;17&lt;/ref-type&gt;&lt;contributors&gt;&lt;authors&gt;&lt;author&gt;Wilate prescribing information,&lt;/author&gt;&lt;/authors&gt;&lt;/contributors&gt;&lt;titles&gt;&lt;title&gt;https://www.fda.gov/media/77812/download Accessed 27 March 2023&lt;/title&gt;&lt;/titles&gt;&lt;dates&gt;&lt;/dates&gt;&lt;urls&gt;&lt;/urls&gt;&lt;/record&gt;&lt;/Cite&gt;&lt;/EndNote&gt;</w:instrText>
      </w:r>
      <w:r w:rsidR="00F31C01">
        <w:fldChar w:fldCharType="separate"/>
      </w:r>
      <w:r w:rsidR="00F31C01" w:rsidRPr="00F31C01">
        <w:rPr>
          <w:noProof/>
          <w:vertAlign w:val="superscript"/>
        </w:rPr>
        <w:t>6,7</w:t>
      </w:r>
      <w:r w:rsidR="00F31C01">
        <w:fldChar w:fldCharType="end"/>
      </w:r>
      <w:r w:rsidR="00C1024E" w:rsidRPr="00C1024E">
        <w:t xml:space="preserve"> Moreover, it should be noted that the available data did not allow to separately estimate the elimination rates for </w:t>
      </w:r>
      <w:r w:rsidR="00C1024E">
        <w:t>pdFVIII</w:t>
      </w:r>
      <w:r w:rsidR="00C1024E" w:rsidRPr="00C1024E">
        <w:t xml:space="preserve"> and endogenous FVIII. Finally, model evaluation supported this assumption and has not revealed any sign of misspecification.</w:t>
      </w:r>
    </w:p>
    <w:p w14:paraId="49E4DBAF" w14:textId="77777777" w:rsidR="00614B2B" w:rsidRDefault="00614B2B" w:rsidP="00614B2B">
      <w:pPr>
        <w:spacing w:before="0" w:after="0"/>
        <w:ind w:firstLine="288"/>
        <w:rPr>
          <w:rFonts w:cs="Arial"/>
        </w:rPr>
      </w:pPr>
      <w:r>
        <w:t xml:space="preserve">The system-specific parameters, baseline FVIII, </w:t>
      </w:r>
      <w:r>
        <w:rPr>
          <w:i/>
          <w:iCs/>
        </w:rPr>
        <w:t>k</w:t>
      </w:r>
      <w:r>
        <w:rPr>
          <w:vertAlign w:val="subscript"/>
        </w:rPr>
        <w:t>out</w:t>
      </w:r>
      <w:r>
        <w:t xml:space="preserve"> and the covariate effect of hematocrit on baseline FVIII can be expected to be similar across all VWD type 3 patients and independent of drug product. Fixing these estimates to those of the population PK/PD model for rVWF did not significantly impact the objective functional value or predictive performance of the model. The impact of hematocrit on the baseline FVIII was modeled using the equation:</w:t>
      </w:r>
    </w:p>
    <w:p w14:paraId="6BCC9C1E" w14:textId="77777777" w:rsidR="00614B2B" w:rsidRDefault="00914DDC" w:rsidP="00614B2B">
      <w:pPr>
        <w:spacing w:before="0" w:after="0"/>
        <w:ind w:firstLine="288"/>
        <w:rPr>
          <w:rFonts w:eastAsiaTheme="minorEastAsia"/>
          <w:iCs/>
        </w:rPr>
      </w:pPr>
      <m:oMathPara>
        <m:oMath>
          <m:sSup>
            <m:sSupPr>
              <m:ctrlPr>
                <w:rPr>
                  <w:rFonts w:ascii="Cambria Math" w:eastAsiaTheme="minorEastAsia" w:hAnsi="Cambria Math" w:cs="Arial"/>
                  <w:iCs/>
                </w:rPr>
              </m:ctrlPr>
            </m:sSupPr>
            <m:e>
              <m:r>
                <m:rPr>
                  <m:sty m:val="p"/>
                </m:rPr>
                <w:rPr>
                  <w:rFonts w:ascii="Cambria Math" w:eastAsiaTheme="minorEastAsia" w:hAnsi="Cambria Math" w:cs="Arial"/>
                </w:rPr>
                <m:t xml:space="preserve">Baseline </m:t>
              </m:r>
              <m:sSub>
                <m:sSubPr>
                  <m:ctrlPr>
                    <w:rPr>
                      <w:rFonts w:ascii="Cambria Math" w:hAnsi="Cambria Math"/>
                      <w:iCs/>
                    </w:rPr>
                  </m:ctrlPr>
                </m:sSubPr>
                <m:e>
                  <m:r>
                    <m:rPr>
                      <m:sty m:val="p"/>
                    </m:rPr>
                    <w:rPr>
                      <w:rFonts w:ascii="Cambria Math" w:hAnsi="Cambria Math"/>
                    </w:rPr>
                    <m:t>FVIII</m:t>
                  </m:r>
                </m:e>
                <m:sub>
                  <m:r>
                    <m:rPr>
                      <m:sty m:val="p"/>
                    </m:rPr>
                    <w:rPr>
                      <w:rFonts w:ascii="Cambria Math" w:hAnsi="Cambria Math"/>
                    </w:rPr>
                    <m:t>i</m:t>
                  </m:r>
                </m:sub>
              </m:sSub>
              <m:r>
                <m:rPr>
                  <m:sty m:val="p"/>
                </m:rPr>
                <w:rPr>
                  <w:rFonts w:ascii="Cambria Math" w:hAnsi="Cambria Math"/>
                </w:rPr>
                <m:t xml:space="preserve"> =Baseline FVIII·</m:t>
              </m:r>
              <m:sSup>
                <m:sSupPr>
                  <m:ctrlPr>
                    <w:rPr>
                      <w:rFonts w:ascii="Cambria Math" w:hAnsi="Cambria Math"/>
                      <w:iCs/>
                    </w:rPr>
                  </m:ctrlPr>
                </m:sSupPr>
                <m:e>
                  <m:d>
                    <m:dPr>
                      <m:ctrlPr>
                        <w:rPr>
                          <w:rFonts w:ascii="Cambria Math" w:hAnsi="Cambria Math"/>
                          <w:iCs/>
                        </w:rPr>
                      </m:ctrlPr>
                    </m:dPr>
                    <m:e>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Hematocrit</m:t>
                              </m:r>
                            </m:e>
                            <m:sub>
                              <m:r>
                                <m:rPr>
                                  <m:sty m:val="p"/>
                                </m:rPr>
                                <w:rPr>
                                  <w:rFonts w:ascii="Cambria Math" w:hAnsi="Cambria Math"/>
                                </w:rPr>
                                <m:t>i</m:t>
                              </m:r>
                            </m:sub>
                          </m:sSub>
                        </m:num>
                        <m:den>
                          <m:r>
                            <m:rPr>
                              <m:sty m:val="p"/>
                            </m:rPr>
                            <w:rPr>
                              <w:rFonts w:ascii="Cambria Math" w:hAnsi="Cambria Math"/>
                            </w:rPr>
                            <m:t>0.39</m:t>
                          </m:r>
                        </m:den>
                      </m:f>
                    </m:e>
                  </m:d>
                </m:e>
                <m:sup>
                  <m:r>
                    <m:rPr>
                      <m:sty m:val="p"/>
                    </m:rPr>
                    <w:rPr>
                      <w:rFonts w:ascii="Cambria Math" w:hAnsi="Cambria Math"/>
                    </w:rPr>
                    <m:t>ϴ</m:t>
                  </m:r>
                  <m:r>
                    <m:rPr>
                      <m:sty m:val="p"/>
                    </m:rPr>
                    <w:rPr>
                      <w:rFonts w:ascii="Cambria Math" w:hAnsi="Cambria Math"/>
                    </w:rPr>
                    <m:t>-</m:t>
                  </m:r>
                  <m:r>
                    <m:rPr>
                      <m:sty m:val="p"/>
                    </m:rPr>
                    <w:rPr>
                      <w:rFonts w:ascii="Cambria Math" w:hAnsi="Cambria Math"/>
                    </w:rPr>
                    <m:t>0.571</m:t>
                  </m:r>
                </m:sup>
              </m:sSup>
              <m:r>
                <m:rPr>
                  <m:sty m:val="p"/>
                </m:rPr>
                <w:rPr>
                  <w:rFonts w:ascii="Cambria Math" w:hAnsi="Cambria Math"/>
                </w:rPr>
                <m:t xml:space="preserve">·exp </m:t>
              </m:r>
            </m:e>
            <m:sup>
              <m:r>
                <m:rPr>
                  <m:sty m:val="p"/>
                </m:rPr>
                <w:rPr>
                  <w:rFonts w:ascii="Cambria Math" w:hAnsi="Cambria Math"/>
                </w:rPr>
                <m:t>(</m:t>
              </m:r>
              <m:sSub>
                <m:sSubPr>
                  <m:ctrlPr>
                    <w:rPr>
                      <w:rFonts w:ascii="Cambria Math" w:hAnsi="Cambria Math"/>
                      <w:iCs/>
                    </w:rPr>
                  </m:ctrlPr>
                </m:sSubPr>
                <m:e>
                  <m:r>
                    <m:rPr>
                      <m:sty m:val="p"/>
                    </m:rPr>
                    <w:rPr>
                      <w:rFonts w:ascii="Cambria Math" w:hAnsi="Cambria Math"/>
                    </w:rPr>
                    <m:t>η</m:t>
                  </m:r>
                </m:e>
                <m:sub>
                  <m:r>
                    <m:rPr>
                      <m:sty m:val="p"/>
                    </m:rPr>
                    <w:rPr>
                      <w:rFonts w:ascii="Cambria Math" w:hAnsi="Cambria Math"/>
                    </w:rPr>
                    <m:t>Baseline FVIII</m:t>
                  </m:r>
                </m:sub>
              </m:sSub>
              <m:r>
                <m:rPr>
                  <m:sty m:val="p"/>
                </m:rPr>
                <w:rPr>
                  <w:rFonts w:ascii="Cambria Math" w:hAnsi="Cambria Math"/>
                </w:rPr>
                <m:t>)</m:t>
              </m:r>
            </m:sup>
          </m:sSup>
        </m:oMath>
      </m:oMathPara>
    </w:p>
    <w:p w14:paraId="238E190C" w14:textId="77777777" w:rsidR="00614B2B" w:rsidRDefault="00614B2B" w:rsidP="00614B2B">
      <w:pPr>
        <w:spacing w:before="0" w:after="0"/>
        <w:ind w:left="288"/>
        <w:rPr>
          <w:rFonts w:eastAsiaTheme="minorEastAsia"/>
        </w:rPr>
      </w:pPr>
    </w:p>
    <w:p w14:paraId="1D639570" w14:textId="77777777" w:rsidR="00614B2B" w:rsidRDefault="00614B2B" w:rsidP="00614B2B">
      <w:pPr>
        <w:spacing w:before="0" w:after="0"/>
        <w:ind w:left="288"/>
      </w:pPr>
      <w:r>
        <w:t>where baseline FVIII</w:t>
      </w:r>
      <w:r>
        <w:rPr>
          <w:vertAlign w:val="subscript"/>
        </w:rPr>
        <w:t>i</w:t>
      </w:r>
      <w:r>
        <w:t xml:space="preserve"> is the individual baseline FVIII:C, hematocrit</w:t>
      </w:r>
      <w:r>
        <w:rPr>
          <w:vertAlign w:val="subscript"/>
        </w:rPr>
        <w:t>i</w:t>
      </w:r>
      <w:r>
        <w:t xml:space="preserve"> is the individual hematocrit at baseline and 0.39 is the reference hematocrit.</w:t>
      </w:r>
    </w:p>
    <w:p w14:paraId="1068A662" w14:textId="77777777" w:rsidR="00614B2B" w:rsidRDefault="00614B2B" w:rsidP="00614B2B">
      <w:pPr>
        <w:spacing w:before="0" w:after="0"/>
      </w:pPr>
    </w:p>
    <w:p w14:paraId="19C3B606" w14:textId="77777777" w:rsidR="00614B2B" w:rsidRDefault="00614B2B" w:rsidP="00614B2B">
      <w:pPr>
        <w:spacing w:before="0" w:after="0"/>
      </w:pPr>
      <w:r>
        <w:t>A second distribution compartment for FVIII was not supported.</w:t>
      </w:r>
    </w:p>
    <w:p w14:paraId="042AD568" w14:textId="77777777" w:rsidR="00614B2B" w:rsidRDefault="00614B2B" w:rsidP="00614B2B">
      <w:pPr>
        <w:spacing w:before="0" w:after="160" w:line="256" w:lineRule="auto"/>
        <w:rPr>
          <w:rStyle w:val="Heading1Char"/>
          <w:rFonts w:cs="Arial" w:hint="eastAsia"/>
          <w:bCs/>
          <w:i/>
          <w:iCs/>
        </w:rPr>
      </w:pPr>
      <w:r>
        <w:rPr>
          <w:rFonts w:ascii="Arial Bold" w:eastAsiaTheme="majorEastAsia" w:hAnsi="Arial Bold" w:cs="Arial"/>
          <w:b/>
          <w:bCs/>
          <w:i/>
          <w:iCs/>
          <w:sz w:val="24"/>
          <w:szCs w:val="32"/>
        </w:rPr>
        <w:br w:type="page"/>
      </w:r>
    </w:p>
    <w:p w14:paraId="7A49A65C" w14:textId="37CD893D" w:rsidR="00614B2B" w:rsidRPr="008B1D5E" w:rsidRDefault="00614B2B" w:rsidP="008B1D5E">
      <w:pPr>
        <w:pStyle w:val="Heading1"/>
        <w:spacing w:before="0" w:after="0"/>
        <w:rPr>
          <w:rFonts w:hint="eastAsia"/>
          <w:b w:val="0"/>
          <w:i/>
          <w:iCs/>
          <w:sz w:val="22"/>
          <w:szCs w:val="22"/>
        </w:rPr>
      </w:pPr>
      <w:r w:rsidRPr="008B1D5E">
        <w:rPr>
          <w:rStyle w:val="Heading1Char"/>
          <w:rFonts w:ascii="Arial" w:hAnsi="Arial" w:cs="Arial"/>
          <w:b/>
          <w:sz w:val="22"/>
          <w:szCs w:val="22"/>
        </w:rPr>
        <w:lastRenderedPageBreak/>
        <w:t>Supplementary Table 1</w:t>
      </w:r>
      <w:r w:rsidRPr="008B1D5E">
        <w:rPr>
          <w:b w:val="0"/>
          <w:i/>
          <w:iCs/>
          <w:sz w:val="22"/>
          <w:szCs w:val="22"/>
        </w:rPr>
        <w:t xml:space="preserve"> </w:t>
      </w:r>
      <w:r w:rsidRPr="008B1D5E">
        <w:rPr>
          <w:rFonts w:ascii="Arial" w:hAnsi="Arial" w:cs="Arial"/>
          <w:b w:val="0"/>
          <w:sz w:val="22"/>
          <w:szCs w:val="22"/>
        </w:rPr>
        <w:t>Covariate-Parameter Relationships of Interest for the VWF:RCo and FVIII Models</w:t>
      </w:r>
    </w:p>
    <w:tbl>
      <w:tblPr>
        <w:tblStyle w:val="TableGrid"/>
        <w:tblW w:w="6041" w:type="dxa"/>
        <w:tblInd w:w="0" w:type="dxa"/>
        <w:tblLook w:val="04A0" w:firstRow="1" w:lastRow="0" w:firstColumn="1" w:lastColumn="0" w:noHBand="0" w:noVBand="1"/>
      </w:tblPr>
      <w:tblGrid>
        <w:gridCol w:w="2540"/>
        <w:gridCol w:w="1800"/>
        <w:gridCol w:w="1701"/>
      </w:tblGrid>
      <w:tr w:rsidR="00614B2B" w14:paraId="371CD10C" w14:textId="77777777" w:rsidTr="00614B2B">
        <w:trPr>
          <w:trHeight w:val="397"/>
        </w:trPr>
        <w:tc>
          <w:tcPr>
            <w:tcW w:w="2540" w:type="dxa"/>
            <w:tcBorders>
              <w:top w:val="single" w:sz="4" w:space="0" w:color="auto"/>
              <w:left w:val="single" w:sz="4" w:space="0" w:color="auto"/>
              <w:bottom w:val="single" w:sz="4" w:space="0" w:color="auto"/>
              <w:right w:val="single" w:sz="4" w:space="0" w:color="auto"/>
            </w:tcBorders>
            <w:hideMark/>
          </w:tcPr>
          <w:p w14:paraId="767FFE5F" w14:textId="77777777" w:rsidR="00614B2B" w:rsidRDefault="00614B2B">
            <w:pPr>
              <w:pStyle w:val="Tabelltext"/>
              <w:spacing w:before="0" w:after="0" w:line="480" w:lineRule="auto"/>
              <w:rPr>
                <w:rFonts w:cs="Arial"/>
                <w:b/>
                <w:sz w:val="22"/>
                <w:lang w:val="sv-SE"/>
              </w:rPr>
            </w:pPr>
            <w:r>
              <w:rPr>
                <w:rFonts w:cs="Arial"/>
                <w:b/>
                <w:sz w:val="22"/>
                <w:lang w:val="sv-SE"/>
              </w:rPr>
              <w:t>Covariate</w:t>
            </w:r>
          </w:p>
        </w:tc>
        <w:tc>
          <w:tcPr>
            <w:tcW w:w="1800" w:type="dxa"/>
            <w:tcBorders>
              <w:top w:val="single" w:sz="4" w:space="0" w:color="auto"/>
              <w:left w:val="single" w:sz="4" w:space="0" w:color="auto"/>
              <w:bottom w:val="single" w:sz="4" w:space="0" w:color="auto"/>
              <w:right w:val="single" w:sz="4" w:space="0" w:color="auto"/>
            </w:tcBorders>
            <w:hideMark/>
          </w:tcPr>
          <w:p w14:paraId="274E7288" w14:textId="77777777" w:rsidR="00614B2B" w:rsidRDefault="00614B2B">
            <w:pPr>
              <w:pStyle w:val="Tabelltext"/>
              <w:spacing w:before="0" w:after="0" w:line="480" w:lineRule="auto"/>
              <w:rPr>
                <w:rFonts w:cs="Arial"/>
                <w:b/>
                <w:sz w:val="22"/>
                <w:lang w:val="sv-SE"/>
              </w:rPr>
            </w:pPr>
            <w:r>
              <w:rPr>
                <w:rFonts w:cs="Arial"/>
                <w:b/>
                <w:sz w:val="22"/>
                <w:lang w:val="sv-SE"/>
              </w:rPr>
              <w:t>VWF:RCo PK Parameters</w:t>
            </w:r>
          </w:p>
        </w:tc>
        <w:tc>
          <w:tcPr>
            <w:tcW w:w="1701" w:type="dxa"/>
            <w:tcBorders>
              <w:top w:val="single" w:sz="4" w:space="0" w:color="auto"/>
              <w:left w:val="single" w:sz="4" w:space="0" w:color="auto"/>
              <w:bottom w:val="single" w:sz="4" w:space="0" w:color="auto"/>
              <w:right w:val="single" w:sz="4" w:space="0" w:color="auto"/>
            </w:tcBorders>
            <w:hideMark/>
          </w:tcPr>
          <w:p w14:paraId="078C942A" w14:textId="77777777" w:rsidR="00614B2B" w:rsidRDefault="00614B2B">
            <w:pPr>
              <w:pStyle w:val="Tabelltext"/>
              <w:spacing w:before="0" w:after="0" w:line="480" w:lineRule="auto"/>
              <w:rPr>
                <w:rFonts w:cs="Arial"/>
                <w:b/>
                <w:sz w:val="22"/>
                <w:lang w:val="sv-SE"/>
              </w:rPr>
            </w:pPr>
            <w:r>
              <w:rPr>
                <w:rFonts w:cs="Arial"/>
                <w:b/>
                <w:sz w:val="22"/>
                <w:lang w:val="sv-SE"/>
              </w:rPr>
              <w:t>FVIII PK/PD Parameters</w:t>
            </w:r>
          </w:p>
        </w:tc>
      </w:tr>
      <w:tr w:rsidR="00614B2B" w14:paraId="78A99DA8" w14:textId="77777777" w:rsidTr="00614B2B">
        <w:trPr>
          <w:trHeight w:val="397"/>
        </w:trPr>
        <w:tc>
          <w:tcPr>
            <w:tcW w:w="2540" w:type="dxa"/>
            <w:tcBorders>
              <w:top w:val="single" w:sz="4" w:space="0" w:color="auto"/>
              <w:left w:val="single" w:sz="4" w:space="0" w:color="auto"/>
              <w:bottom w:val="single" w:sz="4" w:space="0" w:color="auto"/>
              <w:right w:val="single" w:sz="4" w:space="0" w:color="auto"/>
            </w:tcBorders>
            <w:hideMark/>
          </w:tcPr>
          <w:p w14:paraId="678C7F44" w14:textId="77777777" w:rsidR="00614B2B" w:rsidRDefault="00614B2B">
            <w:pPr>
              <w:pStyle w:val="Tabelltext"/>
              <w:spacing w:before="0" w:after="0" w:line="480" w:lineRule="auto"/>
              <w:rPr>
                <w:rFonts w:cs="Arial"/>
                <w:sz w:val="22"/>
                <w:lang w:val="sv-SE"/>
              </w:rPr>
            </w:pPr>
            <w:r>
              <w:rPr>
                <w:rFonts w:cs="Arial"/>
                <w:sz w:val="22"/>
                <w:lang w:val="sv-SE"/>
              </w:rPr>
              <w:t>Age</w:t>
            </w:r>
          </w:p>
        </w:tc>
        <w:tc>
          <w:tcPr>
            <w:tcW w:w="1800" w:type="dxa"/>
            <w:tcBorders>
              <w:top w:val="single" w:sz="4" w:space="0" w:color="auto"/>
              <w:left w:val="single" w:sz="4" w:space="0" w:color="auto"/>
              <w:bottom w:val="single" w:sz="4" w:space="0" w:color="auto"/>
              <w:right w:val="single" w:sz="4" w:space="0" w:color="auto"/>
            </w:tcBorders>
            <w:hideMark/>
          </w:tcPr>
          <w:p w14:paraId="13FB3F9A" w14:textId="77777777" w:rsidR="00614B2B" w:rsidRDefault="00614B2B">
            <w:pPr>
              <w:pStyle w:val="Tabelltext"/>
              <w:spacing w:before="0" w:after="0" w:line="480" w:lineRule="auto"/>
              <w:rPr>
                <w:rFonts w:cs="Arial"/>
                <w:sz w:val="22"/>
                <w:lang w:val="sv-SE"/>
              </w:rPr>
            </w:pPr>
            <w:r>
              <w:rPr>
                <w:rFonts w:cs="Arial"/>
                <w:sz w:val="22"/>
                <w:lang w:val="sv-SE"/>
              </w:rPr>
              <w:t xml:space="preserve">CL, </w:t>
            </w:r>
            <w:r>
              <w:rPr>
                <w:rFonts w:cs="Arial"/>
                <w:i/>
                <w:iCs/>
                <w:sz w:val="22"/>
                <w:lang w:val="sv-SE"/>
              </w:rPr>
              <w:t>V</w:t>
            </w:r>
            <w:r>
              <w:rPr>
                <w:rFonts w:cs="Arial"/>
                <w:sz w:val="22"/>
                <w:vertAlign w:val="subscript"/>
                <w:lang w:val="sv-SE"/>
              </w:rPr>
              <w:t>c</w:t>
            </w:r>
            <w:r>
              <w:rPr>
                <w:rFonts w:cs="Arial"/>
                <w:sz w:val="22"/>
                <w:lang w:val="sv-SE"/>
              </w:rPr>
              <w:t xml:space="preserve">, </w:t>
            </w:r>
            <w:r>
              <w:rPr>
                <w:rFonts w:cs="Arial"/>
                <w:i/>
                <w:iCs/>
                <w:sz w:val="22"/>
                <w:lang w:val="sv-SE"/>
              </w:rPr>
              <w:t>V</w:t>
            </w:r>
            <w:r>
              <w:rPr>
                <w:rFonts w:cs="Arial"/>
                <w:sz w:val="22"/>
                <w:vertAlign w:val="subscript"/>
                <w:lang w:val="sv-SE"/>
              </w:rPr>
              <w:t>p</w:t>
            </w:r>
          </w:p>
        </w:tc>
        <w:tc>
          <w:tcPr>
            <w:tcW w:w="1701" w:type="dxa"/>
            <w:tcBorders>
              <w:top w:val="single" w:sz="4" w:space="0" w:color="auto"/>
              <w:left w:val="single" w:sz="4" w:space="0" w:color="auto"/>
              <w:bottom w:val="single" w:sz="4" w:space="0" w:color="auto"/>
              <w:right w:val="single" w:sz="4" w:space="0" w:color="auto"/>
            </w:tcBorders>
            <w:hideMark/>
          </w:tcPr>
          <w:p w14:paraId="28C3C001" w14:textId="77777777" w:rsidR="00614B2B" w:rsidRDefault="00614B2B">
            <w:pPr>
              <w:pStyle w:val="Tabelltext"/>
              <w:spacing w:before="0" w:after="0" w:line="480" w:lineRule="auto"/>
              <w:rPr>
                <w:rFonts w:cs="Arial"/>
                <w:sz w:val="22"/>
                <w:lang w:val="sv-SE"/>
              </w:rPr>
            </w:pPr>
            <w:r>
              <w:rPr>
                <w:rFonts w:cs="Arial"/>
                <w:sz w:val="22"/>
                <w:lang w:val="sv-SE"/>
              </w:rPr>
              <w:t>FVIII</w:t>
            </w:r>
            <w:r>
              <w:rPr>
                <w:rFonts w:cs="Arial"/>
                <w:sz w:val="22"/>
                <w:vertAlign w:val="subscript"/>
                <w:lang w:val="sv-SE"/>
              </w:rPr>
              <w:t>0</w:t>
            </w:r>
            <w:r>
              <w:rPr>
                <w:rFonts w:cs="Arial"/>
                <w:sz w:val="22"/>
                <w:lang w:val="sv-SE"/>
              </w:rPr>
              <w:t>, IC</w:t>
            </w:r>
            <w:r>
              <w:rPr>
                <w:rFonts w:cs="Arial"/>
                <w:sz w:val="22"/>
                <w:vertAlign w:val="subscript"/>
                <w:lang w:val="sv-SE"/>
              </w:rPr>
              <w:t>50</w:t>
            </w:r>
          </w:p>
        </w:tc>
      </w:tr>
      <w:tr w:rsidR="00614B2B" w14:paraId="6E61B9EF" w14:textId="77777777" w:rsidTr="00614B2B">
        <w:trPr>
          <w:trHeight w:val="397"/>
        </w:trPr>
        <w:tc>
          <w:tcPr>
            <w:tcW w:w="2540" w:type="dxa"/>
            <w:tcBorders>
              <w:top w:val="single" w:sz="4" w:space="0" w:color="auto"/>
              <w:left w:val="single" w:sz="4" w:space="0" w:color="auto"/>
              <w:bottom w:val="single" w:sz="4" w:space="0" w:color="auto"/>
              <w:right w:val="single" w:sz="4" w:space="0" w:color="auto"/>
            </w:tcBorders>
            <w:hideMark/>
          </w:tcPr>
          <w:p w14:paraId="1E12382F" w14:textId="77777777" w:rsidR="00614B2B" w:rsidRDefault="00614B2B">
            <w:pPr>
              <w:pStyle w:val="Tabelltext"/>
              <w:spacing w:before="0" w:after="0" w:line="480" w:lineRule="auto"/>
              <w:rPr>
                <w:rFonts w:cs="Arial"/>
                <w:sz w:val="22"/>
                <w:lang w:val="sv-SE"/>
              </w:rPr>
            </w:pPr>
            <w:r>
              <w:rPr>
                <w:rFonts w:cs="Arial"/>
                <w:sz w:val="22"/>
                <w:lang w:val="sv-SE"/>
              </w:rPr>
              <w:t>Body weight</w:t>
            </w:r>
          </w:p>
        </w:tc>
        <w:tc>
          <w:tcPr>
            <w:tcW w:w="1800" w:type="dxa"/>
            <w:tcBorders>
              <w:top w:val="single" w:sz="4" w:space="0" w:color="auto"/>
              <w:left w:val="single" w:sz="4" w:space="0" w:color="auto"/>
              <w:bottom w:val="single" w:sz="4" w:space="0" w:color="auto"/>
              <w:right w:val="single" w:sz="4" w:space="0" w:color="auto"/>
            </w:tcBorders>
            <w:hideMark/>
          </w:tcPr>
          <w:p w14:paraId="3C022A2F" w14:textId="77777777" w:rsidR="00614B2B" w:rsidRDefault="00614B2B">
            <w:pPr>
              <w:pStyle w:val="Tabelltext"/>
              <w:spacing w:before="0" w:after="0" w:line="480" w:lineRule="auto"/>
              <w:rPr>
                <w:rFonts w:cs="Arial"/>
                <w:sz w:val="22"/>
                <w:lang w:val="sv-SE"/>
              </w:rPr>
            </w:pPr>
            <w:r>
              <w:rPr>
                <w:rFonts w:cs="Arial"/>
                <w:sz w:val="22"/>
                <w:lang w:val="sv-SE"/>
              </w:rPr>
              <w:t xml:space="preserve">CL, </w:t>
            </w:r>
            <w:r>
              <w:rPr>
                <w:rFonts w:cs="Arial"/>
                <w:i/>
                <w:iCs/>
                <w:sz w:val="22"/>
                <w:lang w:val="sv-SE"/>
              </w:rPr>
              <w:t>V</w:t>
            </w:r>
            <w:r>
              <w:rPr>
                <w:rFonts w:cs="Arial"/>
                <w:sz w:val="22"/>
                <w:vertAlign w:val="subscript"/>
                <w:lang w:val="sv-SE"/>
              </w:rPr>
              <w:t>c</w:t>
            </w:r>
            <w:r>
              <w:rPr>
                <w:rFonts w:cs="Arial"/>
                <w:sz w:val="22"/>
                <w:lang w:val="sv-SE"/>
              </w:rPr>
              <w:t xml:space="preserve">, </w:t>
            </w:r>
            <w:r>
              <w:rPr>
                <w:rFonts w:cs="Arial"/>
                <w:i/>
                <w:iCs/>
                <w:sz w:val="22"/>
                <w:lang w:val="sv-SE"/>
              </w:rPr>
              <w:t>Q</w:t>
            </w:r>
            <w:r>
              <w:rPr>
                <w:rFonts w:cs="Arial"/>
                <w:sz w:val="22"/>
                <w:lang w:val="sv-SE"/>
              </w:rPr>
              <w:t xml:space="preserve">, </w:t>
            </w:r>
            <w:r>
              <w:rPr>
                <w:rFonts w:cs="Arial"/>
                <w:i/>
                <w:iCs/>
                <w:sz w:val="22"/>
                <w:lang w:val="sv-SE"/>
              </w:rPr>
              <w:t>V</w:t>
            </w:r>
            <w:r>
              <w:rPr>
                <w:rFonts w:cs="Arial"/>
                <w:sz w:val="22"/>
                <w:vertAlign w:val="subscript"/>
                <w:lang w:val="sv-SE"/>
              </w:rPr>
              <w:t>p</w:t>
            </w:r>
          </w:p>
        </w:tc>
        <w:tc>
          <w:tcPr>
            <w:tcW w:w="1701" w:type="dxa"/>
            <w:tcBorders>
              <w:top w:val="single" w:sz="4" w:space="0" w:color="auto"/>
              <w:left w:val="single" w:sz="4" w:space="0" w:color="auto"/>
              <w:bottom w:val="single" w:sz="4" w:space="0" w:color="auto"/>
              <w:right w:val="single" w:sz="4" w:space="0" w:color="auto"/>
            </w:tcBorders>
            <w:hideMark/>
          </w:tcPr>
          <w:p w14:paraId="3A190F03" w14:textId="77777777" w:rsidR="00614B2B" w:rsidRDefault="00614B2B">
            <w:pPr>
              <w:pStyle w:val="Tabelltext"/>
              <w:spacing w:before="0" w:after="0" w:line="480" w:lineRule="auto"/>
              <w:rPr>
                <w:rFonts w:cs="Arial"/>
                <w:sz w:val="22"/>
                <w:lang w:val="sv-SE"/>
              </w:rPr>
            </w:pPr>
            <w:r>
              <w:rPr>
                <w:rFonts w:cs="Arial"/>
                <w:sz w:val="22"/>
                <w:lang w:val="sv-SE"/>
              </w:rPr>
              <w:t>FVIII</w:t>
            </w:r>
            <w:r>
              <w:rPr>
                <w:rFonts w:cs="Arial"/>
                <w:sz w:val="22"/>
                <w:vertAlign w:val="subscript"/>
                <w:lang w:val="sv-SE"/>
              </w:rPr>
              <w:t>0</w:t>
            </w:r>
            <w:r>
              <w:rPr>
                <w:rFonts w:cs="Arial"/>
                <w:sz w:val="22"/>
                <w:lang w:val="sv-SE"/>
              </w:rPr>
              <w:t>, IC</w:t>
            </w:r>
            <w:r>
              <w:rPr>
                <w:rFonts w:cs="Arial"/>
                <w:sz w:val="22"/>
                <w:vertAlign w:val="subscript"/>
                <w:lang w:val="sv-SE"/>
              </w:rPr>
              <w:t>50</w:t>
            </w:r>
          </w:p>
        </w:tc>
      </w:tr>
      <w:tr w:rsidR="00614B2B" w14:paraId="21644844" w14:textId="77777777" w:rsidTr="00614B2B">
        <w:trPr>
          <w:trHeight w:val="397"/>
        </w:trPr>
        <w:tc>
          <w:tcPr>
            <w:tcW w:w="2540" w:type="dxa"/>
            <w:tcBorders>
              <w:top w:val="single" w:sz="4" w:space="0" w:color="auto"/>
              <w:left w:val="single" w:sz="4" w:space="0" w:color="auto"/>
              <w:bottom w:val="single" w:sz="4" w:space="0" w:color="auto"/>
              <w:right w:val="single" w:sz="4" w:space="0" w:color="auto"/>
            </w:tcBorders>
            <w:hideMark/>
          </w:tcPr>
          <w:p w14:paraId="3626E97B" w14:textId="77777777" w:rsidR="00614B2B" w:rsidRDefault="00614B2B">
            <w:pPr>
              <w:pStyle w:val="Tabelltext"/>
              <w:spacing w:before="0" w:after="0" w:line="480" w:lineRule="auto"/>
              <w:rPr>
                <w:rFonts w:cs="Arial"/>
                <w:sz w:val="22"/>
                <w:lang w:val="sv-SE"/>
              </w:rPr>
            </w:pPr>
            <w:r>
              <w:rPr>
                <w:rFonts w:cs="Arial"/>
                <w:sz w:val="22"/>
                <w:lang w:val="sv-SE"/>
              </w:rPr>
              <w:t>Race</w:t>
            </w:r>
          </w:p>
        </w:tc>
        <w:tc>
          <w:tcPr>
            <w:tcW w:w="1800" w:type="dxa"/>
            <w:tcBorders>
              <w:top w:val="single" w:sz="4" w:space="0" w:color="auto"/>
              <w:left w:val="single" w:sz="4" w:space="0" w:color="auto"/>
              <w:bottom w:val="single" w:sz="4" w:space="0" w:color="auto"/>
              <w:right w:val="single" w:sz="4" w:space="0" w:color="auto"/>
            </w:tcBorders>
            <w:hideMark/>
          </w:tcPr>
          <w:p w14:paraId="0DD7DDA4" w14:textId="77777777" w:rsidR="00614B2B" w:rsidRDefault="00614B2B">
            <w:pPr>
              <w:pStyle w:val="Tabelltext"/>
              <w:spacing w:before="0" w:after="0" w:line="480" w:lineRule="auto"/>
              <w:rPr>
                <w:rFonts w:cs="Arial"/>
                <w:sz w:val="22"/>
                <w:lang w:val="sv-SE"/>
              </w:rPr>
            </w:pPr>
            <w:r>
              <w:rPr>
                <w:rFonts w:cs="Arial"/>
                <w:sz w:val="22"/>
                <w:lang w:val="sv-SE"/>
              </w:rPr>
              <w:t>CL</w:t>
            </w:r>
          </w:p>
        </w:tc>
        <w:tc>
          <w:tcPr>
            <w:tcW w:w="1701" w:type="dxa"/>
            <w:tcBorders>
              <w:top w:val="single" w:sz="4" w:space="0" w:color="auto"/>
              <w:left w:val="single" w:sz="4" w:space="0" w:color="auto"/>
              <w:bottom w:val="single" w:sz="4" w:space="0" w:color="auto"/>
              <w:right w:val="single" w:sz="4" w:space="0" w:color="auto"/>
            </w:tcBorders>
            <w:hideMark/>
          </w:tcPr>
          <w:p w14:paraId="2D5E9AC5" w14:textId="77777777" w:rsidR="00614B2B" w:rsidRDefault="00614B2B">
            <w:pPr>
              <w:pStyle w:val="Tabelltext"/>
              <w:spacing w:before="0" w:after="0" w:line="480" w:lineRule="auto"/>
              <w:rPr>
                <w:rFonts w:cs="Arial"/>
                <w:sz w:val="22"/>
                <w:lang w:val="sv-SE"/>
              </w:rPr>
            </w:pPr>
            <w:r>
              <w:rPr>
                <w:rFonts w:cs="Arial"/>
                <w:sz w:val="22"/>
                <w:lang w:val="sv-SE"/>
              </w:rPr>
              <w:t xml:space="preserve">ND </w:t>
            </w:r>
          </w:p>
        </w:tc>
      </w:tr>
      <w:tr w:rsidR="00614B2B" w14:paraId="3854F996" w14:textId="77777777" w:rsidTr="00614B2B">
        <w:trPr>
          <w:trHeight w:val="397"/>
        </w:trPr>
        <w:tc>
          <w:tcPr>
            <w:tcW w:w="2540" w:type="dxa"/>
            <w:tcBorders>
              <w:top w:val="single" w:sz="4" w:space="0" w:color="auto"/>
              <w:left w:val="single" w:sz="4" w:space="0" w:color="auto"/>
              <w:bottom w:val="single" w:sz="4" w:space="0" w:color="auto"/>
              <w:right w:val="single" w:sz="4" w:space="0" w:color="auto"/>
            </w:tcBorders>
            <w:hideMark/>
          </w:tcPr>
          <w:p w14:paraId="1F35243C" w14:textId="77777777" w:rsidR="00614B2B" w:rsidRDefault="00614B2B">
            <w:pPr>
              <w:pStyle w:val="Tabelltext"/>
              <w:spacing w:before="0" w:after="0" w:line="480" w:lineRule="auto"/>
              <w:rPr>
                <w:rFonts w:cs="Arial"/>
                <w:sz w:val="22"/>
                <w:lang w:val="sv-SE"/>
              </w:rPr>
            </w:pPr>
            <w:r>
              <w:rPr>
                <w:rFonts w:cs="Arial"/>
                <w:sz w:val="22"/>
                <w:lang w:val="sv-SE"/>
              </w:rPr>
              <w:t>Sex</w:t>
            </w:r>
          </w:p>
        </w:tc>
        <w:tc>
          <w:tcPr>
            <w:tcW w:w="1800" w:type="dxa"/>
            <w:tcBorders>
              <w:top w:val="single" w:sz="4" w:space="0" w:color="auto"/>
              <w:left w:val="single" w:sz="4" w:space="0" w:color="auto"/>
              <w:bottom w:val="single" w:sz="4" w:space="0" w:color="auto"/>
              <w:right w:val="single" w:sz="4" w:space="0" w:color="auto"/>
            </w:tcBorders>
            <w:hideMark/>
          </w:tcPr>
          <w:p w14:paraId="54BBC8DE" w14:textId="77777777" w:rsidR="00614B2B" w:rsidRDefault="00614B2B">
            <w:pPr>
              <w:pStyle w:val="Tabelltext"/>
              <w:spacing w:before="0" w:after="0" w:line="480" w:lineRule="auto"/>
              <w:rPr>
                <w:rFonts w:cs="Arial"/>
                <w:sz w:val="22"/>
                <w:lang w:val="sv-SE"/>
              </w:rPr>
            </w:pPr>
            <w:r>
              <w:rPr>
                <w:rFonts w:cs="Arial"/>
                <w:sz w:val="22"/>
                <w:lang w:val="sv-SE"/>
              </w:rPr>
              <w:t xml:space="preserve">CL, </w:t>
            </w:r>
            <w:r>
              <w:rPr>
                <w:rFonts w:cs="Arial"/>
                <w:i/>
                <w:iCs/>
                <w:sz w:val="22"/>
                <w:lang w:val="sv-SE"/>
              </w:rPr>
              <w:t>V</w:t>
            </w:r>
            <w:r>
              <w:rPr>
                <w:rFonts w:cs="Arial"/>
                <w:sz w:val="22"/>
                <w:vertAlign w:val="subscript"/>
                <w:lang w:val="sv-SE"/>
              </w:rPr>
              <w:t>c</w:t>
            </w:r>
            <w:r>
              <w:rPr>
                <w:rFonts w:cs="Arial"/>
                <w:sz w:val="22"/>
                <w:lang w:val="sv-SE"/>
              </w:rPr>
              <w:t xml:space="preserve">, </w:t>
            </w:r>
            <w:r>
              <w:rPr>
                <w:rFonts w:cs="Arial"/>
                <w:i/>
                <w:iCs/>
                <w:sz w:val="22"/>
                <w:lang w:val="sv-SE"/>
              </w:rPr>
              <w:t>V</w:t>
            </w:r>
            <w:r>
              <w:rPr>
                <w:rFonts w:cs="Arial"/>
                <w:sz w:val="22"/>
                <w:vertAlign w:val="subscript"/>
                <w:lang w:val="sv-SE"/>
              </w:rPr>
              <w:t>p</w:t>
            </w:r>
          </w:p>
        </w:tc>
        <w:tc>
          <w:tcPr>
            <w:tcW w:w="1701" w:type="dxa"/>
            <w:tcBorders>
              <w:top w:val="single" w:sz="4" w:space="0" w:color="auto"/>
              <w:left w:val="single" w:sz="4" w:space="0" w:color="auto"/>
              <w:bottom w:val="single" w:sz="4" w:space="0" w:color="auto"/>
              <w:right w:val="single" w:sz="4" w:space="0" w:color="auto"/>
            </w:tcBorders>
            <w:hideMark/>
          </w:tcPr>
          <w:p w14:paraId="4315D9E5" w14:textId="77777777" w:rsidR="00614B2B" w:rsidRDefault="00614B2B">
            <w:pPr>
              <w:pStyle w:val="Tabelltext"/>
              <w:spacing w:before="0" w:after="0" w:line="480" w:lineRule="auto"/>
              <w:rPr>
                <w:rFonts w:cs="Arial"/>
                <w:sz w:val="22"/>
                <w:lang w:val="sv-SE"/>
              </w:rPr>
            </w:pPr>
            <w:r>
              <w:rPr>
                <w:rFonts w:cs="Arial"/>
                <w:sz w:val="22"/>
                <w:lang w:val="sv-SE"/>
              </w:rPr>
              <w:t>FVIII</w:t>
            </w:r>
            <w:r>
              <w:rPr>
                <w:rFonts w:cs="Arial"/>
                <w:sz w:val="22"/>
                <w:vertAlign w:val="subscript"/>
                <w:lang w:val="sv-SE"/>
              </w:rPr>
              <w:t>0</w:t>
            </w:r>
            <w:r>
              <w:rPr>
                <w:rFonts w:cs="Arial"/>
                <w:sz w:val="22"/>
                <w:lang w:val="sv-SE"/>
              </w:rPr>
              <w:t>, IC</w:t>
            </w:r>
            <w:r>
              <w:rPr>
                <w:rFonts w:cs="Arial"/>
                <w:sz w:val="22"/>
                <w:vertAlign w:val="subscript"/>
                <w:lang w:val="sv-SE"/>
              </w:rPr>
              <w:t>50</w:t>
            </w:r>
          </w:p>
        </w:tc>
      </w:tr>
      <w:tr w:rsidR="00614B2B" w14:paraId="5BB433A5" w14:textId="77777777" w:rsidTr="00614B2B">
        <w:trPr>
          <w:trHeight w:val="397"/>
        </w:trPr>
        <w:tc>
          <w:tcPr>
            <w:tcW w:w="2540" w:type="dxa"/>
            <w:tcBorders>
              <w:top w:val="single" w:sz="4" w:space="0" w:color="auto"/>
              <w:left w:val="single" w:sz="4" w:space="0" w:color="auto"/>
              <w:bottom w:val="single" w:sz="4" w:space="0" w:color="auto"/>
              <w:right w:val="single" w:sz="4" w:space="0" w:color="auto"/>
            </w:tcBorders>
            <w:hideMark/>
          </w:tcPr>
          <w:p w14:paraId="2EF7CFB4" w14:textId="77777777" w:rsidR="00614B2B" w:rsidRDefault="00614B2B">
            <w:pPr>
              <w:pStyle w:val="Tabelltext"/>
              <w:spacing w:before="0" w:after="0" w:line="480" w:lineRule="auto"/>
              <w:rPr>
                <w:rFonts w:cs="Arial"/>
                <w:sz w:val="22"/>
                <w:lang w:val="sv-SE"/>
              </w:rPr>
            </w:pPr>
            <w:r>
              <w:rPr>
                <w:rFonts w:cs="Arial"/>
                <w:sz w:val="22"/>
                <w:lang w:val="sv-SE"/>
              </w:rPr>
              <w:t>Disease type</w:t>
            </w:r>
          </w:p>
        </w:tc>
        <w:tc>
          <w:tcPr>
            <w:tcW w:w="1800" w:type="dxa"/>
            <w:tcBorders>
              <w:top w:val="single" w:sz="4" w:space="0" w:color="auto"/>
              <w:left w:val="single" w:sz="4" w:space="0" w:color="auto"/>
              <w:bottom w:val="single" w:sz="4" w:space="0" w:color="auto"/>
              <w:right w:val="single" w:sz="4" w:space="0" w:color="auto"/>
            </w:tcBorders>
            <w:hideMark/>
          </w:tcPr>
          <w:p w14:paraId="73E7E88E" w14:textId="77777777" w:rsidR="00614B2B" w:rsidRDefault="00614B2B">
            <w:pPr>
              <w:pStyle w:val="Tabelltext"/>
              <w:spacing w:before="0" w:after="0" w:line="480" w:lineRule="auto"/>
              <w:rPr>
                <w:rFonts w:cs="Arial"/>
                <w:sz w:val="22"/>
                <w:lang w:val="sv-SE"/>
              </w:rPr>
            </w:pPr>
            <w:r>
              <w:rPr>
                <w:rFonts w:cs="Arial"/>
                <w:sz w:val="22"/>
                <w:lang w:val="sv-SE"/>
              </w:rPr>
              <w:t xml:space="preserve">CL, </w:t>
            </w:r>
            <w:r>
              <w:rPr>
                <w:rFonts w:cs="Arial"/>
                <w:i/>
                <w:iCs/>
                <w:sz w:val="22"/>
                <w:lang w:val="sv-SE"/>
              </w:rPr>
              <w:t>V</w:t>
            </w:r>
            <w:r>
              <w:rPr>
                <w:rFonts w:cs="Arial"/>
                <w:sz w:val="22"/>
                <w:vertAlign w:val="subscript"/>
                <w:lang w:val="sv-SE"/>
              </w:rPr>
              <w:t>c</w:t>
            </w:r>
            <w:r>
              <w:rPr>
                <w:rFonts w:cs="Arial"/>
                <w:sz w:val="22"/>
                <w:lang w:val="sv-SE"/>
              </w:rPr>
              <w:t xml:space="preserve">, </w:t>
            </w:r>
            <w:r>
              <w:rPr>
                <w:rFonts w:cs="Arial"/>
                <w:i/>
                <w:iCs/>
                <w:sz w:val="22"/>
                <w:lang w:val="sv-SE"/>
              </w:rPr>
              <w:t>V</w:t>
            </w:r>
            <w:r>
              <w:rPr>
                <w:rFonts w:cs="Arial"/>
                <w:sz w:val="22"/>
                <w:vertAlign w:val="subscript"/>
                <w:lang w:val="sv-SE"/>
              </w:rPr>
              <w:t>p</w:t>
            </w:r>
          </w:p>
        </w:tc>
        <w:tc>
          <w:tcPr>
            <w:tcW w:w="1701" w:type="dxa"/>
            <w:tcBorders>
              <w:top w:val="single" w:sz="4" w:space="0" w:color="auto"/>
              <w:left w:val="single" w:sz="4" w:space="0" w:color="auto"/>
              <w:bottom w:val="single" w:sz="4" w:space="0" w:color="auto"/>
              <w:right w:val="single" w:sz="4" w:space="0" w:color="auto"/>
            </w:tcBorders>
            <w:hideMark/>
          </w:tcPr>
          <w:p w14:paraId="22D18A52" w14:textId="77777777" w:rsidR="00614B2B" w:rsidRDefault="00614B2B">
            <w:pPr>
              <w:pStyle w:val="Tabelltext"/>
              <w:spacing w:before="0" w:after="0" w:line="480" w:lineRule="auto"/>
              <w:rPr>
                <w:rFonts w:cs="Arial"/>
                <w:sz w:val="22"/>
                <w:lang w:val="sv-SE"/>
              </w:rPr>
            </w:pPr>
            <w:r>
              <w:rPr>
                <w:rFonts w:cs="Arial"/>
                <w:sz w:val="22"/>
                <w:lang w:val="sv-SE"/>
              </w:rPr>
              <w:t>FVIII</w:t>
            </w:r>
            <w:r>
              <w:rPr>
                <w:rFonts w:cs="Arial"/>
                <w:sz w:val="22"/>
                <w:vertAlign w:val="subscript"/>
                <w:lang w:val="sv-SE"/>
              </w:rPr>
              <w:t>0</w:t>
            </w:r>
            <w:r>
              <w:rPr>
                <w:rFonts w:cs="Arial"/>
                <w:sz w:val="22"/>
                <w:lang w:val="sv-SE"/>
              </w:rPr>
              <w:t>, IC</w:t>
            </w:r>
            <w:r>
              <w:rPr>
                <w:rFonts w:cs="Arial"/>
                <w:sz w:val="22"/>
                <w:vertAlign w:val="subscript"/>
                <w:lang w:val="sv-SE"/>
              </w:rPr>
              <w:t>50</w:t>
            </w:r>
          </w:p>
        </w:tc>
      </w:tr>
      <w:tr w:rsidR="00614B2B" w14:paraId="6C5B0594" w14:textId="77777777" w:rsidTr="00614B2B">
        <w:trPr>
          <w:trHeight w:val="397"/>
        </w:trPr>
        <w:tc>
          <w:tcPr>
            <w:tcW w:w="2540" w:type="dxa"/>
            <w:tcBorders>
              <w:top w:val="single" w:sz="4" w:space="0" w:color="auto"/>
              <w:left w:val="single" w:sz="4" w:space="0" w:color="auto"/>
              <w:bottom w:val="single" w:sz="4" w:space="0" w:color="auto"/>
              <w:right w:val="single" w:sz="4" w:space="0" w:color="auto"/>
            </w:tcBorders>
            <w:hideMark/>
          </w:tcPr>
          <w:p w14:paraId="2B2E2233" w14:textId="77777777" w:rsidR="00614B2B" w:rsidRDefault="00614B2B">
            <w:pPr>
              <w:pStyle w:val="Tabelltext"/>
              <w:spacing w:before="0" w:after="0" w:line="480" w:lineRule="auto"/>
              <w:rPr>
                <w:rFonts w:cs="Arial"/>
                <w:sz w:val="22"/>
                <w:lang w:val="sv-SE"/>
              </w:rPr>
            </w:pPr>
            <w:r>
              <w:rPr>
                <w:rFonts w:cs="Arial"/>
                <w:sz w:val="22"/>
                <w:lang w:val="sv-SE"/>
              </w:rPr>
              <w:t>Blood type</w:t>
            </w:r>
          </w:p>
        </w:tc>
        <w:tc>
          <w:tcPr>
            <w:tcW w:w="1800" w:type="dxa"/>
            <w:tcBorders>
              <w:top w:val="single" w:sz="4" w:space="0" w:color="auto"/>
              <w:left w:val="single" w:sz="4" w:space="0" w:color="auto"/>
              <w:bottom w:val="single" w:sz="4" w:space="0" w:color="auto"/>
              <w:right w:val="single" w:sz="4" w:space="0" w:color="auto"/>
            </w:tcBorders>
            <w:hideMark/>
          </w:tcPr>
          <w:p w14:paraId="23E2CF87" w14:textId="77777777" w:rsidR="00614B2B" w:rsidRDefault="00614B2B">
            <w:pPr>
              <w:pStyle w:val="Tabelltext"/>
              <w:spacing w:before="0" w:after="0" w:line="480" w:lineRule="auto"/>
              <w:rPr>
                <w:rFonts w:cs="Arial"/>
                <w:sz w:val="22"/>
                <w:lang w:val="sv-SE"/>
              </w:rPr>
            </w:pPr>
            <w:r>
              <w:rPr>
                <w:rFonts w:cs="Arial"/>
                <w:sz w:val="22"/>
                <w:lang w:val="sv-SE"/>
              </w:rPr>
              <w:t xml:space="preserve">CL, </w:t>
            </w:r>
            <w:r>
              <w:rPr>
                <w:rFonts w:cs="Arial"/>
                <w:i/>
                <w:iCs/>
                <w:sz w:val="22"/>
                <w:lang w:val="sv-SE"/>
              </w:rPr>
              <w:t>V</w:t>
            </w:r>
            <w:r>
              <w:rPr>
                <w:rFonts w:cs="Arial"/>
                <w:sz w:val="22"/>
                <w:vertAlign w:val="subscript"/>
                <w:lang w:val="sv-SE"/>
              </w:rPr>
              <w:t>c</w:t>
            </w:r>
            <w:r>
              <w:rPr>
                <w:rFonts w:cs="Arial"/>
                <w:sz w:val="22"/>
                <w:lang w:val="sv-SE"/>
              </w:rPr>
              <w:t xml:space="preserve">, </w:t>
            </w:r>
            <w:r>
              <w:rPr>
                <w:rFonts w:cs="Arial"/>
                <w:i/>
                <w:iCs/>
                <w:sz w:val="22"/>
                <w:lang w:val="sv-SE"/>
              </w:rPr>
              <w:t>V</w:t>
            </w:r>
            <w:r>
              <w:rPr>
                <w:rFonts w:cs="Arial"/>
                <w:sz w:val="22"/>
                <w:vertAlign w:val="subscript"/>
                <w:lang w:val="sv-SE"/>
              </w:rPr>
              <w:t>p</w:t>
            </w:r>
          </w:p>
        </w:tc>
        <w:tc>
          <w:tcPr>
            <w:tcW w:w="1701" w:type="dxa"/>
            <w:tcBorders>
              <w:top w:val="single" w:sz="4" w:space="0" w:color="auto"/>
              <w:left w:val="single" w:sz="4" w:space="0" w:color="auto"/>
              <w:bottom w:val="single" w:sz="4" w:space="0" w:color="auto"/>
              <w:right w:val="single" w:sz="4" w:space="0" w:color="auto"/>
            </w:tcBorders>
            <w:hideMark/>
          </w:tcPr>
          <w:p w14:paraId="4F402F15" w14:textId="77777777" w:rsidR="00614B2B" w:rsidRDefault="00614B2B">
            <w:pPr>
              <w:pStyle w:val="Tabelltext"/>
              <w:spacing w:before="0" w:after="0" w:line="480" w:lineRule="auto"/>
              <w:rPr>
                <w:rFonts w:cs="Arial"/>
                <w:sz w:val="22"/>
                <w:lang w:val="sv-SE"/>
              </w:rPr>
            </w:pPr>
            <w:r>
              <w:rPr>
                <w:rFonts w:cs="Arial"/>
                <w:sz w:val="22"/>
                <w:lang w:val="sv-SE"/>
              </w:rPr>
              <w:t>FVIII</w:t>
            </w:r>
            <w:r>
              <w:rPr>
                <w:rFonts w:cs="Arial"/>
                <w:sz w:val="22"/>
                <w:vertAlign w:val="subscript"/>
                <w:lang w:val="sv-SE"/>
              </w:rPr>
              <w:t>0</w:t>
            </w:r>
            <w:r>
              <w:rPr>
                <w:rFonts w:cs="Arial"/>
                <w:sz w:val="22"/>
                <w:lang w:val="sv-SE"/>
              </w:rPr>
              <w:t>, IC</w:t>
            </w:r>
            <w:r>
              <w:rPr>
                <w:rFonts w:cs="Arial"/>
                <w:sz w:val="22"/>
                <w:vertAlign w:val="subscript"/>
                <w:lang w:val="sv-SE"/>
              </w:rPr>
              <w:t>50</w:t>
            </w:r>
          </w:p>
        </w:tc>
      </w:tr>
      <w:tr w:rsidR="00614B2B" w14:paraId="6E9BAAD9" w14:textId="77777777" w:rsidTr="00614B2B">
        <w:trPr>
          <w:trHeight w:val="397"/>
        </w:trPr>
        <w:tc>
          <w:tcPr>
            <w:tcW w:w="2540" w:type="dxa"/>
            <w:tcBorders>
              <w:top w:val="single" w:sz="4" w:space="0" w:color="auto"/>
              <w:left w:val="single" w:sz="4" w:space="0" w:color="auto"/>
              <w:bottom w:val="single" w:sz="4" w:space="0" w:color="auto"/>
              <w:right w:val="single" w:sz="4" w:space="0" w:color="auto"/>
            </w:tcBorders>
            <w:hideMark/>
          </w:tcPr>
          <w:p w14:paraId="7AF1ED82" w14:textId="77777777" w:rsidR="00614B2B" w:rsidRDefault="00614B2B">
            <w:pPr>
              <w:pStyle w:val="Tabelltext"/>
              <w:spacing w:before="0" w:after="0" w:line="480" w:lineRule="auto"/>
              <w:rPr>
                <w:rFonts w:cs="Arial"/>
                <w:sz w:val="22"/>
                <w:lang w:val="sv-SE"/>
              </w:rPr>
            </w:pPr>
            <w:r>
              <w:rPr>
                <w:rFonts w:cs="Arial"/>
                <w:sz w:val="22"/>
                <w:lang w:val="sv-SE"/>
              </w:rPr>
              <w:t>rFVIII coadministration</w:t>
            </w:r>
          </w:p>
        </w:tc>
        <w:tc>
          <w:tcPr>
            <w:tcW w:w="1800" w:type="dxa"/>
            <w:tcBorders>
              <w:top w:val="single" w:sz="4" w:space="0" w:color="auto"/>
              <w:left w:val="single" w:sz="4" w:space="0" w:color="auto"/>
              <w:bottom w:val="single" w:sz="4" w:space="0" w:color="auto"/>
              <w:right w:val="single" w:sz="4" w:space="0" w:color="auto"/>
            </w:tcBorders>
            <w:hideMark/>
          </w:tcPr>
          <w:p w14:paraId="2E31800D" w14:textId="77777777" w:rsidR="00614B2B" w:rsidRDefault="00614B2B">
            <w:pPr>
              <w:pStyle w:val="Tabelltext"/>
              <w:spacing w:before="0" w:after="0" w:line="480" w:lineRule="auto"/>
              <w:rPr>
                <w:rFonts w:cs="Arial"/>
                <w:sz w:val="22"/>
                <w:lang w:val="sv-SE"/>
              </w:rPr>
            </w:pPr>
            <w:r>
              <w:rPr>
                <w:rFonts w:cs="Arial"/>
                <w:sz w:val="22"/>
                <w:lang w:val="sv-SE"/>
              </w:rPr>
              <w:t xml:space="preserve">CL, </w:t>
            </w:r>
            <w:r>
              <w:rPr>
                <w:rFonts w:cs="Arial"/>
                <w:i/>
                <w:iCs/>
                <w:sz w:val="22"/>
                <w:lang w:val="sv-SE"/>
              </w:rPr>
              <w:t>V</w:t>
            </w:r>
            <w:r>
              <w:rPr>
                <w:rFonts w:cs="Arial"/>
                <w:sz w:val="22"/>
                <w:vertAlign w:val="subscript"/>
                <w:lang w:val="sv-SE"/>
              </w:rPr>
              <w:t>c</w:t>
            </w:r>
            <w:r>
              <w:rPr>
                <w:rFonts w:cs="Arial"/>
                <w:sz w:val="22"/>
                <w:lang w:val="sv-SE"/>
              </w:rPr>
              <w:t xml:space="preserve">, </w:t>
            </w:r>
            <w:r>
              <w:rPr>
                <w:rFonts w:cs="Arial"/>
                <w:i/>
                <w:iCs/>
                <w:sz w:val="22"/>
                <w:lang w:val="sv-SE"/>
              </w:rPr>
              <w:t>V</w:t>
            </w:r>
            <w:r>
              <w:rPr>
                <w:rFonts w:cs="Arial"/>
                <w:sz w:val="22"/>
                <w:vertAlign w:val="subscript"/>
                <w:lang w:val="sv-SE"/>
              </w:rPr>
              <w:t>p</w:t>
            </w:r>
          </w:p>
        </w:tc>
        <w:tc>
          <w:tcPr>
            <w:tcW w:w="1701" w:type="dxa"/>
            <w:tcBorders>
              <w:top w:val="single" w:sz="4" w:space="0" w:color="auto"/>
              <w:left w:val="single" w:sz="4" w:space="0" w:color="auto"/>
              <w:bottom w:val="single" w:sz="4" w:space="0" w:color="auto"/>
              <w:right w:val="single" w:sz="4" w:space="0" w:color="auto"/>
            </w:tcBorders>
            <w:hideMark/>
          </w:tcPr>
          <w:p w14:paraId="3C0A34E3" w14:textId="77777777" w:rsidR="00614B2B" w:rsidRDefault="00614B2B">
            <w:pPr>
              <w:pStyle w:val="Tabelltext"/>
              <w:spacing w:before="0" w:after="0" w:line="480" w:lineRule="auto"/>
              <w:rPr>
                <w:rFonts w:cs="Arial"/>
                <w:sz w:val="22"/>
                <w:lang w:val="sv-SE"/>
              </w:rPr>
            </w:pPr>
            <w:r>
              <w:rPr>
                <w:rFonts w:cs="Arial"/>
                <w:sz w:val="22"/>
                <w:lang w:val="sv-SE"/>
              </w:rPr>
              <w:t>ND</w:t>
            </w:r>
          </w:p>
        </w:tc>
      </w:tr>
      <w:tr w:rsidR="00614B2B" w14:paraId="2D0A69C6" w14:textId="77777777" w:rsidTr="00614B2B">
        <w:trPr>
          <w:trHeight w:val="397"/>
        </w:trPr>
        <w:tc>
          <w:tcPr>
            <w:tcW w:w="2540" w:type="dxa"/>
            <w:tcBorders>
              <w:top w:val="single" w:sz="4" w:space="0" w:color="auto"/>
              <w:left w:val="single" w:sz="4" w:space="0" w:color="auto"/>
              <w:bottom w:val="single" w:sz="4" w:space="0" w:color="auto"/>
              <w:right w:val="single" w:sz="4" w:space="0" w:color="auto"/>
            </w:tcBorders>
            <w:hideMark/>
          </w:tcPr>
          <w:p w14:paraId="64F6447C" w14:textId="77777777" w:rsidR="00614B2B" w:rsidRDefault="00614B2B">
            <w:pPr>
              <w:pStyle w:val="Tabelltext"/>
              <w:spacing w:before="0" w:after="0" w:line="480" w:lineRule="auto"/>
              <w:rPr>
                <w:rFonts w:cs="Arial"/>
                <w:sz w:val="22"/>
                <w:lang w:val="sv-SE"/>
              </w:rPr>
            </w:pPr>
            <w:r>
              <w:rPr>
                <w:rFonts w:cs="Arial"/>
                <w:sz w:val="22"/>
                <w:lang w:val="sv-SE"/>
              </w:rPr>
              <w:t>Hematocrit</w:t>
            </w:r>
          </w:p>
        </w:tc>
        <w:tc>
          <w:tcPr>
            <w:tcW w:w="1800" w:type="dxa"/>
            <w:tcBorders>
              <w:top w:val="single" w:sz="4" w:space="0" w:color="auto"/>
              <w:left w:val="single" w:sz="4" w:space="0" w:color="auto"/>
              <w:bottom w:val="single" w:sz="4" w:space="0" w:color="auto"/>
              <w:right w:val="single" w:sz="4" w:space="0" w:color="auto"/>
            </w:tcBorders>
            <w:hideMark/>
          </w:tcPr>
          <w:p w14:paraId="56AE3A6A" w14:textId="77777777" w:rsidR="00614B2B" w:rsidRDefault="00614B2B">
            <w:pPr>
              <w:pStyle w:val="Tabelltext"/>
              <w:spacing w:before="0" w:after="0" w:line="480" w:lineRule="auto"/>
              <w:rPr>
                <w:rFonts w:cs="Arial"/>
                <w:sz w:val="22"/>
                <w:lang w:val="sv-SE"/>
              </w:rPr>
            </w:pPr>
            <w:r>
              <w:rPr>
                <w:rFonts w:cs="Arial"/>
                <w:i/>
                <w:iCs/>
                <w:sz w:val="22"/>
                <w:lang w:val="sv-SE"/>
              </w:rPr>
              <w:t>V</w:t>
            </w:r>
            <w:r>
              <w:rPr>
                <w:rFonts w:cs="Arial"/>
                <w:sz w:val="22"/>
                <w:vertAlign w:val="subscript"/>
                <w:lang w:val="sv-SE"/>
              </w:rPr>
              <w:t>c</w:t>
            </w:r>
            <w:r>
              <w:rPr>
                <w:rFonts w:cs="Arial"/>
                <w:sz w:val="22"/>
                <w:lang w:val="sv-SE"/>
              </w:rPr>
              <w:t xml:space="preserve">, </w:t>
            </w:r>
            <w:r>
              <w:rPr>
                <w:rFonts w:cs="Arial"/>
                <w:i/>
                <w:iCs/>
                <w:sz w:val="22"/>
                <w:lang w:val="sv-SE"/>
              </w:rPr>
              <w:t>V</w:t>
            </w:r>
            <w:r>
              <w:rPr>
                <w:rFonts w:cs="Arial"/>
                <w:sz w:val="22"/>
                <w:vertAlign w:val="subscript"/>
                <w:lang w:val="sv-SE"/>
              </w:rPr>
              <w:t>p</w:t>
            </w:r>
          </w:p>
        </w:tc>
        <w:tc>
          <w:tcPr>
            <w:tcW w:w="1701" w:type="dxa"/>
            <w:tcBorders>
              <w:top w:val="single" w:sz="4" w:space="0" w:color="auto"/>
              <w:left w:val="single" w:sz="4" w:space="0" w:color="auto"/>
              <w:bottom w:val="single" w:sz="4" w:space="0" w:color="auto"/>
              <w:right w:val="single" w:sz="4" w:space="0" w:color="auto"/>
            </w:tcBorders>
            <w:hideMark/>
          </w:tcPr>
          <w:p w14:paraId="7503C787" w14:textId="77777777" w:rsidR="00614B2B" w:rsidRDefault="00614B2B">
            <w:pPr>
              <w:pStyle w:val="Tabelltext"/>
              <w:spacing w:before="0" w:after="0" w:line="480" w:lineRule="auto"/>
              <w:rPr>
                <w:rFonts w:cs="Arial"/>
                <w:sz w:val="22"/>
                <w:lang w:val="sv-SE"/>
              </w:rPr>
            </w:pPr>
            <w:r>
              <w:rPr>
                <w:rFonts w:cs="Arial"/>
                <w:sz w:val="22"/>
                <w:lang w:val="sv-SE"/>
              </w:rPr>
              <w:t>FVIII</w:t>
            </w:r>
            <w:r>
              <w:rPr>
                <w:rFonts w:cs="Arial"/>
                <w:sz w:val="22"/>
                <w:vertAlign w:val="subscript"/>
                <w:lang w:val="sv-SE"/>
              </w:rPr>
              <w:t>0</w:t>
            </w:r>
            <w:r>
              <w:rPr>
                <w:rFonts w:cs="Arial"/>
                <w:sz w:val="22"/>
                <w:lang w:val="sv-SE"/>
              </w:rPr>
              <w:t>, IC</w:t>
            </w:r>
            <w:r>
              <w:rPr>
                <w:rFonts w:cs="Arial"/>
                <w:sz w:val="22"/>
                <w:vertAlign w:val="subscript"/>
                <w:lang w:val="sv-SE"/>
              </w:rPr>
              <w:t>50</w:t>
            </w:r>
          </w:p>
        </w:tc>
      </w:tr>
    </w:tbl>
    <w:p w14:paraId="0388A1C8" w14:textId="77777777" w:rsidR="00614B2B" w:rsidRDefault="00614B2B" w:rsidP="00614B2B">
      <w:pPr>
        <w:rPr>
          <w:rFonts w:cs="Arial"/>
        </w:rPr>
      </w:pPr>
      <w:bookmarkStart w:id="2" w:name="_Hlk65851800"/>
      <w:r>
        <w:rPr>
          <w:b/>
          <w:bCs/>
        </w:rPr>
        <w:t>Abbreviations</w:t>
      </w:r>
      <w:r>
        <w:t>: CL, clearance; FVIII, factor VIII; FVIII</w:t>
      </w:r>
      <w:r>
        <w:rPr>
          <w:vertAlign w:val="subscript"/>
        </w:rPr>
        <w:t>0</w:t>
      </w:r>
      <w:r>
        <w:t>, FVIII levels at VWF:RCo activity = 0 IU/dL; IC</w:t>
      </w:r>
      <w:r>
        <w:rPr>
          <w:vertAlign w:val="subscript"/>
        </w:rPr>
        <w:t>50</w:t>
      </w:r>
      <w:r>
        <w:t>, activity level at half maximum inhibition;</w:t>
      </w:r>
      <w:r>
        <w:rPr>
          <w:rFonts w:cs="Arial"/>
        </w:rPr>
        <w:t xml:space="preserve"> ND, not determined;</w:t>
      </w:r>
      <w:r>
        <w:t xml:space="preserve"> PD, pharmacodynamic; PK pharmacokinetic; Q, </w:t>
      </w:r>
      <w:r>
        <w:rPr>
          <w:bCs/>
        </w:rPr>
        <w:t>intercompartmental clearance;</w:t>
      </w:r>
      <w:r>
        <w:t xml:space="preserve"> rFVIII, recombinant FVIII; V</w:t>
      </w:r>
      <w:r>
        <w:rPr>
          <w:vertAlign w:val="subscript"/>
        </w:rPr>
        <w:t>c</w:t>
      </w:r>
      <w:r>
        <w:t>, central volume of distribution; V</w:t>
      </w:r>
      <w:r>
        <w:rPr>
          <w:vertAlign w:val="subscript"/>
        </w:rPr>
        <w:t>p</w:t>
      </w:r>
      <w:r>
        <w:t>, peripheral volume of distribution; VWF:RCo, von Willebrand factor:ristocetin cofactor.</w:t>
      </w:r>
    </w:p>
    <w:bookmarkEnd w:id="2"/>
    <w:p w14:paraId="2BB328C2" w14:textId="77777777" w:rsidR="00614B2B" w:rsidRDefault="00614B2B" w:rsidP="00614B2B">
      <w:pPr>
        <w:spacing w:before="0" w:after="0"/>
        <w:rPr>
          <w:rFonts w:cs="Arial"/>
          <w:sz w:val="20"/>
          <w:szCs w:val="20"/>
        </w:rPr>
      </w:pPr>
    </w:p>
    <w:p w14:paraId="132F6FAC" w14:textId="77777777" w:rsidR="00614B2B" w:rsidRDefault="00614B2B" w:rsidP="00614B2B">
      <w:pPr>
        <w:spacing w:before="0" w:after="160" w:line="256" w:lineRule="auto"/>
        <w:rPr>
          <w:rStyle w:val="Heading3Char"/>
          <w:b/>
          <w:i/>
          <w:szCs w:val="26"/>
        </w:rPr>
      </w:pPr>
      <w:r>
        <w:rPr>
          <w:rFonts w:asciiTheme="majorHAnsi" w:eastAsiaTheme="majorEastAsia" w:hAnsiTheme="majorHAnsi" w:cstheme="majorBidi"/>
          <w:color w:val="1F3763" w:themeColor="accent1" w:themeShade="7F"/>
          <w:sz w:val="24"/>
          <w:szCs w:val="26"/>
        </w:rPr>
        <w:br w:type="page"/>
      </w:r>
    </w:p>
    <w:p w14:paraId="5548274E" w14:textId="761D9165" w:rsidR="00874BF4" w:rsidRDefault="00874BF4" w:rsidP="00874BF4">
      <w:pPr>
        <w:pStyle w:val="Heading1"/>
        <w:spacing w:before="0" w:after="0"/>
        <w:rPr>
          <w:rFonts w:ascii="Arial" w:hAnsi="Arial" w:cs="Arial"/>
          <w:b w:val="0"/>
          <w:sz w:val="22"/>
          <w:szCs w:val="22"/>
        </w:rPr>
      </w:pPr>
      <w:r w:rsidRPr="008B1D5E">
        <w:rPr>
          <w:rStyle w:val="Heading1Char"/>
          <w:rFonts w:ascii="Arial" w:hAnsi="Arial" w:cs="Arial"/>
          <w:b/>
          <w:sz w:val="22"/>
          <w:szCs w:val="22"/>
        </w:rPr>
        <w:lastRenderedPageBreak/>
        <w:t xml:space="preserve">Supplementary Table </w:t>
      </w:r>
      <w:r>
        <w:rPr>
          <w:rStyle w:val="Heading1Char"/>
          <w:rFonts w:ascii="Arial" w:hAnsi="Arial" w:cs="Arial"/>
          <w:b/>
          <w:sz w:val="22"/>
          <w:szCs w:val="22"/>
        </w:rPr>
        <w:t>2</w:t>
      </w:r>
      <w:r w:rsidRPr="008B1D5E">
        <w:rPr>
          <w:b w:val="0"/>
          <w:i/>
          <w:iCs/>
          <w:sz w:val="22"/>
          <w:szCs w:val="22"/>
        </w:rPr>
        <w:t xml:space="preserve"> </w:t>
      </w:r>
      <w:r>
        <w:rPr>
          <w:rFonts w:ascii="Arial" w:hAnsi="Arial" w:cs="Arial"/>
          <w:b w:val="0"/>
          <w:sz w:val="22"/>
          <w:szCs w:val="22"/>
        </w:rPr>
        <w:t>Ethics committees for sites participating in studies</w:t>
      </w:r>
    </w:p>
    <w:tbl>
      <w:tblPr>
        <w:tblW w:w="9204" w:type="dxa"/>
        <w:tblCellMar>
          <w:left w:w="0" w:type="dxa"/>
          <w:right w:w="0" w:type="dxa"/>
        </w:tblCellMar>
        <w:tblLook w:val="04A0" w:firstRow="1" w:lastRow="0" w:firstColumn="1" w:lastColumn="0" w:noHBand="0" w:noVBand="1"/>
      </w:tblPr>
      <w:tblGrid>
        <w:gridCol w:w="1975"/>
        <w:gridCol w:w="7229"/>
      </w:tblGrid>
      <w:tr w:rsidR="00687A6F" w14:paraId="476AD916" w14:textId="77777777" w:rsidTr="006B7D62">
        <w:trPr>
          <w:trHeight w:val="835"/>
          <w:tblHeader/>
        </w:trPr>
        <w:tc>
          <w:tcPr>
            <w:tcW w:w="19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975FE5" w14:textId="77777777" w:rsidR="00687A6F" w:rsidRDefault="00687A6F" w:rsidP="002349AC">
            <w:r>
              <w:rPr>
                <w:b/>
                <w:bCs/>
              </w:rPr>
              <w:t>Study</w:t>
            </w:r>
          </w:p>
        </w:tc>
        <w:tc>
          <w:tcPr>
            <w:tcW w:w="722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A5B703" w14:textId="079935BE" w:rsidR="00687A6F" w:rsidRDefault="00687A6F" w:rsidP="002349AC">
            <w:r>
              <w:rPr>
                <w:b/>
                <w:bCs/>
              </w:rPr>
              <w:t xml:space="preserve">Ethics committees </w:t>
            </w:r>
          </w:p>
        </w:tc>
      </w:tr>
      <w:tr w:rsidR="00687A6F" w14:paraId="1792F181" w14:textId="77777777" w:rsidTr="0090490E">
        <w:trPr>
          <w:trHeight w:val="540"/>
        </w:trPr>
        <w:tc>
          <w:tcPr>
            <w:tcW w:w="1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170984" w14:textId="7E94AA11" w:rsidR="00687A6F" w:rsidRPr="00CD63A6" w:rsidRDefault="00687A6F" w:rsidP="00CD63A6">
            <w:pPr>
              <w:spacing w:before="0" w:after="0" w:line="360" w:lineRule="auto"/>
              <w:rPr>
                <w:rFonts w:cs="Arial"/>
              </w:rPr>
            </w:pPr>
            <w:r w:rsidRPr="00CD63A6">
              <w:rPr>
                <w:rFonts w:cs="Arial"/>
              </w:rPr>
              <w:t>NCT00816660</w:t>
            </w:r>
            <w:r w:rsidRPr="00CD63A6">
              <w:rPr>
                <w:rFonts w:cs="Arial"/>
              </w:rPr>
              <w:fldChar w:fldCharType="begin">
                <w:fldData xml:space="preserve">PEVuZE5vdGU+PENpdGU+PEF1dGhvcj5NYW5udWNjaTwvQXV0aG9yPjxZZWFyPjIwMTM8L1llYXI+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</w:fldData>
              </w:fldChar>
            </w:r>
            <w:r w:rsidR="00F31C01">
              <w:rPr>
                <w:rFonts w:cs="Arial"/>
              </w:rPr>
              <w:instrText xml:space="preserve"> ADDIN EN.CITE </w:instrText>
            </w:r>
            <w:r w:rsidR="00F31C01">
              <w:rPr>
                <w:rFonts w:cs="Arial"/>
              </w:rPr>
              <w:fldChar w:fldCharType="begin">
                <w:fldData xml:space="preserve">PEVuZE5vdGU+PENpdGU+PEF1dGhvcj5NYW5udWNjaTwvQXV0aG9yPjxZZWFyPjIwMTM8L1llYXI+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</w:fldData>
              </w:fldChar>
            </w:r>
            <w:r w:rsidR="00F31C01">
              <w:rPr>
                <w:rFonts w:cs="Arial"/>
              </w:rPr>
              <w:instrText xml:space="preserve"> ADDIN EN.CITE.DATA </w:instrText>
            </w:r>
            <w:r w:rsidR="00F31C01">
              <w:rPr>
                <w:rFonts w:cs="Arial"/>
              </w:rPr>
            </w:r>
            <w:r w:rsidR="00F31C01">
              <w:rPr>
                <w:rFonts w:cs="Arial"/>
              </w:rPr>
              <w:fldChar w:fldCharType="end"/>
            </w:r>
            <w:r w:rsidRPr="00CD63A6">
              <w:rPr>
                <w:rFonts w:cs="Arial"/>
              </w:rPr>
            </w:r>
            <w:r w:rsidRPr="00CD63A6">
              <w:rPr>
                <w:rFonts w:cs="Arial"/>
              </w:rPr>
              <w:fldChar w:fldCharType="separate"/>
            </w:r>
            <w:r w:rsidR="00F31C01" w:rsidRPr="00F31C01">
              <w:rPr>
                <w:rFonts w:cs="Arial"/>
                <w:noProof/>
                <w:vertAlign w:val="superscript"/>
              </w:rPr>
              <w:t>8</w:t>
            </w:r>
            <w:r w:rsidRPr="00CD63A6">
              <w:rPr>
                <w:rFonts w:cs="Arial"/>
              </w:rPr>
              <w:fldChar w:fldCharType="end"/>
            </w:r>
          </w:p>
        </w:tc>
        <w:tc>
          <w:tcPr>
            <w:tcW w:w="7229" w:type="dxa"/>
            <w:tcBorders>
              <w:top w:val="nil"/>
              <w:left w:val="nil"/>
              <w:bottom w:val="single" w:sz="8" w:space="0" w:color="auto"/>
              <w:right w:val="single" w:sz="8" w:space="0" w:color="auto"/>
            </w:tcBorders>
            <w:tcMar>
              <w:top w:w="0" w:type="dxa"/>
              <w:left w:w="108" w:type="dxa"/>
              <w:bottom w:w="0" w:type="dxa"/>
              <w:right w:w="108" w:type="dxa"/>
            </w:tcMar>
            <w:hideMark/>
          </w:tcPr>
          <w:p w14:paraId="58BAD289" w14:textId="77777777" w:rsidR="00687A6F" w:rsidRPr="00CD63A6" w:rsidRDefault="00687A6F" w:rsidP="00CD63A6">
            <w:pPr>
              <w:spacing w:before="0" w:line="276" w:lineRule="auto"/>
              <w:rPr>
                <w:rFonts w:cs="Arial"/>
              </w:rPr>
            </w:pPr>
            <w:r w:rsidRPr="00CD63A6">
              <w:rPr>
                <w:rFonts w:cs="Arial"/>
              </w:rPr>
              <w:t>Ethics Committee of the Medical, University of Vienna, Vienna, Austria</w:t>
            </w:r>
          </w:p>
          <w:p w14:paraId="732D611A" w14:textId="77777777" w:rsidR="00687A6F" w:rsidRPr="00CD63A6" w:rsidRDefault="00687A6F" w:rsidP="00CD63A6">
            <w:pPr>
              <w:spacing w:before="0" w:line="276" w:lineRule="auto"/>
              <w:rPr>
                <w:rFonts w:cs="Arial"/>
              </w:rPr>
            </w:pPr>
            <w:r w:rsidRPr="00CD63A6">
              <w:rPr>
                <w:rFonts w:cs="Arial"/>
              </w:rPr>
              <w:t>Landesamt für Gesundheit und Soziales Ethik Kommission des Landes Berlin, Berlin, Germany</w:t>
            </w:r>
          </w:p>
          <w:p w14:paraId="28FAD83A" w14:textId="77777777" w:rsidR="00687A6F" w:rsidRPr="00CD63A6" w:rsidRDefault="0090490E" w:rsidP="00CD63A6">
            <w:pPr>
              <w:spacing w:before="0" w:line="276" w:lineRule="auto"/>
              <w:rPr>
                <w:rFonts w:cs="Arial"/>
              </w:rPr>
            </w:pPr>
            <w:r w:rsidRPr="00CD63A6">
              <w:rPr>
                <w:rFonts w:cs="Arial"/>
              </w:rPr>
              <w:t>North West Centre of Research Ethics Committees, Manchester, UK</w:t>
            </w:r>
          </w:p>
          <w:p w14:paraId="022D197F" w14:textId="77777777" w:rsidR="0090490E" w:rsidRPr="00CD63A6" w:rsidRDefault="0090490E" w:rsidP="00CD63A6">
            <w:pPr>
              <w:spacing w:before="0" w:line="276" w:lineRule="auto"/>
              <w:rPr>
                <w:rFonts w:cs="Arial"/>
              </w:rPr>
            </w:pPr>
            <w:r w:rsidRPr="00CD63A6">
              <w:rPr>
                <w:rFonts w:cs="Arial"/>
              </w:rPr>
              <w:t>Comitato Etico Dell’IRCCS Ospedale Maggiore Policlinico, Milan, Italy</w:t>
            </w:r>
          </w:p>
          <w:p w14:paraId="544993AC" w14:textId="77777777" w:rsidR="0090490E" w:rsidRPr="00CD63A6" w:rsidRDefault="0090490E" w:rsidP="00CD63A6">
            <w:pPr>
              <w:spacing w:before="0" w:line="276" w:lineRule="auto"/>
              <w:rPr>
                <w:rFonts w:cs="Arial"/>
              </w:rPr>
            </w:pPr>
            <w:r w:rsidRPr="00CD63A6">
              <w:rPr>
                <w:rFonts w:cs="Arial"/>
              </w:rPr>
              <w:t>Comitato Etico Indipendente Dell’Azienda Sanitaria, Naples, Italy</w:t>
            </w:r>
          </w:p>
          <w:p w14:paraId="2435B160" w14:textId="77777777" w:rsidR="0090490E" w:rsidRPr="00CD63A6" w:rsidRDefault="0090490E" w:rsidP="00CD63A6">
            <w:pPr>
              <w:spacing w:before="0" w:line="276" w:lineRule="auto"/>
              <w:rPr>
                <w:rFonts w:cs="Arial"/>
              </w:rPr>
            </w:pPr>
            <w:r w:rsidRPr="00CD63A6">
              <w:rPr>
                <w:rFonts w:cs="Arial"/>
              </w:rPr>
              <w:t>Comitato Etico per la Sperimentazione Clinica della Provincia di Vicenza, Venice, Italy</w:t>
            </w:r>
          </w:p>
          <w:p w14:paraId="24FFE58F" w14:textId="77777777" w:rsidR="0090490E" w:rsidRPr="00CD63A6" w:rsidRDefault="0090490E" w:rsidP="00CD63A6">
            <w:pPr>
              <w:spacing w:before="0" w:line="276" w:lineRule="auto"/>
              <w:rPr>
                <w:rFonts w:cs="Arial"/>
              </w:rPr>
            </w:pPr>
            <w:r w:rsidRPr="00CD63A6">
              <w:rPr>
                <w:rFonts w:cs="Arial"/>
              </w:rPr>
              <w:t>Comitato Etico per la Sperimentazione Clinica – Azienda Ospedaliero-Universitaria Careggi, Florence, Italy</w:t>
            </w:r>
          </w:p>
          <w:p w14:paraId="3E80F125" w14:textId="77777777" w:rsidR="0090490E" w:rsidRPr="00CD63A6" w:rsidRDefault="0090490E" w:rsidP="00CD63A6">
            <w:pPr>
              <w:spacing w:before="0" w:line="276" w:lineRule="auto"/>
              <w:rPr>
                <w:rFonts w:cs="Arial"/>
              </w:rPr>
            </w:pPr>
            <w:r w:rsidRPr="00CD63A6">
              <w:rPr>
                <w:rFonts w:cs="Arial"/>
              </w:rPr>
              <w:t>Comitato Etico Istituto Giannina Gaslini, Genova, Italy</w:t>
            </w:r>
          </w:p>
          <w:p w14:paraId="43BCAAE3" w14:textId="77777777" w:rsidR="0090490E" w:rsidRPr="00CD63A6" w:rsidRDefault="0090490E" w:rsidP="00CD63A6">
            <w:pPr>
              <w:spacing w:before="0" w:line="276" w:lineRule="auto"/>
              <w:rPr>
                <w:rFonts w:cs="Arial"/>
              </w:rPr>
            </w:pPr>
            <w:r w:rsidRPr="00CD63A6">
              <w:rPr>
                <w:rFonts w:cs="Arial"/>
              </w:rPr>
              <w:t>Comitato Etico per la Sperimentazione – Azienda Ospedaliera Di Padova, Padova, Italy</w:t>
            </w:r>
          </w:p>
          <w:p w14:paraId="7AAD0CE3" w14:textId="77777777" w:rsidR="0090490E" w:rsidRPr="00CD63A6" w:rsidRDefault="0090490E" w:rsidP="00CD63A6">
            <w:pPr>
              <w:spacing w:before="0" w:line="276" w:lineRule="auto"/>
              <w:rPr>
                <w:rFonts w:cs="Arial"/>
              </w:rPr>
            </w:pPr>
            <w:r w:rsidRPr="00CD63A6">
              <w:rPr>
                <w:rFonts w:cs="Arial"/>
              </w:rPr>
              <w:t>Comitato Etico Dell’Azienda Policlinico Umberto I di Roma, Rome, Italy</w:t>
            </w:r>
          </w:p>
          <w:p w14:paraId="4DEC89EE" w14:textId="77777777" w:rsidR="0090490E" w:rsidRPr="00CD63A6" w:rsidRDefault="0090490E" w:rsidP="00CD63A6">
            <w:pPr>
              <w:spacing w:before="0" w:line="276" w:lineRule="auto"/>
              <w:rPr>
                <w:rFonts w:cs="Arial"/>
              </w:rPr>
            </w:pPr>
            <w:r w:rsidRPr="00CD63A6">
              <w:rPr>
                <w:rFonts w:cs="Arial"/>
              </w:rPr>
              <w:t>Children’s Hospital and Health Systems Human Research Review Board, Wauwatosa, WI, USA</w:t>
            </w:r>
          </w:p>
          <w:p w14:paraId="7C0DA01A" w14:textId="77777777" w:rsidR="0090490E" w:rsidRPr="00CD63A6" w:rsidRDefault="0090490E" w:rsidP="00CD63A6">
            <w:pPr>
              <w:spacing w:before="0" w:line="276" w:lineRule="auto"/>
              <w:rPr>
                <w:rFonts w:cs="Arial"/>
              </w:rPr>
            </w:pPr>
            <w:r w:rsidRPr="00CD63A6">
              <w:rPr>
                <w:rFonts w:cs="Arial"/>
              </w:rPr>
              <w:t>St. Vincent Institutional Review Board, Indianapolis, IN, USA</w:t>
            </w:r>
          </w:p>
          <w:p w14:paraId="1790FA71" w14:textId="77777777" w:rsidR="0090490E" w:rsidRPr="00CD63A6" w:rsidRDefault="0090490E" w:rsidP="00CD63A6">
            <w:pPr>
              <w:spacing w:before="0" w:line="276" w:lineRule="auto"/>
              <w:rPr>
                <w:rFonts w:cs="Arial"/>
              </w:rPr>
            </w:pPr>
            <w:r w:rsidRPr="00CD63A6">
              <w:rPr>
                <w:rFonts w:cs="Arial"/>
              </w:rPr>
              <w:t>Western Institutional Review Board (WIRB), Olympia, WA, USA</w:t>
            </w:r>
          </w:p>
          <w:p w14:paraId="24F842D6" w14:textId="5FCEFA10" w:rsidR="0090490E" w:rsidRPr="00CD63A6" w:rsidRDefault="0090490E" w:rsidP="00CD63A6">
            <w:pPr>
              <w:spacing w:before="0" w:line="276" w:lineRule="auto"/>
              <w:rPr>
                <w:rFonts w:cs="Arial"/>
              </w:rPr>
            </w:pPr>
            <w:r w:rsidRPr="00CD63A6">
              <w:rPr>
                <w:rFonts w:cs="Arial"/>
              </w:rPr>
              <w:t>The University of Texas Health Science</w:t>
            </w:r>
            <w:r w:rsidR="00F97279">
              <w:rPr>
                <w:rFonts w:cs="Arial"/>
              </w:rPr>
              <w:t xml:space="preserve"> </w:t>
            </w:r>
            <w:r w:rsidRPr="00CD63A6">
              <w:rPr>
                <w:rFonts w:cs="Arial"/>
              </w:rPr>
              <w:t>Center Houston / Office of Research</w:t>
            </w:r>
            <w:r w:rsidR="00F97279">
              <w:rPr>
                <w:rFonts w:cs="Arial"/>
              </w:rPr>
              <w:t xml:space="preserve"> </w:t>
            </w:r>
            <w:r w:rsidRPr="00CD63A6">
              <w:rPr>
                <w:rFonts w:cs="Arial"/>
              </w:rPr>
              <w:t>Support Committees</w:t>
            </w:r>
            <w:r w:rsidR="00CD63A6" w:rsidRPr="00CD63A6">
              <w:rPr>
                <w:rFonts w:cs="Arial"/>
              </w:rPr>
              <w:t>, Houston, TX, USA</w:t>
            </w:r>
          </w:p>
          <w:p w14:paraId="3F2CB7D4" w14:textId="0D689F1D" w:rsidR="00CD63A6" w:rsidRPr="00CD63A6" w:rsidRDefault="00CD63A6" w:rsidP="00CD63A6">
            <w:pPr>
              <w:autoSpaceDE w:val="0"/>
              <w:autoSpaceDN w:val="0"/>
              <w:adjustRightInd w:val="0"/>
              <w:spacing w:before="0" w:line="276" w:lineRule="auto"/>
              <w:rPr>
                <w:rFonts w:cs="Arial"/>
                <w:lang w:val="en-GB"/>
              </w:rPr>
            </w:pPr>
            <w:r w:rsidRPr="00CD63A6">
              <w:rPr>
                <w:rFonts w:cs="Arial"/>
                <w:lang w:val="en-GB"/>
              </w:rPr>
              <w:t>Dana Farber Cancer Institute Office for Human Research Studies, Boston, MA, USA</w:t>
            </w:r>
          </w:p>
          <w:p w14:paraId="395B6401" w14:textId="255CF447" w:rsidR="00CD63A6" w:rsidRPr="00CD63A6" w:rsidRDefault="00CD63A6" w:rsidP="00CD63A6">
            <w:pPr>
              <w:autoSpaceDE w:val="0"/>
              <w:autoSpaceDN w:val="0"/>
              <w:adjustRightInd w:val="0"/>
              <w:spacing w:before="0" w:line="276" w:lineRule="auto"/>
              <w:rPr>
                <w:rFonts w:cs="Arial"/>
                <w:lang w:val="en-GB"/>
              </w:rPr>
            </w:pPr>
            <w:r w:rsidRPr="00CD63A6">
              <w:rPr>
                <w:rFonts w:cs="Arial"/>
                <w:lang w:val="en-GB"/>
              </w:rPr>
              <w:t>Emory University Institutional Review Board, Atlanta, GA, USA</w:t>
            </w:r>
          </w:p>
          <w:p w14:paraId="65C9FF01" w14:textId="5B3F9536" w:rsidR="00CD63A6" w:rsidRPr="00CD63A6" w:rsidRDefault="00CD63A6" w:rsidP="00CD63A6">
            <w:pPr>
              <w:autoSpaceDE w:val="0"/>
              <w:autoSpaceDN w:val="0"/>
              <w:adjustRightInd w:val="0"/>
              <w:spacing w:before="0" w:line="276" w:lineRule="auto"/>
              <w:rPr>
                <w:rFonts w:cs="Arial"/>
                <w:lang w:val="en-GB"/>
              </w:rPr>
            </w:pPr>
            <w:r w:rsidRPr="00CD63A6">
              <w:rPr>
                <w:rFonts w:cs="Arial"/>
                <w:lang w:val="en-GB"/>
              </w:rPr>
              <w:t>Rush University Medical Center / Research and Clinical Trials Administration Office, Chicago, IL, USA</w:t>
            </w:r>
          </w:p>
          <w:p w14:paraId="1642ECEB" w14:textId="0AEA50EC" w:rsidR="00CD63A6" w:rsidRPr="00CD63A6" w:rsidRDefault="00CD63A6" w:rsidP="00CD63A6">
            <w:pPr>
              <w:autoSpaceDE w:val="0"/>
              <w:autoSpaceDN w:val="0"/>
              <w:adjustRightInd w:val="0"/>
              <w:spacing w:before="0" w:line="276" w:lineRule="auto"/>
              <w:rPr>
                <w:rFonts w:cs="Arial"/>
                <w:lang w:val="en-GB"/>
              </w:rPr>
            </w:pPr>
            <w:r w:rsidRPr="00CD63A6">
              <w:rPr>
                <w:rFonts w:cs="Arial"/>
                <w:lang w:val="en-GB"/>
              </w:rPr>
              <w:t>University of Kentucky Office of Research Integrity IRB, IACUC, RDRC, Lexington, KY, USA</w:t>
            </w:r>
          </w:p>
          <w:p w14:paraId="0518C434" w14:textId="4A0B8D4B" w:rsidR="00CD63A6" w:rsidRPr="00CD63A6" w:rsidRDefault="00CD63A6" w:rsidP="00CD63A6">
            <w:pPr>
              <w:autoSpaceDE w:val="0"/>
              <w:autoSpaceDN w:val="0"/>
              <w:adjustRightInd w:val="0"/>
              <w:spacing w:before="0" w:line="276" w:lineRule="auto"/>
              <w:rPr>
                <w:rFonts w:cs="Arial"/>
                <w:lang w:val="en-GB"/>
              </w:rPr>
            </w:pPr>
            <w:r w:rsidRPr="00CD63A6">
              <w:rPr>
                <w:rFonts w:cs="Arial"/>
                <w:lang w:val="en-GB"/>
              </w:rPr>
              <w:t>Capital Health Research Ethics Board, Halifax, Canada</w:t>
            </w:r>
          </w:p>
          <w:p w14:paraId="6758FB0D" w14:textId="350F2EB9" w:rsidR="00CD63A6" w:rsidRPr="00CD63A6" w:rsidRDefault="00CD63A6" w:rsidP="00CD63A6">
            <w:pPr>
              <w:autoSpaceDE w:val="0"/>
              <w:autoSpaceDN w:val="0"/>
              <w:adjustRightInd w:val="0"/>
              <w:spacing w:before="0" w:line="276" w:lineRule="auto"/>
              <w:rPr>
                <w:rFonts w:cs="Arial"/>
                <w:lang w:val="en-GB"/>
              </w:rPr>
            </w:pPr>
            <w:r w:rsidRPr="00CD63A6">
              <w:rPr>
                <w:rFonts w:cs="Arial"/>
                <w:lang w:val="en-GB"/>
              </w:rPr>
              <w:t>Rochester General Health System Clinical Investigation Committee, Rochester, NY, USA</w:t>
            </w:r>
          </w:p>
          <w:p w14:paraId="0BE2D1B0" w14:textId="3FEEC115" w:rsidR="00CD63A6" w:rsidRPr="00CD63A6" w:rsidRDefault="00CD63A6" w:rsidP="00CD63A6">
            <w:pPr>
              <w:autoSpaceDE w:val="0"/>
              <w:autoSpaceDN w:val="0"/>
              <w:adjustRightInd w:val="0"/>
              <w:spacing w:before="0" w:line="276" w:lineRule="auto"/>
              <w:rPr>
                <w:rFonts w:cs="Arial"/>
              </w:rPr>
            </w:pPr>
            <w:r w:rsidRPr="00CD63A6">
              <w:rPr>
                <w:rFonts w:cs="Arial"/>
                <w:lang w:val="en-GB"/>
              </w:rPr>
              <w:t>University of Louisville IRB / Human Subjects Protection Program, Louisville,</w:t>
            </w:r>
            <w:r>
              <w:rPr>
                <w:rFonts w:cs="Arial"/>
                <w:lang w:val="en-GB"/>
              </w:rPr>
              <w:t xml:space="preserve"> </w:t>
            </w:r>
            <w:r w:rsidRPr="00CD63A6">
              <w:rPr>
                <w:rFonts w:cs="Arial"/>
                <w:lang w:val="en-GB"/>
              </w:rPr>
              <w:t>KY, USA</w:t>
            </w:r>
          </w:p>
        </w:tc>
      </w:tr>
      <w:tr w:rsidR="00687A6F" w14:paraId="0FC0A08D" w14:textId="77777777" w:rsidTr="0090490E">
        <w:trPr>
          <w:trHeight w:val="555"/>
        </w:trPr>
        <w:tc>
          <w:tcPr>
            <w:tcW w:w="1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47ADEA" w14:textId="116A8FC8" w:rsidR="00687A6F" w:rsidRDefault="00687A6F" w:rsidP="002349AC">
            <w:r>
              <w:lastRenderedPageBreak/>
              <w:t>NCT01410227</w:t>
            </w:r>
            <w:r>
              <w:fldChar w:fldCharType="begin">
                <w:fldData xml:space="preserve">PEVuZE5vdGU+PENpdGU+PEF1dGhvcj5HaWxsPC9BdXRob3I+PFllYXI+MjAxNTwvWWVhcj48UmVj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</w:fldData>
              </w:fldChar>
            </w:r>
            <w:r w:rsidR="00F31C01">
              <w:instrText xml:space="preserve"> ADDIN EN.CITE </w:instrText>
            </w:r>
            <w:r w:rsidR="00F31C01">
              <w:fldChar w:fldCharType="begin">
                <w:fldData xml:space="preserve">PEVuZE5vdGU+PENpdGU+PEF1dGhvcj5HaWxsPC9BdXRob3I+PFllYXI+MjAxNTwvWWVhcj48UmVj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</w:fldData>
              </w:fldChar>
            </w:r>
            <w:r w:rsidR="00F31C01">
              <w:instrText xml:space="preserve"> ADDIN EN.CITE.DATA </w:instrText>
            </w:r>
            <w:r w:rsidR="00F31C01">
              <w:fldChar w:fldCharType="end"/>
            </w:r>
            <w:r>
              <w:fldChar w:fldCharType="separate"/>
            </w:r>
            <w:r w:rsidR="00F31C01" w:rsidRPr="00F31C01">
              <w:rPr>
                <w:noProof/>
                <w:vertAlign w:val="superscript"/>
              </w:rPr>
              <w:t>9</w:t>
            </w:r>
            <w:r>
              <w:fldChar w:fldCharType="end"/>
            </w:r>
          </w:p>
        </w:tc>
        <w:tc>
          <w:tcPr>
            <w:tcW w:w="7229" w:type="dxa"/>
            <w:tcBorders>
              <w:top w:val="nil"/>
              <w:left w:val="nil"/>
              <w:bottom w:val="single" w:sz="8" w:space="0" w:color="auto"/>
              <w:right w:val="single" w:sz="8" w:space="0" w:color="auto"/>
            </w:tcBorders>
            <w:tcMar>
              <w:top w:w="0" w:type="dxa"/>
              <w:left w:w="108" w:type="dxa"/>
              <w:bottom w:w="0" w:type="dxa"/>
              <w:right w:w="108" w:type="dxa"/>
            </w:tcMar>
            <w:hideMark/>
          </w:tcPr>
          <w:p w14:paraId="6F05A2E5" w14:textId="18D0C500" w:rsidR="00F97279" w:rsidRDefault="00F97279" w:rsidP="00635618">
            <w:pPr>
              <w:spacing w:before="0" w:line="276" w:lineRule="auto"/>
            </w:pPr>
            <w:r>
              <w:t>St. Vincent Hospital Institutional Review Board, Indianapolis, IN, USA</w:t>
            </w:r>
          </w:p>
          <w:p w14:paraId="233F98A7" w14:textId="770EBF84" w:rsidR="00F97279" w:rsidRDefault="00F97279" w:rsidP="00635618">
            <w:pPr>
              <w:spacing w:before="0" w:line="276" w:lineRule="auto"/>
            </w:pPr>
            <w:r>
              <w:t xml:space="preserve">Children's Hospital of Wisconsin </w:t>
            </w:r>
            <w:r w:rsidR="00635618">
              <w:t>Institutional</w:t>
            </w:r>
            <w:r>
              <w:t xml:space="preserve"> Review Board, Milwaukee, WI, USA</w:t>
            </w:r>
          </w:p>
          <w:p w14:paraId="50087396" w14:textId="25423A9F" w:rsidR="00F97279" w:rsidRDefault="00F97279" w:rsidP="00635618">
            <w:pPr>
              <w:spacing w:before="0" w:line="276" w:lineRule="auto"/>
            </w:pPr>
            <w:r>
              <w:t>Western Institution Review Board</w:t>
            </w:r>
            <w:r w:rsidR="00635618">
              <w:t>, Olympia</w:t>
            </w:r>
            <w:r>
              <w:t>, WA, USA</w:t>
            </w:r>
          </w:p>
          <w:p w14:paraId="33942FEC" w14:textId="7F3E8FB5" w:rsidR="00F97279" w:rsidRDefault="00F97279" w:rsidP="00635618">
            <w:pPr>
              <w:spacing w:before="0" w:line="276" w:lineRule="auto"/>
            </w:pPr>
            <w:r>
              <w:t>University of Pennsylvania Office of Regulatory Affairs, Philadelphia, PA, USA</w:t>
            </w:r>
          </w:p>
          <w:p w14:paraId="16F747F4" w14:textId="11FF8FED" w:rsidR="00F97279" w:rsidRDefault="00F97279" w:rsidP="00635618">
            <w:pPr>
              <w:spacing w:before="0" w:line="276" w:lineRule="auto"/>
            </w:pPr>
            <w:r>
              <w:t>Rochester General Hospital Clinical Investigation Committee, Rochester, NY, USA</w:t>
            </w:r>
          </w:p>
          <w:p w14:paraId="3CCC5083" w14:textId="31A896E2" w:rsidR="00687A6F" w:rsidRDefault="00F97279" w:rsidP="00635618">
            <w:pPr>
              <w:spacing w:before="0" w:line="276" w:lineRule="auto"/>
            </w:pPr>
            <w:r>
              <w:t>Newark Beth Israel Medical Center IRB</w:t>
            </w:r>
            <w:r w:rsidR="00FB13B6">
              <w:t>,</w:t>
            </w:r>
            <w:r>
              <w:t xml:space="preserve"> Newark, NJ, USA</w:t>
            </w:r>
          </w:p>
          <w:p w14:paraId="4A927BAF" w14:textId="7C753CDD" w:rsidR="00F97279" w:rsidRDefault="00F97279" w:rsidP="00635618">
            <w:pPr>
              <w:spacing w:before="0" w:line="276" w:lineRule="auto"/>
            </w:pPr>
            <w:r>
              <w:t>UC Davis Medical Center</w:t>
            </w:r>
            <w:r w:rsidR="00FB13B6">
              <w:t xml:space="preserve">, </w:t>
            </w:r>
            <w:r>
              <w:t>Sacramento, CA</w:t>
            </w:r>
            <w:r w:rsidR="00FB13B6">
              <w:t>,</w:t>
            </w:r>
            <w:r>
              <w:t xml:space="preserve"> USA</w:t>
            </w:r>
          </w:p>
          <w:p w14:paraId="3A5160EF" w14:textId="3A075B00" w:rsidR="00F97279" w:rsidRDefault="00F97279" w:rsidP="00635618">
            <w:pPr>
              <w:spacing w:before="0" w:line="276" w:lineRule="auto"/>
            </w:pPr>
            <w:r>
              <w:t>University of Illinois College of Medicine at Peoria Institutional Review Board</w:t>
            </w:r>
            <w:r w:rsidR="00FB13B6">
              <w:t xml:space="preserve">, </w:t>
            </w:r>
            <w:r>
              <w:t>Peoria, IL</w:t>
            </w:r>
            <w:r w:rsidR="00FB13B6">
              <w:t xml:space="preserve">, </w:t>
            </w:r>
            <w:r>
              <w:t>USA</w:t>
            </w:r>
          </w:p>
          <w:p w14:paraId="79671A9F" w14:textId="01541ADC" w:rsidR="00F97279" w:rsidRDefault="00F97279" w:rsidP="00635618">
            <w:pPr>
              <w:spacing w:before="0" w:line="276" w:lineRule="auto"/>
            </w:pPr>
            <w:r>
              <w:t>University of North Carolina at Chapel Hill Biomedical Institutional Review Board</w:t>
            </w:r>
            <w:r w:rsidR="00FB13B6">
              <w:t xml:space="preserve">, </w:t>
            </w:r>
            <w:r>
              <w:t>Chapel Hill, NC</w:t>
            </w:r>
            <w:r w:rsidR="00FB13B6">
              <w:t>,</w:t>
            </w:r>
            <w:r>
              <w:t xml:space="preserve"> USA</w:t>
            </w:r>
          </w:p>
          <w:p w14:paraId="5794E6E6" w14:textId="1BABD4A0" w:rsidR="00F97279" w:rsidRDefault="00F97279" w:rsidP="00635618">
            <w:pPr>
              <w:spacing w:before="0" w:line="276" w:lineRule="auto"/>
            </w:pPr>
            <w:r>
              <w:t>Michigan State University</w:t>
            </w:r>
            <w:r w:rsidR="00DE4B65">
              <w:t>,</w:t>
            </w:r>
            <w:r w:rsidR="00FB13B6">
              <w:t xml:space="preserve"> </w:t>
            </w:r>
            <w:r>
              <w:t>Biomedical and Health Sciences Institutional Review Board</w:t>
            </w:r>
            <w:r w:rsidR="00FB13B6">
              <w:t xml:space="preserve">, </w:t>
            </w:r>
            <w:r w:rsidR="00DE4B65">
              <w:t xml:space="preserve">East Lansing, </w:t>
            </w:r>
            <w:r>
              <w:t>MI</w:t>
            </w:r>
            <w:r w:rsidR="00FB13B6">
              <w:t>, USA</w:t>
            </w:r>
          </w:p>
          <w:p w14:paraId="7921CC66" w14:textId="0590E798" w:rsidR="00F97279" w:rsidRDefault="00F97279" w:rsidP="00635618">
            <w:pPr>
              <w:spacing w:before="0" w:line="276" w:lineRule="auto"/>
            </w:pPr>
            <w:r>
              <w:t>The Ethics Committee of the Institute of Haematology and Transfusion Medicine in Warsaw</w:t>
            </w:r>
            <w:r w:rsidR="00FB13B6">
              <w:t xml:space="preserve">, </w:t>
            </w:r>
            <w:r>
              <w:t>Warsaw, Poland</w:t>
            </w:r>
          </w:p>
          <w:p w14:paraId="0BE2A30C" w14:textId="0D15EAE7" w:rsidR="00F97279" w:rsidRDefault="00F97279" w:rsidP="00635618">
            <w:pPr>
              <w:spacing w:before="0" w:line="276" w:lineRule="auto"/>
            </w:pPr>
            <w:r>
              <w:t>Ethics Committee within Federal State-Funded Institution Federal Center of Heart, Blood, and Endocrinology n.a. V.A. Almazov under the Ministry of Healthcare of Russia</w:t>
            </w:r>
            <w:r w:rsidR="00FB13B6">
              <w:t xml:space="preserve">, </w:t>
            </w:r>
            <w:r>
              <w:t>St. Petersburg, Russia</w:t>
            </w:r>
          </w:p>
          <w:p w14:paraId="59019385" w14:textId="2A08BE44" w:rsidR="00F97279" w:rsidRDefault="00F97279" w:rsidP="00635618">
            <w:pPr>
              <w:spacing w:before="0" w:line="276" w:lineRule="auto"/>
            </w:pPr>
            <w:r>
              <w:t>Ethics Committee within Regional Pediatric Clinical Hospital No.1, Ekaterinburg, Russia</w:t>
            </w:r>
          </w:p>
          <w:p w14:paraId="0C972165" w14:textId="0854AEB2" w:rsidR="00F97279" w:rsidRDefault="00F97279" w:rsidP="00635618">
            <w:pPr>
              <w:spacing w:before="0" w:line="276" w:lineRule="auto"/>
            </w:pPr>
            <w:r>
              <w:t>Local Ethics Committee within Territorial State-Funded Healthcare Institution Territorial Clinical Hospital, Krasnoyarsk, Russia</w:t>
            </w:r>
          </w:p>
          <w:p w14:paraId="24D4AD86" w14:textId="7FCE6D0A" w:rsidR="00F97279" w:rsidRDefault="00F97279" w:rsidP="00635618">
            <w:pPr>
              <w:spacing w:before="0" w:line="276" w:lineRule="auto"/>
            </w:pPr>
            <w:r>
              <w:t>Regionala etikprövningsnämnden i Lund</w:t>
            </w:r>
            <w:r w:rsidR="00FB13B6">
              <w:t>,</w:t>
            </w:r>
            <w:r w:rsidR="00DE4B65">
              <w:t xml:space="preserve"> </w:t>
            </w:r>
            <w:r>
              <w:t>Lund, Sweden</w:t>
            </w:r>
          </w:p>
          <w:p w14:paraId="06C8CDA0" w14:textId="1FDBBB14" w:rsidR="00F97279" w:rsidRDefault="00F97279" w:rsidP="00635618">
            <w:pPr>
              <w:spacing w:before="0" w:line="276" w:lineRule="auto"/>
            </w:pPr>
            <w:r>
              <w:t>Local Ethics Committee at Specialized Hospital for Active Treatment "Yoan Pavel"</w:t>
            </w:r>
            <w:r w:rsidR="00FB13B6">
              <w:t xml:space="preserve">, </w:t>
            </w:r>
            <w:r>
              <w:t>Sofia, Bulgaria</w:t>
            </w:r>
          </w:p>
          <w:p w14:paraId="4D0A0DCB" w14:textId="2A542877" w:rsidR="00F97279" w:rsidRDefault="00F97279" w:rsidP="00635618">
            <w:pPr>
              <w:spacing w:before="0" w:line="276" w:lineRule="auto"/>
            </w:pPr>
            <w:r>
              <w:t>Cliniques Universitaires Saint-Luc - Comité d'Ethique</w:t>
            </w:r>
            <w:r w:rsidR="00FB13B6">
              <w:t xml:space="preserve">, Brussels, </w:t>
            </w:r>
            <w:r>
              <w:t>Belgium</w:t>
            </w:r>
          </w:p>
          <w:p w14:paraId="31B9242A" w14:textId="5A8DAB27" w:rsidR="00F97279" w:rsidRDefault="00F97279" w:rsidP="00635618">
            <w:pPr>
              <w:spacing w:before="0" w:line="276" w:lineRule="auto"/>
            </w:pPr>
            <w:r>
              <w:t>Commissie Medische Ethiek van de Universitaire Ziekenhuizen KULeuven</w:t>
            </w:r>
            <w:r w:rsidR="00FB13B6">
              <w:t>,</w:t>
            </w:r>
            <w:r>
              <w:t xml:space="preserve"> Leuven, Belgium</w:t>
            </w:r>
          </w:p>
          <w:p w14:paraId="5F04164A" w14:textId="1D3508C2" w:rsidR="00F97279" w:rsidRDefault="00F97279" w:rsidP="00635618">
            <w:pPr>
              <w:spacing w:before="0" w:line="276" w:lineRule="auto"/>
            </w:pPr>
            <w:r>
              <w:t>Erasmus MC METC</w:t>
            </w:r>
            <w:r w:rsidR="0020024E">
              <w:t xml:space="preserve">, </w:t>
            </w:r>
            <w:r>
              <w:t>Rotterdam, Netherlands</w:t>
            </w:r>
          </w:p>
          <w:p w14:paraId="208184C1" w14:textId="0295C7A9" w:rsidR="00F97279" w:rsidRDefault="00F97279" w:rsidP="00635618">
            <w:pPr>
              <w:spacing w:before="0" w:line="276" w:lineRule="auto"/>
            </w:pPr>
            <w:r>
              <w:t>Ethik-Kommission der Medizinischen Universität Wien und des Allgemeinen Krankenhauses der Stadt Wien</w:t>
            </w:r>
            <w:r w:rsidR="0020024E">
              <w:t xml:space="preserve">, </w:t>
            </w:r>
            <w:r>
              <w:t>Wien, Austria</w:t>
            </w:r>
          </w:p>
          <w:p w14:paraId="23783BB2" w14:textId="1526E4A7" w:rsidR="0020024E" w:rsidRDefault="00F97279" w:rsidP="00635618">
            <w:pPr>
              <w:spacing w:before="0" w:line="276" w:lineRule="auto"/>
            </w:pPr>
            <w:r>
              <w:t>Landesamt für Gesundheit und Soziales Berlin</w:t>
            </w:r>
            <w:r w:rsidR="0020024E">
              <w:t xml:space="preserve">, </w:t>
            </w:r>
            <w:r>
              <w:t>Berlin</w:t>
            </w:r>
            <w:r w:rsidR="0020024E">
              <w:t xml:space="preserve">, </w:t>
            </w:r>
            <w:r>
              <w:t>Germany</w:t>
            </w:r>
          </w:p>
          <w:p w14:paraId="5B7EAC4E" w14:textId="4E58878F" w:rsidR="00F97279" w:rsidRDefault="00F97279" w:rsidP="00635618">
            <w:pPr>
              <w:spacing w:before="0" w:line="276" w:lineRule="auto"/>
            </w:pPr>
            <w:r>
              <w:lastRenderedPageBreak/>
              <w:t>Ethik-Kommission der Medizinischen Hochschule Hannover</w:t>
            </w:r>
            <w:r w:rsidR="0020024E">
              <w:t>,</w:t>
            </w:r>
            <w:r>
              <w:t xml:space="preserve"> Hannover, Germany</w:t>
            </w:r>
          </w:p>
          <w:p w14:paraId="4A9F5357" w14:textId="2D3A1A1C" w:rsidR="00F97279" w:rsidRDefault="00F97279" w:rsidP="00635618">
            <w:pPr>
              <w:spacing w:before="0" w:line="276" w:lineRule="auto"/>
            </w:pPr>
            <w:r>
              <w:t>Ethik-Kommission der Landesärztekammer Rheinland-Pfalz</w:t>
            </w:r>
            <w:r w:rsidR="0020024E">
              <w:t>,</w:t>
            </w:r>
            <w:r>
              <w:t xml:space="preserve"> Mainz, Germany</w:t>
            </w:r>
          </w:p>
          <w:p w14:paraId="61001434" w14:textId="14817999" w:rsidR="00F97279" w:rsidRDefault="00F97279" w:rsidP="00635618">
            <w:pPr>
              <w:spacing w:before="0" w:line="276" w:lineRule="auto"/>
            </w:pPr>
            <w:r>
              <w:t>NRES Committee London – Bloomsbury</w:t>
            </w:r>
            <w:r w:rsidR="0020024E">
              <w:t>,</w:t>
            </w:r>
            <w:r>
              <w:t xml:space="preserve"> Manchester, </w:t>
            </w:r>
            <w:r w:rsidR="0020024E">
              <w:t>UK</w:t>
            </w:r>
          </w:p>
          <w:p w14:paraId="71445D04" w14:textId="0F7E807D" w:rsidR="00F97279" w:rsidRDefault="00F97279" w:rsidP="00635618">
            <w:pPr>
              <w:spacing w:before="0" w:line="276" w:lineRule="auto"/>
            </w:pPr>
            <w:r>
              <w:t>Comitato Etico per la Sperimentazione Clinica della Provincia di Vicenza</w:t>
            </w:r>
            <w:r w:rsidR="0020024E">
              <w:t>,</w:t>
            </w:r>
            <w:r>
              <w:t xml:space="preserve"> </w:t>
            </w:r>
            <w:r w:rsidR="0020024E">
              <w:t>Venice,</w:t>
            </w:r>
            <w:r>
              <w:t xml:space="preserve"> Italy</w:t>
            </w:r>
          </w:p>
          <w:p w14:paraId="0EDEAF88" w14:textId="01180763" w:rsidR="00F97279" w:rsidRDefault="00F97279" w:rsidP="00635618">
            <w:pPr>
              <w:spacing w:before="0" w:line="276" w:lineRule="auto"/>
            </w:pPr>
            <w:r>
              <w:t xml:space="preserve">Comitato di Etica della Fondazione Irccs Ca´ Granda Ospedale Maggiore Policlinico di Milano, </w:t>
            </w:r>
            <w:r w:rsidR="0020024E">
              <w:t>Milan</w:t>
            </w:r>
            <w:r>
              <w:t>, Italy</w:t>
            </w:r>
          </w:p>
          <w:p w14:paraId="6018CB08" w14:textId="451F130A" w:rsidR="00F97279" w:rsidRDefault="00F97279" w:rsidP="00635618">
            <w:pPr>
              <w:spacing w:before="0" w:line="276" w:lineRule="auto"/>
            </w:pPr>
            <w:r>
              <w:t>Comitato Etico Azienda Policlinico Umberto I</w:t>
            </w:r>
            <w:r w:rsidR="00DE4B65">
              <w:t>,</w:t>
            </w:r>
            <w:r>
              <w:t xml:space="preserve"> Rom</w:t>
            </w:r>
            <w:r w:rsidR="0020024E">
              <w:t>e</w:t>
            </w:r>
            <w:r>
              <w:t>, Italy</w:t>
            </w:r>
          </w:p>
          <w:p w14:paraId="7D83BE50" w14:textId="43F8EABA" w:rsidR="00F97279" w:rsidRDefault="00F97279" w:rsidP="00635618">
            <w:pPr>
              <w:spacing w:before="0" w:line="276" w:lineRule="auto"/>
            </w:pPr>
            <w:r>
              <w:t>Comitato Etico per la Sperimentazione Clinica dei Medicinali A.O.U. Careggi di Firenze</w:t>
            </w:r>
            <w:r w:rsidR="0020024E">
              <w:t xml:space="preserve">, Florence, </w:t>
            </w:r>
            <w:r>
              <w:t>Italy</w:t>
            </w:r>
          </w:p>
          <w:p w14:paraId="7DB5917E" w14:textId="02DEE995" w:rsidR="00F97279" w:rsidRDefault="00F97279" w:rsidP="00635618">
            <w:pPr>
              <w:spacing w:before="0" w:line="276" w:lineRule="auto"/>
            </w:pPr>
            <w:r>
              <w:t>Ethics Committee for Multi-centre Trials</w:t>
            </w:r>
            <w:r w:rsidR="0020024E">
              <w:t xml:space="preserve">, </w:t>
            </w:r>
            <w:r>
              <w:t>Sofia, Bulgaria</w:t>
            </w:r>
          </w:p>
          <w:p w14:paraId="1AA24DC8" w14:textId="77C073CE" w:rsidR="00F97279" w:rsidRDefault="00F97279" w:rsidP="00635618">
            <w:pPr>
              <w:spacing w:before="0" w:line="276" w:lineRule="auto"/>
            </w:pPr>
            <w:r>
              <w:t>CEIC Hospital La Paz</w:t>
            </w:r>
            <w:r w:rsidR="0020024E">
              <w:t>,</w:t>
            </w:r>
            <w:r>
              <w:t xml:space="preserve"> Madrid, Spain</w:t>
            </w:r>
          </w:p>
          <w:p w14:paraId="3754E90A" w14:textId="1E46B8B8" w:rsidR="00F97279" w:rsidRDefault="00F97279" w:rsidP="00635618">
            <w:pPr>
              <w:spacing w:before="0" w:line="276" w:lineRule="auto"/>
            </w:pPr>
            <w:r>
              <w:t>Regionala etikprövningsnämnden i Lund</w:t>
            </w:r>
            <w:r w:rsidR="0020024E">
              <w:t>,</w:t>
            </w:r>
            <w:r>
              <w:t xml:space="preserve"> Lund, Sweden</w:t>
            </w:r>
          </w:p>
          <w:p w14:paraId="77CDE6CD" w14:textId="2E902B6C" w:rsidR="00F97279" w:rsidRDefault="00F97279" w:rsidP="00635618">
            <w:pPr>
              <w:spacing w:before="0" w:line="276" w:lineRule="auto"/>
            </w:pPr>
            <w:r>
              <w:t>Ethikkommission der Ärztekammer Nordrhein</w:t>
            </w:r>
            <w:r w:rsidR="0020024E">
              <w:t>,</w:t>
            </w:r>
            <w:r>
              <w:t xml:space="preserve"> Düsseldorf, Germany</w:t>
            </w:r>
          </w:p>
          <w:p w14:paraId="598E1658" w14:textId="4EA9B641" w:rsidR="00F97279" w:rsidRDefault="00F97279" w:rsidP="00635618">
            <w:pPr>
              <w:spacing w:before="0" w:line="276" w:lineRule="auto"/>
            </w:pPr>
            <w:r>
              <w:t>National Research Ethics Service</w:t>
            </w:r>
            <w:r w:rsidR="00635618">
              <w:t xml:space="preserve">, </w:t>
            </w:r>
            <w:r>
              <w:t xml:space="preserve">Manchester, </w:t>
            </w:r>
            <w:r w:rsidR="00635618">
              <w:t>UK</w:t>
            </w:r>
          </w:p>
          <w:p w14:paraId="715726C8" w14:textId="38E343E2" w:rsidR="00F97279" w:rsidRDefault="00F97279" w:rsidP="00635618">
            <w:pPr>
              <w:spacing w:before="0" w:line="276" w:lineRule="auto"/>
            </w:pPr>
            <w:r>
              <w:t>Comitato Etico per la Sperimentazione dell'Azienda Ospedaliera di Padova</w:t>
            </w:r>
            <w:r w:rsidR="00635618">
              <w:t xml:space="preserve">, </w:t>
            </w:r>
            <w:r>
              <w:t>Padova, Italy</w:t>
            </w:r>
          </w:p>
          <w:p w14:paraId="3777C98F" w14:textId="579C435B" w:rsidR="00F97279" w:rsidRDefault="00F97279" w:rsidP="00635618">
            <w:pPr>
              <w:spacing w:before="0" w:line="276" w:lineRule="auto"/>
            </w:pPr>
            <w:r>
              <w:t>Centro de Farmacovigilancia de Galicia, Galicia, Spain</w:t>
            </w:r>
          </w:p>
          <w:p w14:paraId="035FCBC7" w14:textId="43E628B0" w:rsidR="00F97279" w:rsidRDefault="00F97279" w:rsidP="00635618">
            <w:pPr>
              <w:spacing w:before="0" w:line="276" w:lineRule="auto"/>
            </w:pPr>
            <w:r>
              <w:t>Nagoya University Hospital Institutional Review Board Nagoya, Japan</w:t>
            </w:r>
          </w:p>
          <w:p w14:paraId="554CAB97" w14:textId="7208FB8F" w:rsidR="00FB13B6" w:rsidRDefault="00FB13B6" w:rsidP="00635618">
            <w:pPr>
              <w:spacing w:before="0" w:line="276" w:lineRule="auto"/>
            </w:pPr>
            <w:r>
              <w:t>Tokyo Medical University Hospital Institutional Review Board</w:t>
            </w:r>
            <w:r w:rsidR="00635618">
              <w:t>,</w:t>
            </w:r>
            <w:r>
              <w:t xml:space="preserve"> Toyko, Japan</w:t>
            </w:r>
          </w:p>
          <w:p w14:paraId="54129F19" w14:textId="42B41494" w:rsidR="00FB13B6" w:rsidRDefault="00FB13B6" w:rsidP="00635618">
            <w:pPr>
              <w:spacing w:before="0" w:line="276" w:lineRule="auto"/>
            </w:pPr>
            <w:r>
              <w:t>Ethics Committee, Jehangir Clinical Development Centre Pvt. Ltd</w:t>
            </w:r>
            <w:r w:rsidR="00635618">
              <w:t>,</w:t>
            </w:r>
            <w:r>
              <w:t xml:space="preserve"> Pune, India</w:t>
            </w:r>
          </w:p>
          <w:p w14:paraId="6DA6E858" w14:textId="56F651FC" w:rsidR="00FB13B6" w:rsidRDefault="00FB13B6" w:rsidP="00635618">
            <w:pPr>
              <w:spacing w:before="0" w:line="276" w:lineRule="auto"/>
            </w:pPr>
            <w:r>
              <w:t>Sahyadri Hospitals Limited Ethics Committee</w:t>
            </w:r>
            <w:r w:rsidR="00635618">
              <w:t xml:space="preserve">, </w:t>
            </w:r>
            <w:r>
              <w:t>Pune, India</w:t>
            </w:r>
          </w:p>
          <w:p w14:paraId="69FF1E18" w14:textId="50D108B4" w:rsidR="00FB13B6" w:rsidRDefault="00FB13B6" w:rsidP="00635618">
            <w:pPr>
              <w:spacing w:before="0" w:line="276" w:lineRule="auto"/>
            </w:pPr>
            <w:r>
              <w:t>Institutional Review Board (Ethics Committee) Christian Medical College &amp; Hospital</w:t>
            </w:r>
            <w:r w:rsidR="00635618">
              <w:t xml:space="preserve">, </w:t>
            </w:r>
            <w:r>
              <w:t>Vellore, India</w:t>
            </w:r>
          </w:p>
          <w:p w14:paraId="4BF8AE3F" w14:textId="542A3B3A" w:rsidR="00FB13B6" w:rsidRDefault="00FB13B6" w:rsidP="00635618">
            <w:pPr>
              <w:spacing w:before="0" w:line="276" w:lineRule="auto"/>
            </w:pPr>
            <w:r>
              <w:t>Royal Perth Hospital Ethics Committee</w:t>
            </w:r>
            <w:r w:rsidR="00635618">
              <w:t xml:space="preserve">, </w:t>
            </w:r>
            <w:r>
              <w:t>Perth, Australia</w:t>
            </w:r>
          </w:p>
          <w:p w14:paraId="7DBB3972" w14:textId="6295002E" w:rsidR="00FB13B6" w:rsidRDefault="00FB13B6" w:rsidP="00635618">
            <w:pPr>
              <w:spacing w:before="0" w:line="276" w:lineRule="auto"/>
            </w:pPr>
            <w:r>
              <w:t>Royal Adelaide Hospital Research Ethics Committee</w:t>
            </w:r>
            <w:r w:rsidR="00635618">
              <w:t>,</w:t>
            </w:r>
            <w:r>
              <w:t xml:space="preserve"> Adelaide, Australia</w:t>
            </w:r>
          </w:p>
          <w:p w14:paraId="636AB578" w14:textId="532E694B" w:rsidR="00FB13B6" w:rsidRDefault="00FB13B6" w:rsidP="00635618">
            <w:pPr>
              <w:spacing w:before="0" w:line="276" w:lineRule="auto"/>
            </w:pPr>
            <w:r>
              <w:t>Ogikubo Hospital Institutional Review Board</w:t>
            </w:r>
            <w:r w:rsidR="00635618">
              <w:t xml:space="preserve">, </w:t>
            </w:r>
            <w:r>
              <w:t>Tokyo, Japan</w:t>
            </w:r>
          </w:p>
        </w:tc>
      </w:tr>
      <w:tr w:rsidR="00687A6F" w14:paraId="65475B35" w14:textId="77777777" w:rsidTr="0090490E">
        <w:trPr>
          <w:trHeight w:val="229"/>
        </w:trPr>
        <w:tc>
          <w:tcPr>
            <w:tcW w:w="1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DC0089" w14:textId="79BECC0F" w:rsidR="00687A6F" w:rsidRDefault="00687A6F" w:rsidP="002349AC">
            <w:r>
              <w:lastRenderedPageBreak/>
              <w:t>NCT02283268</w:t>
            </w:r>
            <w:r>
              <w:fldChar w:fldCharType="begin">
                <w:fldData xml:space="preserve">PEVuZE5vdGU+PENpdGU+PEF1dGhvcj5QZXl2YW5kaTwvQXV0aG9yPjxZZWFyPjIwMTk8L1llYXI+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</w:fldData>
              </w:fldChar>
            </w:r>
            <w:r w:rsidR="00F31C01">
              <w:instrText xml:space="preserve"> ADDIN EN.CITE </w:instrText>
            </w:r>
            <w:r w:rsidR="00F31C01">
              <w:fldChar w:fldCharType="begin">
                <w:fldData xml:space="preserve">PEVuZE5vdGU+PENpdGU+PEF1dGhvcj5QZXl2YW5kaTwvQXV0aG9yPjxZZWFyPjIwMTk8L1llYXI+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</w:fldData>
              </w:fldChar>
            </w:r>
            <w:r w:rsidR="00F31C01">
              <w:instrText xml:space="preserve"> ADDIN EN.CITE.DATA </w:instrText>
            </w:r>
            <w:r w:rsidR="00F31C01">
              <w:fldChar w:fldCharType="end"/>
            </w:r>
            <w:r>
              <w:fldChar w:fldCharType="separate"/>
            </w:r>
            <w:r w:rsidR="00F31C01" w:rsidRPr="00F31C01">
              <w:rPr>
                <w:noProof/>
                <w:vertAlign w:val="superscript"/>
              </w:rPr>
              <w:t>10</w:t>
            </w:r>
            <w:r>
              <w:fldChar w:fldCharType="end"/>
            </w:r>
          </w:p>
        </w:tc>
        <w:tc>
          <w:tcPr>
            <w:tcW w:w="7229" w:type="dxa"/>
            <w:tcBorders>
              <w:top w:val="nil"/>
              <w:left w:val="nil"/>
              <w:bottom w:val="single" w:sz="8" w:space="0" w:color="auto"/>
              <w:right w:val="single" w:sz="8" w:space="0" w:color="auto"/>
            </w:tcBorders>
            <w:tcMar>
              <w:top w:w="0" w:type="dxa"/>
              <w:left w:w="108" w:type="dxa"/>
              <w:bottom w:w="0" w:type="dxa"/>
              <w:right w:w="108" w:type="dxa"/>
            </w:tcMar>
            <w:hideMark/>
          </w:tcPr>
          <w:p w14:paraId="052B8D6E" w14:textId="4F5C7D73" w:rsidR="00D042CF" w:rsidRDefault="00D042CF" w:rsidP="00CC041E">
            <w:pPr>
              <w:spacing w:before="0" w:line="276" w:lineRule="auto"/>
            </w:pPr>
            <w:r>
              <w:t>Hollywood Private Hospital Research Ethics Committee</w:t>
            </w:r>
            <w:r w:rsidR="00CC041E">
              <w:t>,</w:t>
            </w:r>
            <w:r>
              <w:t xml:space="preserve"> Nedlands, Australia</w:t>
            </w:r>
          </w:p>
          <w:p w14:paraId="72DD782B" w14:textId="2A459133" w:rsidR="00D042CF" w:rsidRDefault="00D042CF" w:rsidP="00CC041E">
            <w:pPr>
              <w:spacing w:before="0" w:line="276" w:lineRule="auto"/>
            </w:pPr>
            <w:r>
              <w:lastRenderedPageBreak/>
              <w:t>Royal Adelaide Hospital Research Ethics Committee</w:t>
            </w:r>
            <w:r w:rsidR="00CC041E">
              <w:t>,</w:t>
            </w:r>
            <w:r>
              <w:t xml:space="preserve"> Adelaide, Australia</w:t>
            </w:r>
          </w:p>
          <w:p w14:paraId="35580734" w14:textId="77777777" w:rsidR="00D042CF" w:rsidRDefault="00D042CF" w:rsidP="00CC041E">
            <w:pPr>
              <w:spacing w:before="0" w:line="276" w:lineRule="auto"/>
            </w:pPr>
            <w:r>
              <w:t>Royal Perth Hospital Human Research Ethics Committee, Perth, Australia</w:t>
            </w:r>
          </w:p>
          <w:p w14:paraId="0D1919DB" w14:textId="77777777" w:rsidR="00D042CF" w:rsidRDefault="00D042CF" w:rsidP="00CC041E">
            <w:pPr>
              <w:spacing w:before="0" w:line="276" w:lineRule="auto"/>
            </w:pPr>
            <w:r>
              <w:t>Ethikkommission der Medizinische Universität Wien, Vienna, Austria</w:t>
            </w:r>
          </w:p>
          <w:p w14:paraId="1701905F" w14:textId="77777777" w:rsidR="00D042CF" w:rsidRDefault="00D042CF" w:rsidP="00CC041E">
            <w:pPr>
              <w:spacing w:before="0" w:line="276" w:lineRule="auto"/>
            </w:pPr>
            <w:r>
              <w:t>Eticka komise FN Ostrava, Ostrava, Czech Republic</w:t>
            </w:r>
          </w:p>
          <w:p w14:paraId="320C4DA0" w14:textId="6CAD096D" w:rsidR="00D042CF" w:rsidRDefault="00D042CF" w:rsidP="00CC041E">
            <w:pPr>
              <w:spacing w:before="0" w:line="276" w:lineRule="auto"/>
            </w:pPr>
            <w:r>
              <w:t xml:space="preserve">Landesaerztekammer Rheinland-Pfalz, </w:t>
            </w:r>
            <w:r w:rsidR="00521E31" w:rsidRPr="00521E31">
              <w:rPr>
                <w:rFonts w:cs="Arial"/>
                <w:lang w:val="en-GB"/>
              </w:rPr>
              <w:t>Mainz</w:t>
            </w:r>
            <w:r w:rsidR="00521E31">
              <w:t>,</w:t>
            </w:r>
            <w:r w:rsidR="00521E31" w:rsidRPr="00521E31">
              <w:t xml:space="preserve"> </w:t>
            </w:r>
            <w:r>
              <w:t>Germany</w:t>
            </w:r>
          </w:p>
          <w:p w14:paraId="1D0AC70C" w14:textId="77777777" w:rsidR="00D042CF" w:rsidRDefault="00D042CF" w:rsidP="00CC041E">
            <w:pPr>
              <w:spacing w:before="0" w:line="276" w:lineRule="auto"/>
            </w:pPr>
            <w:r>
              <w:t>Comitato Etico di Area Vasta Centro, Florence, Italy</w:t>
            </w:r>
          </w:p>
          <w:p w14:paraId="4182DB9F" w14:textId="77777777" w:rsidR="00D042CF" w:rsidRDefault="00D042CF" w:rsidP="00CC041E">
            <w:pPr>
              <w:spacing w:before="0" w:line="276" w:lineRule="auto"/>
            </w:pPr>
            <w:r>
              <w:t>Comitato Etico Università Sapienza, Rome, Italy</w:t>
            </w:r>
          </w:p>
          <w:p w14:paraId="30CD96CB" w14:textId="77777777" w:rsidR="00687A6F" w:rsidRDefault="00D042CF" w:rsidP="00CC041E">
            <w:pPr>
              <w:spacing w:before="0" w:line="276" w:lineRule="auto"/>
            </w:pPr>
            <w:r>
              <w:t>Comitato Etico Milano Area B, Milan, Italy</w:t>
            </w:r>
          </w:p>
          <w:p w14:paraId="6AF18683" w14:textId="77777777" w:rsidR="00CC041E" w:rsidRDefault="00CC041E" w:rsidP="00CC041E">
            <w:pPr>
              <w:spacing w:before="0" w:line="276" w:lineRule="auto"/>
            </w:pPr>
            <w:r>
              <w:t>Academisch Medisch Centrum, Amsterdam, The Netherlands</w:t>
            </w:r>
          </w:p>
          <w:p w14:paraId="4EC22ED3" w14:textId="77777777" w:rsidR="00CC041E" w:rsidRDefault="00CC041E" w:rsidP="00CC041E">
            <w:pPr>
              <w:spacing w:before="0" w:line="276" w:lineRule="auto"/>
            </w:pPr>
            <w:r>
              <w:t>LEC at Territorial SBHI “Territorial Clinical Hospital”, Moscow, Russia</w:t>
            </w:r>
          </w:p>
          <w:p w14:paraId="0A8B2966" w14:textId="095A5227" w:rsidR="00CC041E" w:rsidRDefault="00CC041E" w:rsidP="00CC041E">
            <w:pPr>
              <w:spacing w:before="0" w:line="276" w:lineRule="auto"/>
            </w:pPr>
            <w:r>
              <w:t>Ethics Committee of Regional State Budgetary Healthcare Institution “Regional Clinical Hospital”, Barbaul, Russia</w:t>
            </w:r>
          </w:p>
          <w:p w14:paraId="17BFF23E" w14:textId="77777777" w:rsidR="00CC041E" w:rsidRDefault="00CC041E" w:rsidP="00CC041E">
            <w:pPr>
              <w:spacing w:before="0" w:line="276" w:lineRule="auto"/>
            </w:pPr>
            <w:r>
              <w:t>LEC of “Kirov Scientific-Research Institute of Hematology and Blood Transfusion FMBA”, Kirov, Russia</w:t>
            </w:r>
          </w:p>
          <w:p w14:paraId="39BCF33D" w14:textId="77777777" w:rsidR="00CC041E" w:rsidRDefault="00CC041E" w:rsidP="00CC041E">
            <w:pPr>
              <w:spacing w:before="0" w:line="276" w:lineRule="auto"/>
            </w:pPr>
            <w:r>
              <w:t>Ethical Council at the MoH of Russian Federation, Moscow, Russia</w:t>
            </w:r>
          </w:p>
          <w:p w14:paraId="20CC4646" w14:textId="77777777" w:rsidR="00CC041E" w:rsidRDefault="00CC041E" w:rsidP="00CC041E">
            <w:pPr>
              <w:spacing w:before="0" w:line="276" w:lineRule="auto"/>
            </w:pPr>
            <w:r>
              <w:t>CEIC Hospital Universitario y Politecnico La Fe, Valencia, Spain</w:t>
            </w:r>
          </w:p>
          <w:p w14:paraId="57B0C079" w14:textId="77777777" w:rsidR="00CC041E" w:rsidRDefault="00CC041E" w:rsidP="00CC041E">
            <w:pPr>
              <w:spacing w:before="0" w:line="276" w:lineRule="auto"/>
            </w:pPr>
            <w:r>
              <w:t>Local EC:Comité AutonO’mico de E’tica de la Investigacion de Galicia, Santiago de Compostela a Coruna, Spain</w:t>
            </w:r>
          </w:p>
          <w:p w14:paraId="32D4C204" w14:textId="77777777" w:rsidR="00CC041E" w:rsidRDefault="00CC041E" w:rsidP="00CC041E">
            <w:pPr>
              <w:spacing w:before="0" w:line="276" w:lineRule="auto"/>
            </w:pPr>
            <w:r>
              <w:t>Central EC:Instituto de Investigacion Sanitaria La Fe, Valencia, Spain</w:t>
            </w:r>
          </w:p>
          <w:p w14:paraId="2723E80D" w14:textId="77777777" w:rsidR="00CC041E" w:rsidRDefault="00CC041E" w:rsidP="00CC041E">
            <w:pPr>
              <w:spacing w:before="0" w:line="276" w:lineRule="auto"/>
            </w:pPr>
            <w:r>
              <w:t>Tri-Service general Hospital Institutional Review Board National Defense Medical Center, Taipei, Taiwan</w:t>
            </w:r>
          </w:p>
          <w:p w14:paraId="2789F0F9" w14:textId="77777777" w:rsidR="00CC041E" w:rsidRDefault="00CC041E" w:rsidP="00CC041E">
            <w:pPr>
              <w:spacing w:before="0" w:line="276" w:lineRule="auto"/>
            </w:pPr>
            <w:r>
              <w:t>National Taiwan University Hospital Research Ethics Committee, Taipei, Taiwan</w:t>
            </w:r>
          </w:p>
          <w:p w14:paraId="2B25969B" w14:textId="77777777" w:rsidR="00CC041E" w:rsidRDefault="00CC041E" w:rsidP="00CC041E">
            <w:pPr>
              <w:spacing w:before="0" w:line="276" w:lineRule="auto"/>
            </w:pPr>
            <w:r>
              <w:t>Taichung Veterans General Hospital Institutional Review Board, Taichung, Taiwan</w:t>
            </w:r>
          </w:p>
          <w:p w14:paraId="20013BA8" w14:textId="77777777" w:rsidR="00CC041E" w:rsidRDefault="00CC041E" w:rsidP="00CC041E">
            <w:pPr>
              <w:spacing w:before="0" w:line="276" w:lineRule="auto"/>
            </w:pPr>
            <w:r>
              <w:t>Mersin University Clinical Research Ethics Committee, Mersin, Turkey</w:t>
            </w:r>
          </w:p>
          <w:p w14:paraId="6A5A4D68" w14:textId="77777777" w:rsidR="00CC041E" w:rsidRDefault="00CC041E" w:rsidP="00CC041E">
            <w:pPr>
              <w:spacing w:before="0" w:line="276" w:lineRule="auto"/>
            </w:pPr>
            <w:r>
              <w:t>NRES Committee London – Hampstead, Manchester, UK</w:t>
            </w:r>
          </w:p>
          <w:p w14:paraId="3BDB9376" w14:textId="77777777" w:rsidR="00CC041E" w:rsidRDefault="00CC041E" w:rsidP="00CC041E">
            <w:pPr>
              <w:spacing w:before="0" w:line="276" w:lineRule="auto"/>
            </w:pPr>
            <w:r>
              <w:t>University of Miami Human Subjects Research Office, Miami, FL, USA</w:t>
            </w:r>
          </w:p>
          <w:p w14:paraId="4687B6FA" w14:textId="77777777" w:rsidR="00CC041E" w:rsidRDefault="00CC041E" w:rsidP="00CC041E">
            <w:pPr>
              <w:spacing w:before="0" w:line="276" w:lineRule="auto"/>
            </w:pPr>
            <w:r>
              <w:t>Medical College of Wisconsin/Froedtert Hospital Institutional Review Board, Milwaukee, WI, USA</w:t>
            </w:r>
          </w:p>
          <w:p w14:paraId="188226A1" w14:textId="77777777" w:rsidR="00CC041E" w:rsidRDefault="00CC041E" w:rsidP="00CC041E">
            <w:pPr>
              <w:spacing w:before="0" w:line="276" w:lineRule="auto"/>
            </w:pPr>
            <w:r>
              <w:t>Georgetown University Institutional Review Board, Washington, D.C, USA</w:t>
            </w:r>
          </w:p>
          <w:p w14:paraId="1BFA3FBA" w14:textId="77777777" w:rsidR="00CC041E" w:rsidRDefault="00CC041E" w:rsidP="00CC041E">
            <w:pPr>
              <w:spacing w:before="0" w:line="276" w:lineRule="auto"/>
            </w:pPr>
            <w:r>
              <w:lastRenderedPageBreak/>
              <w:t>University of Oklahoma Health Sciences Center Institutional Review Board Office of Administration, Oklahoma City, OK</w:t>
            </w:r>
          </w:p>
          <w:p w14:paraId="37EA188A" w14:textId="77777777" w:rsidR="00CC041E" w:rsidRDefault="00CC041E" w:rsidP="00CC041E">
            <w:pPr>
              <w:spacing w:before="0" w:line="276" w:lineRule="auto"/>
            </w:pPr>
            <w:r>
              <w:t>Medical University of South Carolina Office of Research Integrity, Charleston, SC, USA</w:t>
            </w:r>
          </w:p>
          <w:p w14:paraId="13705F50" w14:textId="77777777" w:rsidR="00CC041E" w:rsidRDefault="00CC041E" w:rsidP="00CC041E">
            <w:pPr>
              <w:spacing w:before="0" w:line="276" w:lineRule="auto"/>
            </w:pPr>
            <w:r>
              <w:t>Dana Farber Cancer Institute IRB, Boston, MA, USA</w:t>
            </w:r>
          </w:p>
          <w:p w14:paraId="3FA79397" w14:textId="77777777" w:rsidR="00CC041E" w:rsidRDefault="00CC041E" w:rsidP="00CC041E">
            <w:pPr>
              <w:spacing w:before="0" w:line="276" w:lineRule="auto"/>
            </w:pPr>
            <w:r>
              <w:t>Chesapeake Institutional Review Board, Columbia, MD, USA</w:t>
            </w:r>
          </w:p>
          <w:p w14:paraId="17325E84" w14:textId="77777777" w:rsidR="00CC041E" w:rsidRDefault="00CC041E" w:rsidP="00CC041E">
            <w:pPr>
              <w:spacing w:before="0" w:line="276" w:lineRule="auto"/>
            </w:pPr>
            <w:r>
              <w:t>Johns Hopkins Medicine Office of Human Subjects Research – Institutional Review Board, Baltimore, MD, USA</w:t>
            </w:r>
          </w:p>
          <w:p w14:paraId="09322F25" w14:textId="73719F3E" w:rsidR="00CC041E" w:rsidRDefault="00CC041E" w:rsidP="00CC041E">
            <w:pPr>
              <w:spacing w:before="0" w:line="276" w:lineRule="auto"/>
            </w:pPr>
            <w:r>
              <w:t>WIRB, Puyallup, WA, USA</w:t>
            </w:r>
          </w:p>
        </w:tc>
      </w:tr>
      <w:tr w:rsidR="00687A6F" w14:paraId="724EEE2D" w14:textId="77777777" w:rsidTr="0090490E">
        <w:trPr>
          <w:trHeight w:val="779"/>
        </w:trPr>
        <w:tc>
          <w:tcPr>
            <w:tcW w:w="1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82E601" w14:textId="390BCF92" w:rsidR="00687A6F" w:rsidRDefault="00687A6F" w:rsidP="002349AC">
            <w:r>
              <w:lastRenderedPageBreak/>
              <w:t>EudraCT 2011-004314-42</w:t>
            </w:r>
          </w:p>
        </w:tc>
        <w:tc>
          <w:tcPr>
            <w:tcW w:w="7229" w:type="dxa"/>
            <w:tcBorders>
              <w:top w:val="nil"/>
              <w:left w:val="nil"/>
              <w:bottom w:val="single" w:sz="8" w:space="0" w:color="auto"/>
              <w:right w:val="single" w:sz="8" w:space="0" w:color="auto"/>
            </w:tcBorders>
            <w:tcMar>
              <w:top w:w="0" w:type="dxa"/>
              <w:left w:w="108" w:type="dxa"/>
              <w:bottom w:w="0" w:type="dxa"/>
              <w:right w:w="108" w:type="dxa"/>
            </w:tcMar>
            <w:hideMark/>
          </w:tcPr>
          <w:p w14:paraId="65380493" w14:textId="77777777" w:rsidR="00687A6F" w:rsidRPr="00C813FC" w:rsidRDefault="00CC041E" w:rsidP="00C813FC">
            <w:pPr>
              <w:autoSpaceDE w:val="0"/>
              <w:autoSpaceDN w:val="0"/>
              <w:adjustRightInd w:val="0"/>
              <w:spacing w:before="0" w:line="276" w:lineRule="auto"/>
              <w:rPr>
                <w:rFonts w:cs="Arial"/>
                <w:lang w:val="en-GB"/>
              </w:rPr>
            </w:pPr>
            <w:r w:rsidRPr="00C813FC">
              <w:rPr>
                <w:rFonts w:cs="Arial"/>
                <w:lang w:val="en-GB"/>
              </w:rPr>
              <w:t>Biomedical Research Alliance of New York, Lake Success, NY, USA</w:t>
            </w:r>
          </w:p>
          <w:p w14:paraId="59E9D71A" w14:textId="77777777" w:rsidR="00CC041E" w:rsidRPr="00C813FC" w:rsidRDefault="00CC041E" w:rsidP="00C813FC">
            <w:pPr>
              <w:autoSpaceDE w:val="0"/>
              <w:autoSpaceDN w:val="0"/>
              <w:adjustRightInd w:val="0"/>
              <w:spacing w:before="0" w:line="276" w:lineRule="auto"/>
              <w:rPr>
                <w:rFonts w:cs="Arial"/>
                <w:lang w:val="en-GB"/>
              </w:rPr>
            </w:pPr>
            <w:r w:rsidRPr="00C813FC">
              <w:rPr>
                <w:rFonts w:cs="Arial"/>
                <w:lang w:val="en-GB"/>
              </w:rPr>
              <w:t>The Ethics Committee of the Institute of Hematology and Transfusion Medicine, Warsaw, Poland</w:t>
            </w:r>
          </w:p>
          <w:p w14:paraId="4E390E98" w14:textId="77777777" w:rsidR="00CC041E" w:rsidRPr="00C813FC" w:rsidRDefault="00CC041E" w:rsidP="00C813FC">
            <w:pPr>
              <w:autoSpaceDE w:val="0"/>
              <w:autoSpaceDN w:val="0"/>
              <w:adjustRightInd w:val="0"/>
              <w:spacing w:before="0" w:line="276" w:lineRule="auto"/>
              <w:rPr>
                <w:rFonts w:cs="Arial"/>
                <w:lang w:val="en-GB"/>
              </w:rPr>
            </w:pPr>
            <w:r w:rsidRPr="00C813FC">
              <w:rPr>
                <w:rFonts w:cs="Arial"/>
                <w:lang w:val="en-GB"/>
              </w:rPr>
              <w:t>Western Institutional Review Board, Olympia, WA, USA</w:t>
            </w:r>
          </w:p>
          <w:p w14:paraId="2A394669" w14:textId="0F7A5C07" w:rsidR="00C813FC" w:rsidRDefault="00C813FC" w:rsidP="00C813FC">
            <w:pPr>
              <w:autoSpaceDE w:val="0"/>
              <w:autoSpaceDN w:val="0"/>
              <w:adjustRightInd w:val="0"/>
              <w:spacing w:before="0" w:line="276" w:lineRule="auto"/>
            </w:pPr>
            <w:r w:rsidRPr="00C813FC">
              <w:rPr>
                <w:rFonts w:cs="Arial"/>
                <w:lang w:val="en-GB"/>
              </w:rPr>
              <w:t>The Ethics Committee at Specialized Hospital for Active Treatment ‘Joan Pavel”, Sofia, Bulgaria</w:t>
            </w:r>
          </w:p>
        </w:tc>
      </w:tr>
    </w:tbl>
    <w:p w14:paraId="1A83C7DE" w14:textId="77777777" w:rsidR="00874BF4" w:rsidRPr="00874BF4" w:rsidRDefault="00874BF4" w:rsidP="00874BF4"/>
    <w:p w14:paraId="62E1734A" w14:textId="333D6493" w:rsidR="00874BF4" w:rsidRDefault="00874BF4">
      <w:pPr>
        <w:spacing w:before="0" w:after="160" w:line="259" w:lineRule="auto"/>
        <w:rPr>
          <w:rStyle w:val="Heading1Char"/>
          <w:rFonts w:ascii="Arial" w:hAnsi="Arial" w:cs="Arial"/>
          <w:sz w:val="22"/>
          <w:szCs w:val="22"/>
        </w:rPr>
      </w:pPr>
      <w:r>
        <w:rPr>
          <w:rStyle w:val="Heading1Char"/>
          <w:rFonts w:ascii="Arial" w:hAnsi="Arial" w:cs="Arial"/>
          <w:b w:val="0"/>
          <w:sz w:val="22"/>
          <w:szCs w:val="22"/>
        </w:rPr>
        <w:br w:type="page"/>
      </w:r>
    </w:p>
    <w:p w14:paraId="2213B7A7" w14:textId="00DFB514" w:rsidR="006C6013" w:rsidRPr="000643BB" w:rsidRDefault="006C6013" w:rsidP="003430B8">
      <w:pPr>
        <w:pStyle w:val="Heading1"/>
        <w:rPr>
          <w:rStyle w:val="Heading1Char"/>
          <w:rFonts w:ascii="Arial" w:hAnsi="Arial" w:cs="Arial"/>
          <w:b/>
          <w:i/>
          <w:sz w:val="22"/>
          <w:szCs w:val="22"/>
        </w:rPr>
      </w:pPr>
      <w:r w:rsidRPr="000643BB">
        <w:rPr>
          <w:rStyle w:val="Heading1Char"/>
          <w:rFonts w:ascii="Arial" w:hAnsi="Arial" w:cs="Arial"/>
          <w:b/>
          <w:sz w:val="22"/>
          <w:szCs w:val="22"/>
        </w:rPr>
        <w:lastRenderedPageBreak/>
        <w:t>Figure</w:t>
      </w:r>
      <w:r w:rsidR="0037713C">
        <w:rPr>
          <w:rStyle w:val="Heading1Char"/>
          <w:rFonts w:ascii="Arial" w:hAnsi="Arial" w:cs="Arial"/>
          <w:b/>
          <w:sz w:val="22"/>
          <w:szCs w:val="22"/>
        </w:rPr>
        <w:t>s</w:t>
      </w:r>
    </w:p>
    <w:p w14:paraId="0B8E7390" w14:textId="6AC8528C" w:rsidR="006C6013" w:rsidRPr="006C6013" w:rsidRDefault="00614B2B" w:rsidP="006C6013">
      <w:r w:rsidRPr="006C6013">
        <w:rPr>
          <w:rStyle w:val="Heading1Char"/>
          <w:i/>
          <w:iCs/>
          <w:sz w:val="22"/>
          <w:szCs w:val="22"/>
        </w:rPr>
        <w:t>Supplementary Figure 1</w:t>
      </w:r>
      <w:r w:rsidRPr="006C6013">
        <w:t xml:space="preserve"> </w:t>
      </w:r>
    </w:p>
    <w:p w14:paraId="1DDBE11E" w14:textId="5895F2BF" w:rsidR="00614B2B" w:rsidRDefault="00614B2B" w:rsidP="00FA182D">
      <w:r>
        <w:t>Structure of the PK/PD model used to describe the relationship between VWF:RCo and FVIII activity following rVWF administration. The k</w:t>
      </w:r>
      <w:r>
        <w:rPr>
          <w:vertAlign w:val="subscript"/>
        </w:rPr>
        <w:t>in</w:t>
      </w:r>
      <w:r>
        <w:t xml:space="preserve"> and k</w:t>
      </w:r>
      <w:r>
        <w:rPr>
          <w:vertAlign w:val="subscript"/>
        </w:rPr>
        <w:t>out</w:t>
      </w:r>
      <w:r>
        <w:t xml:space="preserve"> represent the production and elimination rates of FVIII activity, respectively. </w:t>
      </w:r>
    </w:p>
    <w:p w14:paraId="17580841" w14:textId="77777777" w:rsidR="00614B2B" w:rsidRDefault="00614B2B" w:rsidP="00614B2B">
      <w:r>
        <w:rPr>
          <w:b/>
          <w:bCs/>
        </w:rPr>
        <w:t>Abbreviations:</w:t>
      </w:r>
      <w:r>
        <w:t xml:space="preserve"> CL, clearance; FVIII, factor VIII; FVIII:C, FVIII activity; </w:t>
      </w:r>
      <w:r>
        <w:rPr>
          <w:bCs/>
          <w:i/>
        </w:rPr>
        <w:t>k</w:t>
      </w:r>
      <w:r>
        <w:rPr>
          <w:bCs/>
          <w:iCs/>
          <w:vertAlign w:val="subscript"/>
        </w:rPr>
        <w:t>in</w:t>
      </w:r>
      <w:r>
        <w:rPr>
          <w:bCs/>
          <w:iCs/>
        </w:rPr>
        <w:t xml:space="preserve">, zero-order production rate constant; </w:t>
      </w:r>
      <w:r>
        <w:rPr>
          <w:bCs/>
          <w:i/>
        </w:rPr>
        <w:t>k</w:t>
      </w:r>
      <w:r>
        <w:rPr>
          <w:bCs/>
          <w:iCs/>
          <w:vertAlign w:val="subscript"/>
        </w:rPr>
        <w:t>out</w:t>
      </w:r>
      <w:r>
        <w:rPr>
          <w:bCs/>
          <w:iCs/>
        </w:rPr>
        <w:t xml:space="preserve">, first-order removal rate constant; </w:t>
      </w:r>
      <w:r>
        <w:t>PD, pharmacodynamic; PK, pharmacokinetic; Q, intercompartmental clearance; rVWF, recombinant von Willebrand factor; V</w:t>
      </w:r>
      <w:r>
        <w:rPr>
          <w:vertAlign w:val="subscript"/>
        </w:rPr>
        <w:t>c</w:t>
      </w:r>
      <w:r>
        <w:t>, central volume of distribution; V</w:t>
      </w:r>
      <w:r>
        <w:rPr>
          <w:vertAlign w:val="subscript"/>
        </w:rPr>
        <w:t>p</w:t>
      </w:r>
      <w:r>
        <w:t>, peripheral volume of distribution; VWF:RCo, von Willebrand factor:ristocetin cofactor.</w:t>
      </w:r>
    </w:p>
    <w:p w14:paraId="726F21CE" w14:textId="2BCF111A" w:rsidR="00517D3E" w:rsidRDefault="001D1965" w:rsidP="006C6013">
      <w:r w:rsidRPr="00C5317E">
        <w:rPr>
          <w:noProof/>
        </w:rPr>
        <w:drawing>
          <wp:inline distT="0" distB="0" distL="0" distR="0" wp14:anchorId="41CFD307" wp14:editId="6A9AB08D">
            <wp:extent cx="5731510" cy="3841886"/>
            <wp:effectExtent l="0" t="0" r="2540" b="6350"/>
            <wp:docPr id="21" name="Picture 21"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Diagram, schematic&#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5731510" cy="3841886"/>
                    </a:xfrm>
                    <a:prstGeom prst="rect">
                      <a:avLst/>
                    </a:prstGeom>
                  </pic:spPr>
                </pic:pic>
              </a:graphicData>
            </a:graphic>
          </wp:inline>
        </w:drawing>
      </w:r>
    </w:p>
    <w:p w14:paraId="3C019479" w14:textId="77777777" w:rsidR="001D1965" w:rsidRDefault="001D1965">
      <w:pPr>
        <w:spacing w:before="0" w:after="160" w:line="259" w:lineRule="auto"/>
        <w:rPr>
          <w:rStyle w:val="Heading1Char"/>
          <w:rFonts w:hint="eastAsia"/>
          <w:i/>
          <w:iCs/>
          <w:sz w:val="22"/>
          <w:szCs w:val="22"/>
        </w:rPr>
      </w:pPr>
      <w:r>
        <w:rPr>
          <w:rStyle w:val="Heading1Char"/>
          <w:i/>
          <w:iCs/>
          <w:sz w:val="22"/>
          <w:szCs w:val="22"/>
        </w:rPr>
        <w:br w:type="page"/>
      </w:r>
    </w:p>
    <w:p w14:paraId="072D555F" w14:textId="4B73FEC4" w:rsidR="006C6013" w:rsidRDefault="00614B2B" w:rsidP="006C6013">
      <w:pPr>
        <w:rPr>
          <w:bCs/>
        </w:rPr>
      </w:pPr>
      <w:r w:rsidRPr="006C6013">
        <w:rPr>
          <w:rStyle w:val="Heading1Char"/>
          <w:i/>
          <w:iCs/>
          <w:sz w:val="22"/>
          <w:szCs w:val="22"/>
        </w:rPr>
        <w:lastRenderedPageBreak/>
        <w:t>Supplementary Figure 2</w:t>
      </w:r>
      <w:r>
        <w:t xml:space="preserve"> </w:t>
      </w:r>
    </w:p>
    <w:p w14:paraId="4505AA94" w14:textId="6E5D2A51" w:rsidR="00614B2B" w:rsidRDefault="00614B2B" w:rsidP="00FA182D">
      <w:r>
        <w:t>VWF:RCo and FVIII:C data after single-dose administration of rVWF. (A) Observed VWF:RCo and FVIII:C data versus time, colored by VWD disease type. (B) Observed FVIII versus VWF:RCo activity for three representative individuals with each VWD type; the numbers in the labels represent the actual sampling time after rVWF dose. The observation at time = 0 is missing for type 1 VWD because no baseline FVIII measurements were included in the analysis for this population, owing to previous exposure to plasma-derived replacement therapy.</w:t>
      </w:r>
    </w:p>
    <w:p w14:paraId="73867C14" w14:textId="77777777" w:rsidR="00E91234" w:rsidRDefault="00614B2B" w:rsidP="00517D3E">
      <w:r>
        <w:rPr>
          <w:b/>
          <w:bCs/>
        </w:rPr>
        <w:t xml:space="preserve">Abbreviations: </w:t>
      </w:r>
      <w:r>
        <w:t xml:space="preserve">CL, clearance; FVIII, factor VIII; FVIII:C, FVIII activity; rVWF, recombinant von Willebrand factor; VWD, </w:t>
      </w:r>
      <w:r>
        <w:rPr>
          <w:bCs/>
          <w:iCs/>
        </w:rPr>
        <w:t xml:space="preserve">von Willebrand disease; </w:t>
      </w:r>
      <w:r>
        <w:t>VWF:RCo, von Willebrand factor:ristocetin cofactor.</w:t>
      </w:r>
      <w:r w:rsidR="00517D3E">
        <w:t xml:space="preserve"> </w:t>
      </w:r>
    </w:p>
    <w:p w14:paraId="00887E06" w14:textId="2FC46C10" w:rsidR="00E91234" w:rsidRDefault="001D1965" w:rsidP="00517D3E">
      <w:r w:rsidRPr="00C5317E">
        <w:rPr>
          <w:noProof/>
        </w:rPr>
        <w:lastRenderedPageBreak/>
        <w:drawing>
          <wp:inline distT="0" distB="0" distL="0" distR="0" wp14:anchorId="1D727FC6" wp14:editId="1779B856">
            <wp:extent cx="5731510" cy="6059805"/>
            <wp:effectExtent l="0" t="0" r="2540" b="0"/>
            <wp:docPr id="5" name="Picture 5"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731510" cy="6059805"/>
                    </a:xfrm>
                    <a:prstGeom prst="rect">
                      <a:avLst/>
                    </a:prstGeom>
                  </pic:spPr>
                </pic:pic>
              </a:graphicData>
            </a:graphic>
          </wp:inline>
        </w:drawing>
      </w:r>
    </w:p>
    <w:p w14:paraId="25C1246C" w14:textId="77777777" w:rsidR="00E91234" w:rsidRDefault="00E91234" w:rsidP="00517D3E"/>
    <w:p w14:paraId="598C01C5" w14:textId="77777777" w:rsidR="00E91234" w:rsidRDefault="00E91234" w:rsidP="00517D3E"/>
    <w:p w14:paraId="526D2672" w14:textId="7D9F0B93" w:rsidR="00E91234" w:rsidRPr="00E91234" w:rsidRDefault="00E91234" w:rsidP="003430B8">
      <w:pPr>
        <w:pStyle w:val="Heading1"/>
        <w:rPr>
          <w:rFonts w:hint="eastAsia"/>
        </w:rPr>
      </w:pPr>
      <w:r w:rsidRPr="00E91234">
        <w:t>References</w:t>
      </w:r>
    </w:p>
    <w:p w14:paraId="0E9FD976" w14:textId="77777777" w:rsidR="00F31C01" w:rsidRPr="00F31C01" w:rsidRDefault="00E91234" w:rsidP="00F31C01">
      <w:pPr>
        <w:pStyle w:val="EndNoteBibliography"/>
        <w:spacing w:after="0"/>
        <w:ind w:left="720" w:hanging="720"/>
      </w:pPr>
      <w:r>
        <w:fldChar w:fldCharType="begin"/>
      </w:r>
      <w:r>
        <w:instrText xml:space="preserve"> ADDIN EN.REFLIST </w:instrText>
      </w:r>
      <w:r>
        <w:fldChar w:fldCharType="separate"/>
      </w:r>
      <w:r w:rsidR="00F31C01" w:rsidRPr="00F31C01">
        <w:t xml:space="preserve">1. Ahn JE, Karlsson MO, Dunne A, Ludden TM. Likelihood based approaches to handling data below the quantification limit using NONMEM VI. </w:t>
      </w:r>
      <w:r w:rsidR="00F31C01" w:rsidRPr="00F31C01">
        <w:rPr>
          <w:i/>
        </w:rPr>
        <w:t>J Pharmacokinet Pharmacodyn</w:t>
      </w:r>
      <w:r w:rsidR="00F31C01" w:rsidRPr="00F31C01">
        <w:t>. 2008;35(4):401-421. doi:10.1007/s10928-008-9094-4</w:t>
      </w:r>
    </w:p>
    <w:p w14:paraId="288DF6A1" w14:textId="77777777" w:rsidR="00F31C01" w:rsidRPr="00F31C01" w:rsidRDefault="00F31C01" w:rsidP="00F31C01">
      <w:pPr>
        <w:pStyle w:val="EndNoteBibliography"/>
        <w:spacing w:after="0"/>
        <w:ind w:left="720" w:hanging="720"/>
      </w:pPr>
      <w:r w:rsidRPr="00F31C01">
        <w:t xml:space="preserve">2. Karlsson MO, Sheiner LB. The importance of modeling interoccasion variability in population pharmacokinetic analyses. </w:t>
      </w:r>
      <w:r w:rsidRPr="00F31C01">
        <w:rPr>
          <w:i/>
        </w:rPr>
        <w:t>J Pharmacokinet Biopharm</w:t>
      </w:r>
      <w:r w:rsidRPr="00F31C01">
        <w:t>. 1993;21(6):735-750. doi:10.1007/BF01113502</w:t>
      </w:r>
    </w:p>
    <w:p w14:paraId="6A9CFA0B" w14:textId="77777777" w:rsidR="00F31C01" w:rsidRPr="00F31C01" w:rsidRDefault="00F31C01" w:rsidP="00F31C01">
      <w:pPr>
        <w:pStyle w:val="EndNoteBibliography"/>
        <w:spacing w:after="0"/>
        <w:ind w:left="720" w:hanging="720"/>
      </w:pPr>
      <w:r w:rsidRPr="00F31C01">
        <w:lastRenderedPageBreak/>
        <w:t xml:space="preserve">3. Jonsson EN, Karlsson MO. Automated covariate model building within NONMEM. </w:t>
      </w:r>
      <w:r w:rsidRPr="00F31C01">
        <w:rPr>
          <w:i/>
        </w:rPr>
        <w:t>Pharm Res</w:t>
      </w:r>
      <w:r w:rsidRPr="00F31C01">
        <w:t>. 1998;15(9):1463-1468. doi:10.1023/a:1011970125687</w:t>
      </w:r>
    </w:p>
    <w:p w14:paraId="1CA9E30B" w14:textId="77777777" w:rsidR="00F31C01" w:rsidRPr="00F31C01" w:rsidRDefault="00F31C01" w:rsidP="00F31C01">
      <w:pPr>
        <w:pStyle w:val="EndNoteBibliography"/>
        <w:spacing w:after="0"/>
        <w:ind w:left="720" w:hanging="720"/>
      </w:pPr>
      <w:r w:rsidRPr="00F31C01">
        <w:t xml:space="preserve">4. Lindbom L, Pihlgren P, Jonsson EN. PsN-Toolkit—a collection of computer intensive statistical methods for non-linear mixed effect modeling using NONMEM. </w:t>
      </w:r>
      <w:r w:rsidRPr="00F31C01">
        <w:rPr>
          <w:i/>
        </w:rPr>
        <w:t>Comput Methods Programs Biomed</w:t>
      </w:r>
      <w:r w:rsidRPr="00F31C01">
        <w:t>. 2005;79(3):241-257. doi:10.1016/j.cmpb.2005.04.005</w:t>
      </w:r>
    </w:p>
    <w:p w14:paraId="5FFAB049" w14:textId="77777777" w:rsidR="00F31C01" w:rsidRPr="00F31C01" w:rsidRDefault="00F31C01" w:rsidP="00F31C01">
      <w:pPr>
        <w:pStyle w:val="EndNoteBibliography"/>
        <w:spacing w:after="0"/>
        <w:ind w:left="720" w:hanging="720"/>
      </w:pPr>
      <w:r w:rsidRPr="00F31C01">
        <w:t xml:space="preserve">5. Holford NH. A size standard for pharmacokinetics. </w:t>
      </w:r>
      <w:r w:rsidRPr="00F31C01">
        <w:rPr>
          <w:i/>
        </w:rPr>
        <w:t>Clin Pharmacokinet</w:t>
      </w:r>
      <w:r w:rsidRPr="00F31C01">
        <w:t>. 1996;30(5):329-332. doi:10.2165/00003088-199630050-00001</w:t>
      </w:r>
    </w:p>
    <w:p w14:paraId="1E142DFA" w14:textId="29902CFB" w:rsidR="00F31C01" w:rsidRPr="00F31C01" w:rsidRDefault="00F31C01" w:rsidP="00F31C01">
      <w:pPr>
        <w:pStyle w:val="EndNoteBibliography"/>
        <w:spacing w:after="0"/>
        <w:ind w:left="720" w:hanging="720"/>
      </w:pPr>
      <w:r w:rsidRPr="00F31C01">
        <w:t xml:space="preserve">6. Humate-P prescribing information. </w:t>
      </w:r>
      <w:hyperlink r:id="rId9" w:history="1">
        <w:r w:rsidRPr="00F31C01">
          <w:rPr>
            <w:rStyle w:val="Hyperlink"/>
          </w:rPr>
          <w:t>https://labeling.cslbehring.com/pi/us/humate-p/en/humate-p-prescribing-information.pdf</w:t>
        </w:r>
      </w:hyperlink>
      <w:r w:rsidRPr="00F31C01">
        <w:t xml:space="preserve"> Accessed 27 March 2023. </w:t>
      </w:r>
    </w:p>
    <w:p w14:paraId="06F3B163" w14:textId="40EE20C9" w:rsidR="00F31C01" w:rsidRPr="00F31C01" w:rsidRDefault="00F31C01" w:rsidP="00F31C01">
      <w:pPr>
        <w:pStyle w:val="EndNoteBibliography"/>
        <w:spacing w:after="0"/>
        <w:ind w:left="720" w:hanging="720"/>
      </w:pPr>
      <w:r w:rsidRPr="00F31C01">
        <w:t xml:space="preserve">7. Wilate prescribing information. </w:t>
      </w:r>
      <w:hyperlink r:id="rId10" w:history="1">
        <w:r w:rsidRPr="00F31C01">
          <w:rPr>
            <w:rStyle w:val="Hyperlink"/>
          </w:rPr>
          <w:t>https://www.fda.gov/media/77812/download</w:t>
        </w:r>
      </w:hyperlink>
      <w:r w:rsidRPr="00F31C01">
        <w:t xml:space="preserve"> Accessed 27 March 2023. </w:t>
      </w:r>
    </w:p>
    <w:p w14:paraId="3536107F" w14:textId="77777777" w:rsidR="00F31C01" w:rsidRPr="00F31C01" w:rsidRDefault="00F31C01" w:rsidP="00F31C01">
      <w:pPr>
        <w:pStyle w:val="EndNoteBibliography"/>
        <w:spacing w:after="0"/>
        <w:ind w:left="720" w:hanging="720"/>
      </w:pPr>
      <w:r w:rsidRPr="00F31C01">
        <w:t xml:space="preserve">8. Mannucci PM, Kempton C, Millar C, et al. Pharmacokinetics and safety of a novel recombinant human von Willebrand factor manufactured with a plasma-free method: a prospective clinical trial. </w:t>
      </w:r>
      <w:r w:rsidRPr="00F31C01">
        <w:rPr>
          <w:i/>
        </w:rPr>
        <w:t>Blood</w:t>
      </w:r>
      <w:r w:rsidRPr="00F31C01">
        <w:t>. 2013;122(5):648-657. doi:10.1182/blood-2013-01-479527</w:t>
      </w:r>
    </w:p>
    <w:p w14:paraId="62C650AF" w14:textId="77777777" w:rsidR="00F31C01" w:rsidRPr="00F31C01" w:rsidRDefault="00F31C01" w:rsidP="00F31C01">
      <w:pPr>
        <w:pStyle w:val="EndNoteBibliography"/>
        <w:spacing w:after="0"/>
        <w:ind w:left="720" w:hanging="720"/>
      </w:pPr>
      <w:r w:rsidRPr="00F31C01">
        <w:t xml:space="preserve">9. Gill JC, Castaman G, Windyga J, et al. Hemostatic efficacy, safety, and pharmacokinetics of a recombinant von Willebrand factor in severe von Willebrand disease. </w:t>
      </w:r>
      <w:r w:rsidRPr="00F31C01">
        <w:rPr>
          <w:i/>
        </w:rPr>
        <w:t>Blood</w:t>
      </w:r>
      <w:r w:rsidRPr="00F31C01">
        <w:t>. 2015;126(17):2038-2046. doi:10.1182/blood-2015-02-629873</w:t>
      </w:r>
    </w:p>
    <w:p w14:paraId="1BA57DAD" w14:textId="77777777" w:rsidR="00F31C01" w:rsidRPr="00F31C01" w:rsidRDefault="00F31C01" w:rsidP="00F31C01">
      <w:pPr>
        <w:pStyle w:val="EndNoteBibliography"/>
        <w:ind w:left="720" w:hanging="720"/>
      </w:pPr>
      <w:r w:rsidRPr="00F31C01">
        <w:t xml:space="preserve">10. Peyvandi F, Mamaev A, Wang JD, et al. Phase 3 study of recombinant von Willebrand factor in patients with severe von Willebrand disease who are undergoing elective surgery. </w:t>
      </w:r>
      <w:r w:rsidRPr="00F31C01">
        <w:rPr>
          <w:i/>
        </w:rPr>
        <w:t>J Thromb Haemost</w:t>
      </w:r>
      <w:r w:rsidRPr="00F31C01">
        <w:t>. 2019;17(1):52-62. doi:10.1111/jth.14313</w:t>
      </w:r>
    </w:p>
    <w:p w14:paraId="3E582DEE" w14:textId="19D82A09" w:rsidR="0082459C" w:rsidRDefault="00E91234" w:rsidP="00517D3E">
      <w:r>
        <w:fldChar w:fldCharType="end"/>
      </w:r>
    </w:p>
    <w:sectPr w:rsidR="0082459C">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10989" w14:textId="77777777" w:rsidR="00A23699" w:rsidRDefault="00A23699" w:rsidP="001423A5">
      <w:pPr>
        <w:spacing w:before="0" w:after="0" w:line="240" w:lineRule="auto"/>
      </w:pPr>
      <w:r>
        <w:separator/>
      </w:r>
    </w:p>
  </w:endnote>
  <w:endnote w:type="continuationSeparator" w:id="0">
    <w:p w14:paraId="7EB171DB" w14:textId="77777777" w:rsidR="00A23699" w:rsidRDefault="00A23699" w:rsidP="001423A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C4D92" w14:textId="77777777" w:rsidR="00914DDC" w:rsidRDefault="00914D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7C2E5" w14:textId="3D494FE8" w:rsidR="001423A5" w:rsidRDefault="00914DDC">
    <w:pPr>
      <w:pStyle w:val="Footer"/>
      <w:jc w:val="right"/>
    </w:pPr>
    <w:r>
      <w:rPr>
        <w:noProof/>
      </w:rPr>
      <mc:AlternateContent>
        <mc:Choice Requires="wps">
          <w:drawing>
            <wp:anchor distT="0" distB="0" distL="114300" distR="114300" simplePos="0" relativeHeight="251659264" behindDoc="0" locked="0" layoutInCell="0" allowOverlap="1" wp14:anchorId="408B5611" wp14:editId="0A74E64A">
              <wp:simplePos x="0" y="0"/>
              <wp:positionH relativeFrom="page">
                <wp:posOffset>0</wp:posOffset>
              </wp:positionH>
              <wp:positionV relativeFrom="page">
                <wp:posOffset>10237470</wp:posOffset>
              </wp:positionV>
              <wp:extent cx="7560310" cy="263525"/>
              <wp:effectExtent l="0" t="0" r="0" b="3175"/>
              <wp:wrapNone/>
              <wp:docPr id="1" name="MSIPCMe1054e27a9f606d0c340e2c5" descr="{&quot;HashCode&quot;:-13484030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352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8C8883" w14:textId="10B84E09" w:rsidR="00914DDC" w:rsidRPr="00914DDC" w:rsidRDefault="00914DDC" w:rsidP="00914DDC">
                          <w:pPr>
                            <w:spacing w:before="0" w:after="0"/>
                            <w:rPr>
                              <w:rFonts w:ascii="Rockwell" w:hAnsi="Rockwell"/>
                              <w:color w:val="0078D7"/>
                              <w:sz w:val="18"/>
                            </w:rPr>
                          </w:pPr>
                          <w:r w:rsidRPr="00914DDC">
                            <w:rPr>
                              <w:rFonts w:ascii="Rockwell" w:hAnsi="Rockwell"/>
                              <w:color w:val="0078D7"/>
                              <w:sz w:val="18"/>
                            </w:rPr>
                            <w:t>Information Classification: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08B5611" id="_x0000_t202" coordsize="21600,21600" o:spt="202" path="m,l,21600r21600,l21600,xe">
              <v:stroke joinstyle="miter"/>
              <v:path gradientshapeok="t" o:connecttype="rect"/>
            </v:shapetype>
            <v:shape id="MSIPCMe1054e27a9f606d0c340e2c5" o:spid="_x0000_s1026" type="#_x0000_t202" alt="{&quot;HashCode&quot;:-1348403003,&quot;Height&quot;:841.0,&quot;Width&quot;:595.0,&quot;Placement&quot;:&quot;Footer&quot;,&quot;Index&quot;:&quot;Primary&quot;,&quot;Section&quot;:1,&quot;Top&quot;:0.0,&quot;Left&quot;:0.0}" style="position:absolute;left:0;text-align:left;margin-left:0;margin-top:806.1pt;width:595.3pt;height:20.7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" o:allowincell="f" filled="f" stroked="f" strokeweight=".5pt">
              <v:fill o:detectmouseclick="t"/>
              <v:textbox inset="20pt,0,,0">
                <w:txbxContent>
                  <w:p w14:paraId="308C8883" w14:textId="10B84E09" w:rsidR="00914DDC" w:rsidRPr="00914DDC" w:rsidRDefault="00914DDC" w:rsidP="00914DDC">
                    <w:pPr>
                      <w:spacing w:before="0" w:after="0"/>
                      <w:rPr>
                        <w:rFonts w:ascii="Rockwell" w:hAnsi="Rockwell"/>
                        <w:color w:val="0078D7"/>
                        <w:sz w:val="18"/>
                      </w:rPr>
                    </w:pPr>
                    <w:r w:rsidRPr="00914DDC">
                      <w:rPr>
                        <w:rFonts w:ascii="Rockwell" w:hAnsi="Rockwell"/>
                        <w:color w:val="0078D7"/>
                        <w:sz w:val="18"/>
                      </w:rPr>
                      <w:t>Information Classification: General</w:t>
                    </w:r>
                  </w:p>
                </w:txbxContent>
              </v:textbox>
              <w10:wrap anchorx="page" anchory="page"/>
            </v:shape>
          </w:pict>
        </mc:Fallback>
      </mc:AlternateContent>
    </w:r>
    <w:sdt>
      <w:sdtPr>
        <w:id w:val="188188794"/>
        <w:docPartObj>
          <w:docPartGallery w:val="Page Numbers (Bottom of Page)"/>
          <w:docPartUnique/>
        </w:docPartObj>
      </w:sdtPr>
      <w:sdtEndPr>
        <w:rPr>
          <w:noProof/>
        </w:rPr>
      </w:sdtEndPr>
      <w:sdtContent>
        <w:r w:rsidR="001423A5">
          <w:fldChar w:fldCharType="begin"/>
        </w:r>
        <w:r w:rsidR="001423A5">
          <w:instrText xml:space="preserve"> PAGE   \* MERGEFORMAT </w:instrText>
        </w:r>
        <w:r w:rsidR="001423A5">
          <w:fldChar w:fldCharType="separate"/>
        </w:r>
        <w:r w:rsidR="001423A5">
          <w:rPr>
            <w:noProof/>
          </w:rPr>
          <w:t>2</w:t>
        </w:r>
        <w:r w:rsidR="001423A5">
          <w:rPr>
            <w:noProof/>
          </w:rPr>
          <w:fldChar w:fldCharType="end"/>
        </w:r>
      </w:sdtContent>
    </w:sdt>
  </w:p>
  <w:p w14:paraId="33A5B9BB" w14:textId="77777777" w:rsidR="001423A5" w:rsidRDefault="001423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CADDB" w14:textId="77777777" w:rsidR="00914DDC" w:rsidRDefault="00914D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5E58E" w14:textId="77777777" w:rsidR="00A23699" w:rsidRDefault="00A23699" w:rsidP="001423A5">
      <w:pPr>
        <w:spacing w:before="0" w:after="0" w:line="240" w:lineRule="auto"/>
      </w:pPr>
      <w:r>
        <w:separator/>
      </w:r>
    </w:p>
  </w:footnote>
  <w:footnote w:type="continuationSeparator" w:id="0">
    <w:p w14:paraId="30414232" w14:textId="77777777" w:rsidR="00A23699" w:rsidRDefault="00A23699" w:rsidP="001423A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7BB33" w14:textId="77777777" w:rsidR="00914DDC" w:rsidRDefault="00914D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CBFFD" w14:textId="77777777" w:rsidR="00914DDC" w:rsidRDefault="00914D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52073" w14:textId="77777777" w:rsidR="00914DDC" w:rsidRDefault="00914D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 Blood Med (Apr 2022) Copy&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zs0z50rr99e09er550pev9rwpzxxpsdtree&quot;&gt;Bauer PKPD rVWF vs pdVWF&lt;record-ids&gt;&lt;item&gt;7&lt;/item&gt;&lt;item&gt;43&lt;/item&gt;&lt;item&gt;44&lt;/item&gt;&lt;item&gt;45&lt;/item&gt;&lt;item&gt;46&lt;/item&gt;&lt;item&gt;47&lt;/item&gt;&lt;item&gt;50&lt;/item&gt;&lt;item&gt;51&lt;/item&gt;&lt;/record-ids&gt;&lt;/item&gt;&lt;/Libraries&gt;"/>
  </w:docVars>
  <w:rsids>
    <w:rsidRoot w:val="00614B2B"/>
    <w:rsid w:val="000643BB"/>
    <w:rsid w:val="00091B65"/>
    <w:rsid w:val="000B0043"/>
    <w:rsid w:val="000B19E5"/>
    <w:rsid w:val="000C17E4"/>
    <w:rsid w:val="000C74AF"/>
    <w:rsid w:val="00115040"/>
    <w:rsid w:val="001423A5"/>
    <w:rsid w:val="001669CF"/>
    <w:rsid w:val="001D1965"/>
    <w:rsid w:val="001D741C"/>
    <w:rsid w:val="0020024E"/>
    <w:rsid w:val="00220F51"/>
    <w:rsid w:val="002C6175"/>
    <w:rsid w:val="002D365B"/>
    <w:rsid w:val="003322C9"/>
    <w:rsid w:val="003430B8"/>
    <w:rsid w:val="0037713C"/>
    <w:rsid w:val="003C0993"/>
    <w:rsid w:val="003C7443"/>
    <w:rsid w:val="0048364B"/>
    <w:rsid w:val="004A2040"/>
    <w:rsid w:val="00507F62"/>
    <w:rsid w:val="00517AAE"/>
    <w:rsid w:val="00517D3E"/>
    <w:rsid w:val="00521E31"/>
    <w:rsid w:val="0055757E"/>
    <w:rsid w:val="005F4DEF"/>
    <w:rsid w:val="00607E28"/>
    <w:rsid w:val="00614B2B"/>
    <w:rsid w:val="00635618"/>
    <w:rsid w:val="00640FCC"/>
    <w:rsid w:val="00683E51"/>
    <w:rsid w:val="00687A6F"/>
    <w:rsid w:val="00695F14"/>
    <w:rsid w:val="006B7D62"/>
    <w:rsid w:val="006C6013"/>
    <w:rsid w:val="006D0238"/>
    <w:rsid w:val="00703CD2"/>
    <w:rsid w:val="0072726B"/>
    <w:rsid w:val="007E22F7"/>
    <w:rsid w:val="007E5ACD"/>
    <w:rsid w:val="00821A41"/>
    <w:rsid w:val="0082459C"/>
    <w:rsid w:val="00826F98"/>
    <w:rsid w:val="00874BF4"/>
    <w:rsid w:val="008B1D5E"/>
    <w:rsid w:val="008F7B36"/>
    <w:rsid w:val="0090490E"/>
    <w:rsid w:val="00914DDC"/>
    <w:rsid w:val="0093017F"/>
    <w:rsid w:val="00936572"/>
    <w:rsid w:val="009424B7"/>
    <w:rsid w:val="00985F2E"/>
    <w:rsid w:val="009938EC"/>
    <w:rsid w:val="00A03F54"/>
    <w:rsid w:val="00A23699"/>
    <w:rsid w:val="00A83B2E"/>
    <w:rsid w:val="00B15537"/>
    <w:rsid w:val="00B42F2C"/>
    <w:rsid w:val="00B8622A"/>
    <w:rsid w:val="00B921A8"/>
    <w:rsid w:val="00C1024E"/>
    <w:rsid w:val="00C15591"/>
    <w:rsid w:val="00C813FC"/>
    <w:rsid w:val="00C90C8F"/>
    <w:rsid w:val="00CA7C9A"/>
    <w:rsid w:val="00CC041E"/>
    <w:rsid w:val="00CD63A6"/>
    <w:rsid w:val="00D042CF"/>
    <w:rsid w:val="00DE4B65"/>
    <w:rsid w:val="00E1076E"/>
    <w:rsid w:val="00E436D9"/>
    <w:rsid w:val="00E63097"/>
    <w:rsid w:val="00E91234"/>
    <w:rsid w:val="00EF2377"/>
    <w:rsid w:val="00F31C01"/>
    <w:rsid w:val="00F97279"/>
    <w:rsid w:val="00FA182D"/>
    <w:rsid w:val="00FB13B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92529"/>
  <w15:chartTrackingRefBased/>
  <w15:docId w15:val="{F76C7642-28C5-475F-8ED3-275690B4E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B2B"/>
    <w:pPr>
      <w:spacing w:before="120" w:after="120" w:line="480" w:lineRule="auto"/>
    </w:pPr>
    <w:rPr>
      <w:rFonts w:ascii="Arial" w:hAnsi="Arial"/>
      <w:lang w:val="en-US"/>
    </w:rPr>
  </w:style>
  <w:style w:type="paragraph" w:styleId="Heading1">
    <w:name w:val="heading 1"/>
    <w:basedOn w:val="Normal"/>
    <w:next w:val="Normal"/>
    <w:link w:val="Heading1Char"/>
    <w:uiPriority w:val="9"/>
    <w:qFormat/>
    <w:rsid w:val="00614B2B"/>
    <w:pPr>
      <w:keepNext/>
      <w:keepLines/>
      <w:spacing w:before="360"/>
      <w:outlineLvl w:val="0"/>
    </w:pPr>
    <w:rPr>
      <w:rFonts w:ascii="Arial Bold" w:eastAsiaTheme="majorEastAsia" w:hAnsi="Arial Bold" w:cstheme="majorBidi"/>
      <w:b/>
      <w:sz w:val="24"/>
      <w:szCs w:val="32"/>
    </w:rPr>
  </w:style>
  <w:style w:type="paragraph" w:styleId="Heading2">
    <w:name w:val="heading 2"/>
    <w:basedOn w:val="Normal"/>
    <w:next w:val="Normal"/>
    <w:link w:val="Heading2Char"/>
    <w:uiPriority w:val="9"/>
    <w:unhideWhenUsed/>
    <w:qFormat/>
    <w:rsid w:val="00614B2B"/>
    <w:pPr>
      <w:keepNext/>
      <w:keepLines/>
      <w:spacing w:before="240"/>
      <w:outlineLvl w:val="1"/>
    </w:pPr>
    <w:rPr>
      <w:rFonts w:eastAsiaTheme="majorEastAsia" w:cstheme="majorBidi"/>
      <w:b/>
      <w:i/>
      <w:szCs w:val="26"/>
    </w:rPr>
  </w:style>
  <w:style w:type="paragraph" w:styleId="Heading3">
    <w:name w:val="heading 3"/>
    <w:basedOn w:val="Normal"/>
    <w:next w:val="Normal"/>
    <w:link w:val="Heading3Char"/>
    <w:uiPriority w:val="9"/>
    <w:unhideWhenUsed/>
    <w:qFormat/>
    <w:rsid w:val="00614B2B"/>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14B2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B2B"/>
    <w:rPr>
      <w:rFonts w:ascii="Arial Bold" w:eastAsiaTheme="majorEastAsia" w:hAnsi="Arial Bold" w:cstheme="majorBidi"/>
      <w:b/>
      <w:sz w:val="24"/>
      <w:szCs w:val="32"/>
      <w:lang w:val="en-US"/>
    </w:rPr>
  </w:style>
  <w:style w:type="character" w:customStyle="1" w:styleId="Heading2Char">
    <w:name w:val="Heading 2 Char"/>
    <w:basedOn w:val="DefaultParagraphFont"/>
    <w:link w:val="Heading2"/>
    <w:uiPriority w:val="9"/>
    <w:rsid w:val="00614B2B"/>
    <w:rPr>
      <w:rFonts w:ascii="Arial" w:eastAsiaTheme="majorEastAsia" w:hAnsi="Arial" w:cstheme="majorBidi"/>
      <w:b/>
      <w:i/>
      <w:szCs w:val="26"/>
      <w:lang w:val="en-US"/>
    </w:rPr>
  </w:style>
  <w:style w:type="character" w:customStyle="1" w:styleId="Heading3Char">
    <w:name w:val="Heading 3 Char"/>
    <w:basedOn w:val="DefaultParagraphFont"/>
    <w:link w:val="Heading3"/>
    <w:uiPriority w:val="9"/>
    <w:rsid w:val="00614B2B"/>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614B2B"/>
    <w:rPr>
      <w:rFonts w:asciiTheme="majorHAnsi" w:eastAsiaTheme="majorEastAsia" w:hAnsiTheme="majorHAnsi" w:cstheme="majorBidi"/>
      <w:i/>
      <w:iCs/>
      <w:color w:val="2F5496" w:themeColor="accent1" w:themeShade="BF"/>
      <w:lang w:val="en-US"/>
    </w:rPr>
  </w:style>
  <w:style w:type="paragraph" w:customStyle="1" w:styleId="Tabelltext">
    <w:name w:val="Tabelltext"/>
    <w:basedOn w:val="Normal"/>
    <w:uiPriority w:val="2"/>
    <w:qFormat/>
    <w:rsid w:val="00614B2B"/>
    <w:pPr>
      <w:tabs>
        <w:tab w:val="left" w:leader="dot" w:pos="1418"/>
      </w:tabs>
      <w:spacing w:line="240" w:lineRule="auto"/>
    </w:pPr>
    <w:rPr>
      <w:sz w:val="21"/>
    </w:rPr>
  </w:style>
  <w:style w:type="table" w:styleId="TableGrid">
    <w:name w:val="Table Grid"/>
    <w:basedOn w:val="TableNormal"/>
    <w:uiPriority w:val="39"/>
    <w:rsid w:val="00614B2B"/>
    <w:pPr>
      <w:spacing w:after="0" w:line="240" w:lineRule="auto"/>
    </w:pPr>
    <w:rPr>
      <w:sz w:val="21"/>
      <w:lang w:val="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E91234"/>
    <w:pPr>
      <w:spacing w:after="0"/>
      <w:jc w:val="center"/>
    </w:pPr>
    <w:rPr>
      <w:rFonts w:cs="Arial"/>
      <w:noProof/>
    </w:rPr>
  </w:style>
  <w:style w:type="character" w:customStyle="1" w:styleId="EndNoteBibliographyTitleChar">
    <w:name w:val="EndNote Bibliography Title Char"/>
    <w:basedOn w:val="DefaultParagraphFont"/>
    <w:link w:val="EndNoteBibliographyTitle"/>
    <w:rsid w:val="00E91234"/>
    <w:rPr>
      <w:rFonts w:ascii="Arial" w:hAnsi="Arial" w:cs="Arial"/>
      <w:noProof/>
      <w:lang w:val="en-US"/>
    </w:rPr>
  </w:style>
  <w:style w:type="paragraph" w:customStyle="1" w:styleId="EndNoteBibliography">
    <w:name w:val="EndNote Bibliography"/>
    <w:basedOn w:val="Normal"/>
    <w:link w:val="EndNoteBibliographyChar"/>
    <w:rsid w:val="00E91234"/>
    <w:pPr>
      <w:spacing w:line="240" w:lineRule="auto"/>
    </w:pPr>
    <w:rPr>
      <w:rFonts w:cs="Arial"/>
      <w:noProof/>
    </w:rPr>
  </w:style>
  <w:style w:type="character" w:customStyle="1" w:styleId="EndNoteBibliographyChar">
    <w:name w:val="EndNote Bibliography Char"/>
    <w:basedOn w:val="DefaultParagraphFont"/>
    <w:link w:val="EndNoteBibliography"/>
    <w:rsid w:val="00E91234"/>
    <w:rPr>
      <w:rFonts w:ascii="Arial" w:hAnsi="Arial" w:cs="Arial"/>
      <w:noProof/>
      <w:lang w:val="en-US"/>
    </w:rPr>
  </w:style>
  <w:style w:type="character" w:styleId="Hyperlink">
    <w:name w:val="Hyperlink"/>
    <w:basedOn w:val="DefaultParagraphFont"/>
    <w:uiPriority w:val="99"/>
    <w:unhideWhenUsed/>
    <w:rsid w:val="00874BF4"/>
    <w:rPr>
      <w:color w:val="0000FF"/>
      <w:u w:val="single"/>
    </w:rPr>
  </w:style>
  <w:style w:type="character" w:styleId="CommentReference">
    <w:name w:val="annotation reference"/>
    <w:basedOn w:val="DefaultParagraphFont"/>
    <w:uiPriority w:val="99"/>
    <w:semiHidden/>
    <w:unhideWhenUsed/>
    <w:rsid w:val="00F97279"/>
    <w:rPr>
      <w:sz w:val="16"/>
      <w:szCs w:val="16"/>
    </w:rPr>
  </w:style>
  <w:style w:type="paragraph" w:styleId="CommentText">
    <w:name w:val="annotation text"/>
    <w:basedOn w:val="Normal"/>
    <w:link w:val="CommentTextChar"/>
    <w:uiPriority w:val="99"/>
    <w:unhideWhenUsed/>
    <w:rsid w:val="00F97279"/>
    <w:pPr>
      <w:spacing w:line="240" w:lineRule="auto"/>
    </w:pPr>
    <w:rPr>
      <w:sz w:val="20"/>
      <w:szCs w:val="20"/>
    </w:rPr>
  </w:style>
  <w:style w:type="character" w:customStyle="1" w:styleId="CommentTextChar">
    <w:name w:val="Comment Text Char"/>
    <w:basedOn w:val="DefaultParagraphFont"/>
    <w:link w:val="CommentText"/>
    <w:uiPriority w:val="99"/>
    <w:rsid w:val="00F97279"/>
    <w:rPr>
      <w:rFonts w:ascii="Arial" w:hAnsi="Arial"/>
      <w:sz w:val="20"/>
      <w:szCs w:val="20"/>
      <w:lang w:val="en-US"/>
    </w:rPr>
  </w:style>
  <w:style w:type="paragraph" w:styleId="CommentSubject">
    <w:name w:val="annotation subject"/>
    <w:basedOn w:val="CommentText"/>
    <w:next w:val="CommentText"/>
    <w:link w:val="CommentSubjectChar"/>
    <w:uiPriority w:val="99"/>
    <w:semiHidden/>
    <w:unhideWhenUsed/>
    <w:rsid w:val="00F97279"/>
    <w:rPr>
      <w:b/>
      <w:bCs/>
    </w:rPr>
  </w:style>
  <w:style w:type="character" w:customStyle="1" w:styleId="CommentSubjectChar">
    <w:name w:val="Comment Subject Char"/>
    <w:basedOn w:val="CommentTextChar"/>
    <w:link w:val="CommentSubject"/>
    <w:uiPriority w:val="99"/>
    <w:semiHidden/>
    <w:rsid w:val="00F97279"/>
    <w:rPr>
      <w:rFonts w:ascii="Arial" w:hAnsi="Arial"/>
      <w:b/>
      <w:bCs/>
      <w:sz w:val="20"/>
      <w:szCs w:val="20"/>
      <w:lang w:val="en-US"/>
    </w:rPr>
  </w:style>
  <w:style w:type="paragraph" w:customStyle="1" w:styleId="TableParagraph">
    <w:name w:val="Table Paragraph"/>
    <w:basedOn w:val="Normal"/>
    <w:uiPriority w:val="1"/>
    <w:qFormat/>
    <w:rsid w:val="00F97279"/>
    <w:pPr>
      <w:widowControl w:val="0"/>
      <w:autoSpaceDE w:val="0"/>
      <w:autoSpaceDN w:val="0"/>
      <w:spacing w:before="53" w:after="0" w:line="240" w:lineRule="auto"/>
      <w:ind w:left="107"/>
    </w:pPr>
    <w:rPr>
      <w:rFonts w:ascii="Times New Roman" w:eastAsia="Times New Roman" w:hAnsi="Times New Roman" w:cs="Times New Roman"/>
    </w:rPr>
  </w:style>
  <w:style w:type="paragraph" w:styleId="Revision">
    <w:name w:val="Revision"/>
    <w:hidden/>
    <w:uiPriority w:val="99"/>
    <w:semiHidden/>
    <w:rsid w:val="00B921A8"/>
    <w:pPr>
      <w:spacing w:after="0" w:line="240" w:lineRule="auto"/>
    </w:pPr>
    <w:rPr>
      <w:rFonts w:ascii="Arial" w:hAnsi="Arial"/>
      <w:lang w:val="en-US"/>
    </w:rPr>
  </w:style>
  <w:style w:type="paragraph" w:styleId="Header">
    <w:name w:val="header"/>
    <w:basedOn w:val="Normal"/>
    <w:link w:val="HeaderChar"/>
    <w:uiPriority w:val="99"/>
    <w:unhideWhenUsed/>
    <w:rsid w:val="001423A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1423A5"/>
    <w:rPr>
      <w:rFonts w:ascii="Arial" w:hAnsi="Arial"/>
      <w:lang w:val="en-US"/>
    </w:rPr>
  </w:style>
  <w:style w:type="paragraph" w:styleId="Footer">
    <w:name w:val="footer"/>
    <w:basedOn w:val="Normal"/>
    <w:link w:val="FooterChar"/>
    <w:uiPriority w:val="99"/>
    <w:unhideWhenUsed/>
    <w:rsid w:val="001423A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1423A5"/>
    <w:rPr>
      <w:rFonts w:ascii="Arial" w:hAnsi="Arial"/>
      <w:lang w:val="en-US"/>
    </w:rPr>
  </w:style>
  <w:style w:type="character" w:styleId="UnresolvedMention">
    <w:name w:val="Unresolved Mention"/>
    <w:basedOn w:val="DefaultParagraphFont"/>
    <w:uiPriority w:val="99"/>
    <w:semiHidden/>
    <w:unhideWhenUsed/>
    <w:rsid w:val="00F31C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110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fda.gov/media/77812/download" TargetMode="External"/><Relationship Id="rId4" Type="http://schemas.openxmlformats.org/officeDocument/2006/relationships/webSettings" Target="webSettings.xml"/><Relationship Id="rId9" Type="http://schemas.openxmlformats.org/officeDocument/2006/relationships/hyperlink" Target="https://labeling.cslbehring.com/pi/us/humate-p/en/humate-p-prescribing-information.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FAC0B-F34D-43EE-9611-90B558681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4506</Words>
  <Characters>25688</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Excel</dc:creator>
  <cp:keywords/>
  <dc:description/>
  <cp:lastModifiedBy>Lee, Boon</cp:lastModifiedBy>
  <cp:revision>2</cp:revision>
  <dcterms:created xsi:type="dcterms:W3CDTF">2023-05-28T22:51:00Z</dcterms:created>
  <dcterms:modified xsi:type="dcterms:W3CDTF">2023-05-28T22:51:00Z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bab825-a111-45e4-86a1-18cee0005896_Enabled">
    <vt:lpwstr>true</vt:lpwstr>
  </property>
  <property fmtid="{D5CDD505-2E9C-101B-9397-08002B2CF9AE}" pid="3" name="MSIP_Label_2bbab825-a111-45e4-86a1-18cee0005896_SetDate">
    <vt:lpwstr>2023-05-28T22:51:02Z</vt:lpwstr>
  </property>
  <property fmtid="{D5CDD505-2E9C-101B-9397-08002B2CF9AE}" pid="4" name="MSIP_Label_2bbab825-a111-45e4-86a1-18cee0005896_Method">
    <vt:lpwstr>Standard</vt:lpwstr>
  </property>
  <property fmtid="{D5CDD505-2E9C-101B-9397-08002B2CF9AE}" pid="5" name="MSIP_Label_2bbab825-a111-45e4-86a1-18cee0005896_Name">
    <vt:lpwstr>2bbab825-a111-45e4-86a1-18cee0005896</vt:lpwstr>
  </property>
  <property fmtid="{D5CDD505-2E9C-101B-9397-08002B2CF9AE}" pid="6" name="MSIP_Label_2bbab825-a111-45e4-86a1-18cee0005896_SiteId">
    <vt:lpwstr>2567d566-604c-408a-8a60-55d0dc9d9d6b</vt:lpwstr>
  </property>
  <property fmtid="{D5CDD505-2E9C-101B-9397-08002B2CF9AE}" pid="7" name="MSIP_Label_2bbab825-a111-45e4-86a1-18cee0005896_ActionId">
    <vt:lpwstr>875af82e-9da6-4a14-b0a7-904e9d382347</vt:lpwstr>
  </property>
  <property fmtid="{D5CDD505-2E9C-101B-9397-08002B2CF9AE}" pid="8" name="MSIP_Label_2bbab825-a111-45e4-86a1-18cee0005896_ContentBits">
    <vt:lpwstr>2</vt:lpwstr>
  </property>
</Properties>
</file>