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3818" w14:textId="77777777" w:rsidR="000E6869" w:rsidRPr="00B75CFF" w:rsidRDefault="000E6869" w:rsidP="00F72039">
      <w:pPr>
        <w:spacing w:line="48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75CFF">
        <w:rPr>
          <w:rFonts w:ascii="Arial" w:hAnsi="Arial" w:cs="Arial"/>
          <w:b/>
          <w:color w:val="000000"/>
          <w:sz w:val="24"/>
          <w:szCs w:val="24"/>
        </w:rPr>
        <w:drawing>
          <wp:inline distT="0" distB="0" distL="0" distR="0" wp14:anchorId="11F34DB9" wp14:editId="3DF97891">
            <wp:extent cx="5274310" cy="2213393"/>
            <wp:effectExtent l="19050" t="0" r="2540" b="0"/>
            <wp:docPr id="1" name="图片 1" descr="C:\Users\Administrator\Desktop\Journal of inflammation research修稿\FDFMY_9_04072022-1312311\FDFMY_9_04072022-1312311\新建文件夹 (2)\395229 revised 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Journal of inflammation research修稿\FDFMY_9_04072022-1312311\FDFMY_9_04072022-1312311\新建文件夹 (2)\395229 revised Figure S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3DE43" w14:textId="77777777" w:rsidR="00A1697B" w:rsidRPr="00B75CFF" w:rsidRDefault="00A1697B" w:rsidP="00F72039">
      <w:pPr>
        <w:spacing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75CFF">
        <w:rPr>
          <w:rFonts w:ascii="Arial" w:hAnsi="Arial" w:cs="Arial" w:hint="eastAsia"/>
          <w:b/>
          <w:color w:val="000000"/>
          <w:sz w:val="24"/>
          <w:szCs w:val="24"/>
        </w:rPr>
        <w:t>F</w:t>
      </w:r>
      <w:r w:rsidRPr="00B75CFF">
        <w:rPr>
          <w:rFonts w:ascii="Arial" w:hAnsi="Arial" w:cs="Arial"/>
          <w:b/>
          <w:color w:val="000000"/>
          <w:sz w:val="24"/>
          <w:szCs w:val="24"/>
        </w:rPr>
        <w:t xml:space="preserve">igure </w:t>
      </w:r>
      <w:r w:rsidRPr="00B75CFF">
        <w:rPr>
          <w:rFonts w:ascii="Arial" w:hAnsi="Arial" w:cs="Arial" w:hint="eastAsia"/>
          <w:b/>
          <w:color w:val="000000"/>
          <w:sz w:val="24"/>
          <w:szCs w:val="24"/>
        </w:rPr>
        <w:t>S1</w:t>
      </w:r>
      <w:r w:rsidRPr="00B75CFF">
        <w:rPr>
          <w:rFonts w:ascii="Arial" w:hAnsi="Arial" w:cs="Arial"/>
          <w:color w:val="000000"/>
          <w:sz w:val="24"/>
          <w:szCs w:val="24"/>
        </w:rPr>
        <w:t xml:space="preserve"> Correlation analyses between Kellgren and Lawrence scores with the derived systemic inflammatory markers</w:t>
      </w:r>
      <w:r w:rsidRPr="00B75CFF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B75CFF">
        <w:rPr>
          <w:rFonts w:ascii="Arial" w:hAnsi="Arial" w:cs="Arial" w:hint="eastAsia"/>
          <w:color w:val="000000"/>
          <w:sz w:val="24"/>
          <w:szCs w:val="24"/>
        </w:rPr>
        <w:t>A, NLR; B, PLR; C, dNLR; D, ACR; E, NHR; F, MHR; G, PHR; H, AAPR.</w:t>
      </w:r>
    </w:p>
    <w:p w14:paraId="70229F9B" w14:textId="77777777" w:rsidR="00A1697B" w:rsidRPr="00B75CFF" w:rsidRDefault="00A1697B" w:rsidP="00F72039">
      <w:pPr>
        <w:spacing w:line="480" w:lineRule="auto"/>
        <w:jc w:val="both"/>
        <w:rPr>
          <w:rFonts w:ascii="Arial" w:hAnsi="Arial" w:cs="Arial"/>
          <w:bCs/>
          <w:color w:val="000000"/>
          <w:szCs w:val="21"/>
        </w:rPr>
      </w:pPr>
      <w:r w:rsidRPr="00B75CFF">
        <w:rPr>
          <w:rFonts w:ascii="Arial" w:hAnsi="Arial" w:cs="Arial"/>
          <w:b/>
          <w:color w:val="000000"/>
          <w:szCs w:val="21"/>
        </w:rPr>
        <w:t xml:space="preserve">Abbreviations: </w:t>
      </w:r>
      <w:r w:rsidRPr="00B75CFF">
        <w:rPr>
          <w:rFonts w:ascii="Arial" w:hAnsi="Arial" w:cs="Arial"/>
          <w:bCs/>
          <w:color w:val="000000"/>
          <w:szCs w:val="21"/>
        </w:rPr>
        <w:t xml:space="preserve">NLR, neutrophil-to-lymphocyte ratio; </w:t>
      </w:r>
      <w:r w:rsidRPr="00B75CFF">
        <w:rPr>
          <w:rFonts w:ascii="Arial" w:hAnsi="Arial" w:cs="Arial"/>
          <w:color w:val="000000"/>
          <w:szCs w:val="21"/>
        </w:rPr>
        <w:t xml:space="preserve">PLR, </w:t>
      </w:r>
      <w:r w:rsidRPr="00B75CFF">
        <w:rPr>
          <w:rFonts w:ascii="Arial" w:hAnsi="Arial" w:cs="Arial"/>
          <w:bCs/>
          <w:color w:val="000000"/>
          <w:szCs w:val="21"/>
        </w:rPr>
        <w:t>platelet-to-lymphocyte ratio</w:t>
      </w:r>
      <w:r w:rsidRPr="00B75CFF">
        <w:rPr>
          <w:rFonts w:ascii="Arial" w:hAnsi="Arial" w:cs="Arial"/>
          <w:color w:val="000000"/>
          <w:szCs w:val="21"/>
        </w:rPr>
        <w:t xml:space="preserve">; dNLR, </w:t>
      </w:r>
      <w:r w:rsidRPr="00B75CFF">
        <w:rPr>
          <w:rFonts w:ascii="Arial" w:hAnsi="Arial" w:cs="Arial"/>
          <w:bCs/>
          <w:color w:val="000000"/>
          <w:szCs w:val="21"/>
        </w:rPr>
        <w:t>derived NLR</w:t>
      </w:r>
      <w:r w:rsidRPr="00B75CFF">
        <w:rPr>
          <w:rFonts w:ascii="Arial" w:hAnsi="Arial" w:cs="Arial"/>
          <w:color w:val="000000"/>
          <w:szCs w:val="21"/>
        </w:rPr>
        <w:t xml:space="preserve">; ACR, </w:t>
      </w:r>
      <w:r w:rsidRPr="00B75CFF">
        <w:rPr>
          <w:rFonts w:ascii="Arial" w:hAnsi="Arial" w:cs="Arial"/>
          <w:bCs/>
          <w:color w:val="000000"/>
          <w:szCs w:val="21"/>
        </w:rPr>
        <w:t>albumin to C-reactive protein ratio</w:t>
      </w:r>
      <w:r w:rsidRPr="00B75CFF">
        <w:rPr>
          <w:rFonts w:ascii="Arial" w:hAnsi="Arial" w:cs="Arial"/>
          <w:color w:val="000000"/>
          <w:szCs w:val="21"/>
        </w:rPr>
        <w:t>; NHR,</w:t>
      </w:r>
      <w:r w:rsidRPr="00B75CFF">
        <w:rPr>
          <w:rFonts w:ascii="Arial" w:hAnsi="Arial" w:cs="Arial"/>
          <w:bCs/>
          <w:color w:val="000000"/>
          <w:szCs w:val="21"/>
        </w:rPr>
        <w:t xml:space="preserve"> neutrophil to high density lipoprotein-cholesterol ratio</w:t>
      </w:r>
      <w:r w:rsidRPr="00B75CFF">
        <w:rPr>
          <w:rFonts w:ascii="Arial" w:hAnsi="Arial" w:cs="Arial"/>
          <w:color w:val="000000"/>
          <w:szCs w:val="21"/>
        </w:rPr>
        <w:t>; MHR, monocyte-to-</w:t>
      </w:r>
      <w:r w:rsidRPr="00B75CFF">
        <w:rPr>
          <w:rFonts w:ascii="Arial" w:hAnsi="Arial" w:cs="Arial"/>
          <w:bCs/>
          <w:color w:val="000000"/>
          <w:szCs w:val="21"/>
        </w:rPr>
        <w:t>high density lipoprotein</w:t>
      </w:r>
      <w:r w:rsidRPr="00B75CFF">
        <w:rPr>
          <w:rFonts w:ascii="Arial" w:hAnsi="Arial" w:cs="Arial"/>
          <w:color w:val="000000"/>
          <w:szCs w:val="21"/>
        </w:rPr>
        <w:t xml:space="preserve">-cholesterol ratio; PHR, </w:t>
      </w:r>
      <w:r w:rsidRPr="00B75CFF">
        <w:rPr>
          <w:rFonts w:ascii="Arial" w:hAnsi="Arial" w:cs="Arial"/>
          <w:bCs/>
          <w:color w:val="000000"/>
          <w:szCs w:val="21"/>
        </w:rPr>
        <w:t>platelet to high density lipoprotein-cholesterol ratio</w:t>
      </w:r>
      <w:r w:rsidRPr="00B75CFF">
        <w:rPr>
          <w:rFonts w:ascii="Arial" w:hAnsi="Arial" w:cs="Arial"/>
          <w:color w:val="000000"/>
          <w:szCs w:val="21"/>
        </w:rPr>
        <w:t xml:space="preserve">;AAPR, </w:t>
      </w:r>
      <w:r w:rsidRPr="00B75CFF">
        <w:rPr>
          <w:rFonts w:ascii="Arial" w:hAnsi="Arial" w:cs="Arial"/>
          <w:bCs/>
          <w:color w:val="000000"/>
          <w:szCs w:val="21"/>
        </w:rPr>
        <w:t xml:space="preserve">albumin to alkaline phosphatase ratio. </w:t>
      </w:r>
    </w:p>
    <w:p w14:paraId="7B51F364" w14:textId="77777777" w:rsidR="004358AB" w:rsidRPr="00B75CFF" w:rsidRDefault="004358AB" w:rsidP="00D31D50">
      <w:pPr>
        <w:spacing w:line="220" w:lineRule="atLeast"/>
        <w:rPr>
          <w:color w:val="000000"/>
        </w:rPr>
      </w:pPr>
    </w:p>
    <w:sectPr w:rsidR="004358AB" w:rsidRPr="00B75CFF" w:rsidSect="004358A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7871" w14:textId="77777777" w:rsidR="00284637" w:rsidRDefault="00284637" w:rsidP="00A1697B">
      <w:pPr>
        <w:spacing w:after="0"/>
      </w:pPr>
      <w:r>
        <w:separator/>
      </w:r>
    </w:p>
  </w:endnote>
  <w:endnote w:type="continuationSeparator" w:id="0">
    <w:p w14:paraId="27B4BE63" w14:textId="77777777" w:rsidR="00284637" w:rsidRDefault="00284637" w:rsidP="00A169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1BF85" w14:textId="77777777" w:rsidR="007E4906" w:rsidRDefault="002E609C">
    <w:pPr>
      <w:pStyle w:val="Footer"/>
    </w:pPr>
    <w:r>
      <w:rPr>
        <w:noProof/>
      </w:rPr>
      <w:pict w14:anchorId="1DA7A338">
        <v:shapetype id="_x0000_t202" coordsize="21600,21600" o:spt="202" path="m,l,21600r21600,l21600,xe">
          <v:stroke joinstyle="miter"/>
          <v:path gradientshapeok="t" o:connecttype="rect"/>
        </v:shapetype>
        <v:shape id="MSIPCM7b2348a29d4967989ca98666" o:spid="_x0000_s11265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8pt;z-index:251658240;mso-position-horizontal-relative:page;mso-position-vertical-relative:page;v-text-anchor:bottom" o:allowincell="f" filled="f" stroked="f">
          <v:textbox inset="20pt,0,,0">
            <w:txbxContent>
              <w:p w14:paraId="432D52A4" w14:textId="77777777" w:rsidR="007E4906" w:rsidRPr="007E4906" w:rsidRDefault="007E4906" w:rsidP="007E4906">
                <w:pPr>
                  <w:spacing w:after="0"/>
                  <w:rPr>
                    <w:rFonts w:ascii="Rockwell" w:hAnsi="Rockwell"/>
                    <w:color w:val="0078D7"/>
                    <w:sz w:val="18"/>
                  </w:rPr>
                </w:pPr>
                <w:r w:rsidRPr="007E4906"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1BA8" w14:textId="77777777" w:rsidR="00284637" w:rsidRDefault="00284637" w:rsidP="00A1697B">
      <w:pPr>
        <w:spacing w:after="0"/>
      </w:pPr>
      <w:r>
        <w:separator/>
      </w:r>
    </w:p>
  </w:footnote>
  <w:footnote w:type="continuationSeparator" w:id="0">
    <w:p w14:paraId="25D8E31E" w14:textId="77777777" w:rsidR="00284637" w:rsidRDefault="00284637" w:rsidP="00A169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oNotTrackFormatting/>
  <w:defaultTabStop w:val="720"/>
  <w:characterSpacingControl w:val="doNotCompress"/>
  <w:hdrShapeDefaults>
    <o:shapedefaults v:ext="edit" spidmax="11267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tTAwMzAxNjQAAiUdpeDU4uLM/DyQAqNaAKPO6IosAAAA"/>
  </w:docVars>
  <w:rsids>
    <w:rsidRoot w:val="00D31D50"/>
    <w:rsid w:val="000B711F"/>
    <w:rsid w:val="000E6869"/>
    <w:rsid w:val="00242499"/>
    <w:rsid w:val="00284637"/>
    <w:rsid w:val="002E609C"/>
    <w:rsid w:val="00323B43"/>
    <w:rsid w:val="003D37D8"/>
    <w:rsid w:val="00426133"/>
    <w:rsid w:val="004358AB"/>
    <w:rsid w:val="0059659C"/>
    <w:rsid w:val="00701F46"/>
    <w:rsid w:val="007E4906"/>
    <w:rsid w:val="00827E79"/>
    <w:rsid w:val="008B7726"/>
    <w:rsid w:val="00A1697B"/>
    <w:rsid w:val="00B75CFF"/>
    <w:rsid w:val="00D31D50"/>
    <w:rsid w:val="00F54416"/>
    <w:rsid w:val="00F7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."/>
  <w:listSeparator w:val=","/>
  <w14:docId w14:val="78530DF5"/>
  <w15:docId w15:val="{BC4EBDF7-10DD-4C96-A775-E6A5B89C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97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1697B"/>
    <w:rPr>
      <w:rFonts w:ascii="Tahoma" w:hAnsi="Tahoma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697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697B"/>
    <w:rPr>
      <w:rFonts w:ascii="Tahoma" w:hAnsi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49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9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90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9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906"/>
    <w:rPr>
      <w:rFonts w:ascii="Tahoma" w:hAnsi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869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869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Hardgrave, Melissa</cp:lastModifiedBy>
  <cp:revision>3</cp:revision>
  <dcterms:created xsi:type="dcterms:W3CDTF">2023-01-26T21:58:00Z</dcterms:created>
  <dcterms:modified xsi:type="dcterms:W3CDTF">2023-01-26T21:58:00Z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2023-01-26T21:58:22Z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b2518e7d-3b1b-4e49-b867-05f4cbce5bd1</vt:lpwstr>
  </property>
  <property fmtid="{D5CDD505-2E9C-101B-9397-08002B2CF9AE}" pid="8" name="MSIP_Label_2bbab825-a111-45e4-86a1-18cee0005896_ContentBits">
    <vt:lpwstr>2</vt:lpwstr>
  </property>
</Properties>
</file>