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9CBD4" w14:textId="13C675C3" w:rsidR="0083210E" w:rsidRDefault="005B5D0A">
      <w:r>
        <w:rPr>
          <w:noProof/>
        </w:rPr>
        <w:drawing>
          <wp:inline distT="0" distB="0" distL="0" distR="0" wp14:anchorId="3FA07495" wp14:editId="35415424">
            <wp:extent cx="5274310" cy="4404360"/>
            <wp:effectExtent l="0" t="0" r="0" b="2540"/>
            <wp:docPr id="2"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示&#10;&#10;描述已自动生成"/>
                    <pic:cNvPicPr/>
                  </pic:nvPicPr>
                  <pic:blipFill>
                    <a:blip r:embed="rId4">
                      <a:extLst>
                        <a:ext uri="{28A0092B-C50C-407E-A947-70E740481C1C}">
                          <a14:useLocalDpi xmlns:a14="http://schemas.microsoft.com/office/drawing/2010/main" val="0"/>
                        </a:ext>
                      </a:extLst>
                    </a:blip>
                    <a:stretch>
                      <a:fillRect/>
                    </a:stretch>
                  </pic:blipFill>
                  <pic:spPr>
                    <a:xfrm>
                      <a:off x="0" y="0"/>
                      <a:ext cx="5274310" cy="4404360"/>
                    </a:xfrm>
                    <a:prstGeom prst="rect">
                      <a:avLst/>
                    </a:prstGeom>
                  </pic:spPr>
                </pic:pic>
              </a:graphicData>
            </a:graphic>
          </wp:inline>
        </w:drawing>
      </w:r>
    </w:p>
    <w:p w14:paraId="5987EEC1" w14:textId="77777777" w:rsidR="005B5D0A" w:rsidRPr="005B5D0A" w:rsidRDefault="005B5D0A" w:rsidP="005B5D0A">
      <w:pPr>
        <w:spacing w:line="360" w:lineRule="auto"/>
        <w:rPr>
          <w:rFonts w:ascii="Times New Roman" w:hAnsi="Times New Roman" w:cs="Times New Roman"/>
          <w:color w:val="000000" w:themeColor="text1"/>
          <w:sz w:val="24"/>
          <w:szCs w:val="32"/>
        </w:rPr>
      </w:pPr>
      <w:r w:rsidRPr="005B5D0A">
        <w:rPr>
          <w:rFonts w:ascii="Times New Roman" w:hAnsi="Times New Roman" w:cs="Times New Roman"/>
          <w:sz w:val="24"/>
          <w:szCs w:val="32"/>
        </w:rPr>
        <w:t>Supplement figure 1. The flow chart of this study. A total of</w:t>
      </w:r>
      <w:r w:rsidRPr="005B5D0A">
        <w:rPr>
          <w:rFonts w:ascii="Times New Roman" w:hAnsi="Times New Roman" w:cs="Times New Roman"/>
          <w:color w:val="000000" w:themeColor="text1"/>
          <w:sz w:val="24"/>
          <w:szCs w:val="32"/>
        </w:rPr>
        <w:t xml:space="preserve"> 507 patients diagnosed with T2DM with mild NPDR or VTDR were initially </w:t>
      </w:r>
      <w:r w:rsidRPr="005B5D0A">
        <w:rPr>
          <w:rFonts w:ascii="Times New Roman" w:hAnsi="Times New Roman" w:cs="Times New Roman" w:hint="eastAsia"/>
          <w:color w:val="000000" w:themeColor="text1"/>
          <w:sz w:val="24"/>
          <w:szCs w:val="32"/>
        </w:rPr>
        <w:t>enrolled</w:t>
      </w:r>
      <w:r w:rsidRPr="005B5D0A">
        <w:rPr>
          <w:rFonts w:ascii="Times New Roman" w:hAnsi="Times New Roman" w:cs="Times New Roman"/>
          <w:color w:val="000000" w:themeColor="text1"/>
          <w:sz w:val="24"/>
          <w:szCs w:val="32"/>
        </w:rPr>
        <w:t xml:space="preserve">. After excluding 67 patients for the listed reason, 440 patients were finally enrolled to develop the predicting model. </w:t>
      </w:r>
      <w:r w:rsidRPr="005B5D0A">
        <w:rPr>
          <w:rFonts w:ascii="Times New Roman" w:hAnsi="Times New Roman" w:cs="Times New Roman" w:hint="eastAsia"/>
          <w:color w:val="000000" w:themeColor="text1"/>
          <w:sz w:val="24"/>
          <w:szCs w:val="32"/>
        </w:rPr>
        <w:t>I</w:t>
      </w:r>
      <w:r w:rsidRPr="005B5D0A">
        <w:rPr>
          <w:rFonts w:ascii="Times New Roman" w:hAnsi="Times New Roman" w:cs="Times New Roman"/>
          <w:color w:val="000000" w:themeColor="text1"/>
          <w:sz w:val="24"/>
          <w:szCs w:val="32"/>
        </w:rPr>
        <w:t>n the prospective cohort, 120 T2DM patients with mild NPDR were enrolled and followed up to external validate the performance of the nomogram.</w:t>
      </w:r>
    </w:p>
    <w:p w14:paraId="1F475272" w14:textId="4EDF4757" w:rsidR="005B5D0A" w:rsidRDefault="005B5D0A">
      <w:pPr>
        <w:widowControl/>
        <w:jc w:val="left"/>
      </w:pPr>
      <w:r>
        <w:br w:type="page"/>
      </w:r>
    </w:p>
    <w:p w14:paraId="66C0BDA7" w14:textId="69275B60" w:rsidR="005B5D0A" w:rsidRDefault="005B5D0A">
      <w:r>
        <w:rPr>
          <w:rFonts w:hint="eastAsia"/>
          <w:noProof/>
        </w:rPr>
        <w:lastRenderedPageBreak/>
        <w:drawing>
          <wp:inline distT="0" distB="0" distL="0" distR="0" wp14:anchorId="1DB34CFE" wp14:editId="3E01E127">
            <wp:extent cx="5274310" cy="2576195"/>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2576195"/>
                    </a:xfrm>
                    <a:prstGeom prst="rect">
                      <a:avLst/>
                    </a:prstGeom>
                  </pic:spPr>
                </pic:pic>
              </a:graphicData>
            </a:graphic>
          </wp:inline>
        </w:drawing>
      </w:r>
    </w:p>
    <w:p w14:paraId="3F2C923B" w14:textId="77777777" w:rsidR="005B5D0A" w:rsidRPr="005B5D0A" w:rsidRDefault="005B5D0A" w:rsidP="005B5D0A">
      <w:pPr>
        <w:spacing w:line="360" w:lineRule="auto"/>
        <w:rPr>
          <w:rFonts w:ascii="Times New Roman" w:hAnsi="Times New Roman" w:cs="Times New Roman"/>
          <w:sz w:val="24"/>
          <w:szCs w:val="32"/>
        </w:rPr>
      </w:pPr>
      <w:r w:rsidRPr="005B5D0A">
        <w:rPr>
          <w:rFonts w:ascii="Times New Roman" w:hAnsi="Times New Roman" w:cs="Times New Roman"/>
          <w:sz w:val="24"/>
          <w:szCs w:val="32"/>
        </w:rPr>
        <w:t xml:space="preserve">Supplement figure 2. Comparison of clinical and laboratory characteristics in the training and testing sets. There was no significant difference of age, HbA1c, fasting C-peptide, </w:t>
      </w:r>
      <w:r w:rsidRPr="005B5D0A">
        <w:rPr>
          <w:rFonts w:ascii="Times New Roman" w:hAnsi="Times New Roman" w:cs="Times New Roman" w:hint="eastAsia"/>
          <w:sz w:val="24"/>
          <w:szCs w:val="32"/>
        </w:rPr>
        <w:t>t</w:t>
      </w:r>
      <w:r w:rsidRPr="005B5D0A">
        <w:rPr>
          <w:rFonts w:ascii="Times New Roman" w:hAnsi="Times New Roman" w:cs="Times New Roman"/>
          <w:sz w:val="24"/>
          <w:szCs w:val="32"/>
        </w:rPr>
        <w:t>riglyceride, low-density lipoprotein, high-density lipoprotein, BMI, visceral fat area, subcutaneous area, uric acid and ankle-brachial index between the training and testing set.</w:t>
      </w:r>
    </w:p>
    <w:p w14:paraId="25E95349" w14:textId="2BF2B37B" w:rsidR="005B5D0A" w:rsidRDefault="005B5D0A">
      <w:pPr>
        <w:widowControl/>
        <w:jc w:val="left"/>
      </w:pPr>
      <w:r>
        <w:br w:type="page"/>
      </w:r>
    </w:p>
    <w:p w14:paraId="18DC4B8E" w14:textId="17AE29FB" w:rsidR="005B5D0A" w:rsidRDefault="005B5D0A">
      <w:r>
        <w:rPr>
          <w:rFonts w:hint="eastAsia"/>
          <w:noProof/>
        </w:rPr>
        <w:lastRenderedPageBreak/>
        <w:drawing>
          <wp:inline distT="0" distB="0" distL="0" distR="0" wp14:anchorId="1540DE79" wp14:editId="3652AE4E">
            <wp:extent cx="5274310" cy="2349500"/>
            <wp:effectExtent l="0" t="0" r="0" b="0"/>
            <wp:docPr id="4" name="图片 4"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表, 瀑布图&#10;&#10;描述已自动生成"/>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2349500"/>
                    </a:xfrm>
                    <a:prstGeom prst="rect">
                      <a:avLst/>
                    </a:prstGeom>
                  </pic:spPr>
                </pic:pic>
              </a:graphicData>
            </a:graphic>
          </wp:inline>
        </w:drawing>
      </w:r>
    </w:p>
    <w:p w14:paraId="3983CCB8" w14:textId="77777777" w:rsidR="005B5D0A" w:rsidRPr="005B5D0A" w:rsidRDefault="005B5D0A" w:rsidP="005B5D0A">
      <w:pPr>
        <w:spacing w:line="360" w:lineRule="auto"/>
        <w:rPr>
          <w:rFonts w:ascii="Times New Roman" w:hAnsi="Times New Roman" w:cs="Times New Roman"/>
          <w:sz w:val="24"/>
          <w:szCs w:val="32"/>
        </w:rPr>
      </w:pPr>
      <w:r w:rsidRPr="005B5D0A">
        <w:rPr>
          <w:rFonts w:ascii="Times New Roman" w:hAnsi="Times New Roman" w:cs="Times New Roman" w:hint="eastAsia"/>
          <w:sz w:val="24"/>
          <w:szCs w:val="32"/>
        </w:rPr>
        <w:t>S</w:t>
      </w:r>
      <w:r w:rsidRPr="005B5D0A">
        <w:rPr>
          <w:rFonts w:ascii="Times New Roman" w:hAnsi="Times New Roman" w:cs="Times New Roman"/>
          <w:sz w:val="24"/>
          <w:szCs w:val="32"/>
        </w:rPr>
        <w:t>upplement figure 3. LASSO regression for feature selection. By verifying the optimal parameter (lambda) in the LASSO model, the partial likelihood deviance (binomial deviance) curve was plotted versus log(lambda) and dotted vertical lines were drawn based on 1 standard error criteria (A).</w:t>
      </w:r>
      <w:r w:rsidRPr="005B5D0A">
        <w:rPr>
          <w:rFonts w:ascii="Times New Roman" w:hAnsi="Times New Roman" w:cs="Times New Roman" w:hint="eastAsia"/>
          <w:sz w:val="24"/>
          <w:szCs w:val="32"/>
        </w:rPr>
        <w:t xml:space="preserve"> </w:t>
      </w:r>
      <w:r w:rsidRPr="005B5D0A">
        <w:rPr>
          <w:rFonts w:ascii="Times New Roman" w:hAnsi="Times New Roman" w:cs="Times New Roman"/>
          <w:sz w:val="24"/>
          <w:szCs w:val="32"/>
        </w:rPr>
        <w:t>The nonzero coefficients were SNCI, UACR, 2-h C-peptide (B).</w:t>
      </w:r>
    </w:p>
    <w:p w14:paraId="0F8D4459" w14:textId="10518623" w:rsidR="005B5D0A" w:rsidRDefault="005B5D0A">
      <w:pPr>
        <w:widowControl/>
        <w:jc w:val="left"/>
      </w:pPr>
      <w:r>
        <w:br w:type="page"/>
      </w:r>
    </w:p>
    <w:p w14:paraId="2293B7A5" w14:textId="25A9D1F7" w:rsidR="005B5D0A" w:rsidRDefault="005B5D0A">
      <w:r>
        <w:rPr>
          <w:rFonts w:hint="eastAsia"/>
          <w:noProof/>
        </w:rPr>
        <w:lastRenderedPageBreak/>
        <w:drawing>
          <wp:inline distT="0" distB="0" distL="0" distR="0" wp14:anchorId="34E6B406" wp14:editId="7625DD5B">
            <wp:extent cx="5274310" cy="3275330"/>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275330"/>
                    </a:xfrm>
                    <a:prstGeom prst="rect">
                      <a:avLst/>
                    </a:prstGeom>
                  </pic:spPr>
                </pic:pic>
              </a:graphicData>
            </a:graphic>
          </wp:inline>
        </w:drawing>
      </w:r>
    </w:p>
    <w:p w14:paraId="4F2ACC9A" w14:textId="77777777" w:rsidR="00631C74" w:rsidRPr="00631C74" w:rsidRDefault="00631C74" w:rsidP="00631C74">
      <w:pPr>
        <w:spacing w:line="360" w:lineRule="auto"/>
        <w:rPr>
          <w:rFonts w:ascii="Times New Roman" w:hAnsi="Times New Roman" w:cs="Times New Roman"/>
          <w:sz w:val="24"/>
          <w:szCs w:val="32"/>
        </w:rPr>
      </w:pPr>
      <w:r w:rsidRPr="00631C74">
        <w:rPr>
          <w:rFonts w:ascii="Times New Roman" w:hAnsi="Times New Roman" w:cs="Times New Roman" w:hint="eastAsia"/>
          <w:sz w:val="24"/>
          <w:szCs w:val="32"/>
        </w:rPr>
        <w:t>S</w:t>
      </w:r>
      <w:r w:rsidRPr="00631C74">
        <w:rPr>
          <w:rFonts w:ascii="Times New Roman" w:hAnsi="Times New Roman" w:cs="Times New Roman"/>
          <w:sz w:val="24"/>
          <w:szCs w:val="32"/>
        </w:rPr>
        <w:t xml:space="preserve">upplement figure 4. Decision curve analysis of the nomograms for </w:t>
      </w:r>
      <w:r w:rsidRPr="00631C74">
        <w:rPr>
          <w:rFonts w:ascii="Times New Roman" w:hAnsi="Times New Roman" w:cs="Times New Roman" w:hint="eastAsia"/>
          <w:sz w:val="24"/>
          <w:szCs w:val="32"/>
        </w:rPr>
        <w:t>VTDR</w:t>
      </w:r>
      <w:r w:rsidRPr="00631C74">
        <w:rPr>
          <w:rFonts w:ascii="Times New Roman" w:hAnsi="Times New Roman" w:cs="Times New Roman"/>
          <w:sz w:val="24"/>
          <w:szCs w:val="32"/>
        </w:rPr>
        <w:t xml:space="preserve">. The net benefit is greater than either the treat-all-patients scheme or the treat-none scheme when the threshold probability </w:t>
      </w:r>
      <w:r w:rsidRPr="00631C74">
        <w:rPr>
          <w:rFonts w:ascii="Times New Roman" w:hAnsi="Times New Roman" w:cs="Times New Roman" w:hint="eastAsia"/>
          <w:sz w:val="24"/>
          <w:szCs w:val="32"/>
        </w:rPr>
        <w:t>between</w:t>
      </w:r>
      <w:r w:rsidRPr="00631C74">
        <w:rPr>
          <w:rFonts w:ascii="Times New Roman" w:hAnsi="Times New Roman" w:cs="Times New Roman"/>
          <w:sz w:val="24"/>
          <w:szCs w:val="32"/>
        </w:rPr>
        <w:t xml:space="preserve"> 25% </w:t>
      </w:r>
      <w:r w:rsidRPr="00631C74">
        <w:rPr>
          <w:rFonts w:ascii="Times New Roman" w:hAnsi="Times New Roman" w:cs="Times New Roman" w:hint="eastAsia"/>
          <w:sz w:val="24"/>
          <w:szCs w:val="32"/>
        </w:rPr>
        <w:t>and</w:t>
      </w:r>
      <w:r w:rsidRPr="00631C74">
        <w:rPr>
          <w:rFonts w:ascii="Times New Roman" w:hAnsi="Times New Roman" w:cs="Times New Roman"/>
          <w:sz w:val="24"/>
          <w:szCs w:val="32"/>
        </w:rPr>
        <w:t xml:space="preserve"> 80%.</w:t>
      </w:r>
    </w:p>
    <w:p w14:paraId="7EE8A567" w14:textId="77777777" w:rsidR="005B5D0A" w:rsidRPr="00631C74" w:rsidRDefault="005B5D0A">
      <w:pPr>
        <w:rPr>
          <w:rFonts w:hint="eastAsia"/>
        </w:rPr>
      </w:pPr>
    </w:p>
    <w:sectPr w:rsidR="005B5D0A" w:rsidRPr="00631C7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6"/>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4CD"/>
    <w:rsid w:val="001F182D"/>
    <w:rsid w:val="003544CD"/>
    <w:rsid w:val="003A1D56"/>
    <w:rsid w:val="003C6430"/>
    <w:rsid w:val="00457052"/>
    <w:rsid w:val="004B3627"/>
    <w:rsid w:val="005B5D0A"/>
    <w:rsid w:val="00631C74"/>
    <w:rsid w:val="007A0C35"/>
    <w:rsid w:val="0083210E"/>
    <w:rsid w:val="00AA3033"/>
    <w:rsid w:val="00B305C3"/>
    <w:rsid w:val="00E06E43"/>
    <w:rsid w:val="00EC0D48"/>
    <w:rsid w:val="00FC23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65F7F1EB"/>
  <w15:chartTrackingRefBased/>
  <w15:docId w15:val="{8B6AFEA0-8FFE-2F4E-BBF0-C7B487E69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201</Words>
  <Characters>1150</Characters>
  <Application>Microsoft Office Word</Application>
  <DocSecurity>0</DocSecurity>
  <Lines>9</Lines>
  <Paragraphs>2</Paragraphs>
  <ScaleCrop>false</ScaleCrop>
  <Company/>
  <LinksUpToDate>false</LinksUpToDate>
  <CharactersWithSpaces>1349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曹 斌</dc:creator>
  <cp:keywords/>
  <dc:description/>
  <cp:lastModifiedBy>曹 斌</cp:lastModifiedBy>
  <cp:revision>2</cp:revision>
  <dcterms:created xsi:type="dcterms:W3CDTF">2023-01-02T15:19:00Z</dcterms:created>
  <dcterms:modified xsi:type="dcterms:W3CDTF">2023-01-02T15:30:00Z</dcterms:modified>
</cp:coreProperties>
</file>