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21" w:rsidRPr="00C87508" w:rsidRDefault="00771F21" w:rsidP="00C87508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C87508">
        <w:rPr>
          <w:rFonts w:asciiTheme="majorBidi" w:hAnsiTheme="majorBidi" w:cstheme="majorBidi"/>
          <w:b/>
          <w:bCs/>
          <w:color w:val="000000" w:themeColor="text1"/>
        </w:rPr>
        <w:t xml:space="preserve">Supplementary Figure 1: </w:t>
      </w:r>
      <w:r w:rsidRPr="00C87508">
        <w:rPr>
          <w:rFonts w:asciiTheme="majorBidi" w:hAnsiTheme="majorBidi" w:cstheme="majorBidi"/>
          <w:color w:val="000000" w:themeColor="text1"/>
        </w:rPr>
        <w:t>The Distribution of Lp(a) levels in 268 subjects. The 43</w:t>
      </w:r>
      <w:r w:rsidRPr="00C87508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C87508">
        <w:rPr>
          <w:rFonts w:asciiTheme="majorBidi" w:hAnsiTheme="majorBidi" w:cstheme="majorBidi"/>
          <w:color w:val="000000" w:themeColor="text1"/>
        </w:rPr>
        <w:t>, 50</w:t>
      </w:r>
      <w:r w:rsidRPr="00C87508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C87508">
        <w:rPr>
          <w:rFonts w:asciiTheme="majorBidi" w:hAnsiTheme="majorBidi" w:cstheme="majorBidi"/>
          <w:color w:val="000000" w:themeColor="text1"/>
        </w:rPr>
        <w:t xml:space="preserve"> (median), 67</w:t>
      </w:r>
      <w:r w:rsidRPr="00C87508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C87508">
        <w:rPr>
          <w:rFonts w:asciiTheme="majorBidi" w:hAnsiTheme="majorBidi" w:cstheme="majorBidi"/>
          <w:color w:val="000000" w:themeColor="text1"/>
        </w:rPr>
        <w:t xml:space="preserve"> and 80</w:t>
      </w:r>
      <w:r w:rsidRPr="00C87508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C87508">
        <w:rPr>
          <w:rFonts w:asciiTheme="majorBidi" w:hAnsiTheme="majorBidi" w:cstheme="majorBidi"/>
          <w:color w:val="000000" w:themeColor="text1"/>
        </w:rPr>
        <w:t xml:space="preserve"> percentiles are marked separately.</w:t>
      </w:r>
    </w:p>
    <w:p w:rsidR="00771F21" w:rsidRPr="00C87508" w:rsidRDefault="00771F21" w:rsidP="00771F21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C87508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inline distT="0" distB="0" distL="0" distR="0" wp14:anchorId="675FB105" wp14:editId="5D170B12">
            <wp:extent cx="5036820" cy="3597871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307" cy="3610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Default="00771F21" w:rsidP="00771F21">
      <w:pPr>
        <w:rPr>
          <w:rFonts w:asciiTheme="majorBidi" w:hAnsiTheme="majorBidi" w:cstheme="majorBidi"/>
          <w:b/>
          <w:bCs/>
        </w:rPr>
      </w:pPr>
    </w:p>
    <w:p w:rsidR="00C87508" w:rsidRDefault="00C87508" w:rsidP="00771F21">
      <w:pPr>
        <w:rPr>
          <w:rFonts w:asciiTheme="majorBidi" w:hAnsiTheme="majorBidi" w:cstheme="majorBidi"/>
          <w:b/>
          <w:bCs/>
        </w:rPr>
      </w:pPr>
    </w:p>
    <w:p w:rsidR="00C87508" w:rsidRDefault="00C87508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b/>
          <w:bCs/>
        </w:rPr>
      </w:pPr>
    </w:p>
    <w:p w:rsidR="00771F21" w:rsidRPr="00C87508" w:rsidRDefault="00771F21" w:rsidP="00C87508">
      <w:pPr>
        <w:spacing w:line="276" w:lineRule="auto"/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b/>
          <w:bCs/>
        </w:rPr>
        <w:lastRenderedPageBreak/>
        <w:t xml:space="preserve">Supplementary Figure 2: (a) </w:t>
      </w:r>
      <w:r w:rsidRPr="00C87508">
        <w:rPr>
          <w:rFonts w:asciiTheme="majorBidi" w:hAnsiTheme="majorBidi" w:cstheme="majorBidi"/>
        </w:rPr>
        <w:t>Correlation plot between Lp(a) and HDL-cholesterol</w:t>
      </w:r>
      <w:r w:rsidRPr="00C87508">
        <w:rPr>
          <w:rFonts w:asciiTheme="majorBidi" w:hAnsiTheme="majorBidi" w:cstheme="majorBidi"/>
          <w:b/>
          <w:bCs/>
        </w:rPr>
        <w:t xml:space="preserve">; (b) </w:t>
      </w:r>
      <w:r w:rsidRPr="00C87508">
        <w:rPr>
          <w:rFonts w:asciiTheme="majorBidi" w:hAnsiTheme="majorBidi" w:cstheme="majorBidi"/>
        </w:rPr>
        <w:t xml:space="preserve">Scatter plots representing the relationship between HDL-cholesterol and Lp(a) among CAD cases and controls using Lp(a) 30 mg/dL </w:t>
      </w:r>
      <w:r w:rsidRPr="00C87508">
        <w:rPr>
          <w:rFonts w:asciiTheme="majorBidi" w:hAnsiTheme="majorBidi" w:cstheme="majorBidi"/>
          <w:b/>
          <w:bCs/>
        </w:rPr>
        <w:t xml:space="preserve">(d) </w:t>
      </w:r>
      <w:r w:rsidRPr="00C87508">
        <w:rPr>
          <w:rFonts w:asciiTheme="majorBidi" w:hAnsiTheme="majorBidi" w:cstheme="majorBidi"/>
        </w:rPr>
        <w:t>Histograms showing the number of cases (subjects with &gt; 50% stenosis) and controls (subjects with ≤ 50% stenosis) with high HDL (≥35 mg/dL) differentiated by Lp(a) levels (≥30 mg/dL vs ≤30 mg/dL). P-value=0.007 using Chi-squared test.</w:t>
      </w: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58108DD9" wp14:editId="0E1EB5A5">
            <wp:extent cx="6219487" cy="3361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19" cy="336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F21" w:rsidRPr="00C87508" w:rsidRDefault="00771F21" w:rsidP="00771F21">
      <w:pPr>
        <w:pStyle w:val="Default"/>
        <w:rPr>
          <w:rFonts w:asciiTheme="majorBidi" w:hAnsiTheme="majorBidi" w:cstheme="majorBidi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sz w:val="18"/>
          <w:szCs w:val="18"/>
        </w:rPr>
        <w:t>(a) The correlation between HDL-cholesterol and Lp(a) was calculated with Pearson method. r= 0.18 and P-value= 0.004. (b) X-intercept was set at 35 (HDL-cholesterol 35 mg/dL), Y-intercept was set at 30 (Lp(a) 30 mg/dL). (c) P-value=0.007 was calculated using Chi-squared test.</w:t>
      </w: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71F21" w:rsidRPr="005A17BE" w:rsidRDefault="00771F21" w:rsidP="005A17BE">
      <w:pPr>
        <w:spacing w:line="276" w:lineRule="auto"/>
        <w:rPr>
          <w:rFonts w:asciiTheme="majorBidi" w:hAnsiTheme="majorBidi" w:cstheme="majorBidi"/>
        </w:rPr>
      </w:pPr>
      <w:r w:rsidRPr="005A17BE">
        <w:rPr>
          <w:rFonts w:asciiTheme="majorBidi" w:hAnsiTheme="majorBidi" w:cstheme="majorBidi"/>
          <w:b/>
          <w:bCs/>
        </w:rPr>
        <w:lastRenderedPageBreak/>
        <w:t>Supplementary Figure 3</w:t>
      </w:r>
      <w:r w:rsidRPr="005A17BE">
        <w:rPr>
          <w:rFonts w:asciiTheme="majorBidi" w:hAnsiTheme="majorBidi" w:cstheme="majorBidi"/>
        </w:rPr>
        <w:t xml:space="preserve">: </w:t>
      </w:r>
      <w:r w:rsidR="00CB709D" w:rsidRPr="005A17BE">
        <w:rPr>
          <w:rFonts w:asciiTheme="majorBidi" w:hAnsiTheme="majorBidi" w:cstheme="majorBidi"/>
        </w:rPr>
        <w:t>Binomial</w:t>
      </w:r>
      <w:r w:rsidRPr="005A17BE">
        <w:rPr>
          <w:rFonts w:asciiTheme="majorBidi" w:hAnsiTheme="majorBidi" w:cstheme="majorBidi"/>
        </w:rPr>
        <w:t xml:space="preserve"> Logistic Regression with CAD (&gt;50% stenosis) as an outcome and</w:t>
      </w:r>
      <w:r w:rsidRPr="005A17BE">
        <w:rPr>
          <w:rFonts w:asciiTheme="majorBidi" w:hAnsiTheme="majorBidi" w:cstheme="majorBidi"/>
          <w:b/>
          <w:bCs/>
        </w:rPr>
        <w:t xml:space="preserve"> </w:t>
      </w:r>
      <w:r w:rsidR="00F46F59" w:rsidRPr="005A17BE">
        <w:rPr>
          <w:rFonts w:asciiTheme="majorBidi" w:hAnsiTheme="majorBidi" w:cstheme="majorBidi"/>
          <w:b/>
          <w:bCs/>
        </w:rPr>
        <w:t>(a)</w:t>
      </w:r>
      <w:r w:rsidR="00F46F59" w:rsidRPr="005A17BE">
        <w:rPr>
          <w:rFonts w:asciiTheme="majorBidi" w:hAnsiTheme="majorBidi" w:cstheme="majorBidi"/>
        </w:rPr>
        <w:t xml:space="preserve"> High Lp(a) (Lp(a)≥30mg/dL) </w:t>
      </w:r>
      <w:r w:rsidRPr="005A17BE">
        <w:rPr>
          <w:rFonts w:asciiTheme="majorBidi" w:hAnsiTheme="majorBidi" w:cstheme="majorBidi"/>
          <w:b/>
          <w:bCs/>
        </w:rPr>
        <w:t>(</w:t>
      </w:r>
      <w:r w:rsidR="00F46F59" w:rsidRPr="005A17BE">
        <w:rPr>
          <w:rFonts w:asciiTheme="majorBidi" w:hAnsiTheme="majorBidi" w:cstheme="majorBidi"/>
          <w:b/>
          <w:bCs/>
        </w:rPr>
        <w:t>b</w:t>
      </w:r>
      <w:r w:rsidRPr="005A17BE">
        <w:rPr>
          <w:rFonts w:asciiTheme="majorBidi" w:hAnsiTheme="majorBidi" w:cstheme="majorBidi"/>
          <w:b/>
          <w:bCs/>
        </w:rPr>
        <w:t>)</w:t>
      </w:r>
      <w:r w:rsidRPr="005A17BE">
        <w:rPr>
          <w:rFonts w:asciiTheme="majorBidi" w:hAnsiTheme="majorBidi" w:cstheme="majorBidi"/>
        </w:rPr>
        <w:t xml:space="preserve"> High Lp(a) (Lp(a)≥50mg/dL) and </w:t>
      </w:r>
      <w:r w:rsidRPr="005A17BE">
        <w:rPr>
          <w:rFonts w:asciiTheme="majorBidi" w:hAnsiTheme="majorBidi" w:cstheme="majorBidi"/>
          <w:b/>
          <w:bCs/>
        </w:rPr>
        <w:t>(</w:t>
      </w:r>
      <w:r w:rsidR="00F46F59" w:rsidRPr="005A17BE">
        <w:rPr>
          <w:rFonts w:asciiTheme="majorBidi" w:hAnsiTheme="majorBidi" w:cstheme="majorBidi"/>
          <w:b/>
          <w:bCs/>
        </w:rPr>
        <w:t>c</w:t>
      </w:r>
      <w:r w:rsidRPr="005A17BE">
        <w:rPr>
          <w:rFonts w:asciiTheme="majorBidi" w:hAnsiTheme="majorBidi" w:cstheme="majorBidi"/>
          <w:b/>
          <w:bCs/>
        </w:rPr>
        <w:t>)</w:t>
      </w:r>
      <w:r w:rsidRPr="005A17BE">
        <w:rPr>
          <w:rFonts w:asciiTheme="majorBidi" w:hAnsiTheme="majorBidi" w:cstheme="majorBidi"/>
        </w:rPr>
        <w:t xml:space="preserve"> High Lp(a) (Lp(a)≥80</w:t>
      </w:r>
      <w:r w:rsidRPr="005A17BE">
        <w:rPr>
          <w:rFonts w:asciiTheme="majorBidi" w:hAnsiTheme="majorBidi" w:cstheme="majorBidi"/>
          <w:vertAlign w:val="superscript"/>
        </w:rPr>
        <w:t>th</w:t>
      </w:r>
      <w:r w:rsidRPr="005A17BE">
        <w:rPr>
          <w:rFonts w:asciiTheme="majorBidi" w:hAnsiTheme="majorBidi" w:cstheme="majorBidi"/>
        </w:rPr>
        <w:t xml:space="preserve"> percentile) as predictor stratified by obesity, age, gender, LDL with a cut-off 100 mg/dL and HDL with a cut-off 35 mg/dL.</w:t>
      </w:r>
    </w:p>
    <w:p w:rsidR="009D48E3" w:rsidRPr="00C87508" w:rsidRDefault="009D48E3" w:rsidP="005C6BC4">
      <w:pPr>
        <w:spacing w:after="0"/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179DE97E">
            <wp:extent cx="3537046" cy="35337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046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F21" w:rsidRPr="00C87508" w:rsidRDefault="009D48E3" w:rsidP="005C6BC4">
      <w:pPr>
        <w:spacing w:after="0"/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517C4DD3">
            <wp:extent cx="3534410" cy="341343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4"/>
                    <a:stretch/>
                  </pic:blipFill>
                  <pic:spPr bwMode="auto">
                    <a:xfrm>
                      <a:off x="0" y="0"/>
                      <a:ext cx="3534750" cy="341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F21" w:rsidRPr="00C87508" w:rsidRDefault="009D48E3" w:rsidP="00771F21">
      <w:pPr>
        <w:rPr>
          <w:rFonts w:asciiTheme="majorBidi" w:hAnsiTheme="majorBidi" w:cstheme="majorBidi"/>
          <w:color w:val="000000"/>
          <w:sz w:val="18"/>
          <w:szCs w:val="18"/>
        </w:rPr>
      </w:pPr>
      <w:r w:rsidRPr="00C87508">
        <w:rPr>
          <w:rFonts w:asciiTheme="majorBidi" w:hAnsiTheme="majorBidi" w:cstheme="majorBidi"/>
          <w:noProof/>
          <w:color w:val="000000"/>
          <w:sz w:val="18"/>
          <w:szCs w:val="18"/>
        </w:rPr>
        <w:lastRenderedPageBreak/>
        <w:drawing>
          <wp:inline distT="0" distB="0" distL="0" distR="0" wp14:anchorId="5D41F695">
            <wp:extent cx="3755571" cy="375171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189" cy="376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F21" w:rsidRPr="005A17BE" w:rsidRDefault="009936F1" w:rsidP="009D48E3">
      <w:pPr>
        <w:rPr>
          <w:rFonts w:asciiTheme="majorBidi" w:hAnsiTheme="majorBidi" w:cstheme="majorBidi"/>
          <w:sz w:val="18"/>
          <w:szCs w:val="18"/>
        </w:rPr>
      </w:pPr>
      <w:r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CAD: Coronary artery disease. Lp(a): lipoprotein (a). </w:t>
      </w:r>
      <w:r w:rsidR="009D48E3"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**: </w:t>
      </w:r>
      <w:r w:rsidR="00771F21"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adjusted for age and sex. </w:t>
      </w:r>
      <w:r w:rsidR="009D48E3"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*: </w:t>
      </w:r>
      <w:r w:rsidR="00771F21"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adjusted for age. </w:t>
      </w:r>
      <w:r w:rsidR="009D48E3" w:rsidRPr="005A17BE">
        <w:rPr>
          <w:rFonts w:asciiTheme="majorBidi" w:hAnsiTheme="majorBidi" w:cstheme="majorBidi"/>
          <w:sz w:val="18"/>
          <w:szCs w:val="18"/>
        </w:rPr>
        <w:t>§</w:t>
      </w:r>
      <w:r w:rsidR="00771F21" w:rsidRPr="005A17BE">
        <w:rPr>
          <w:rFonts w:asciiTheme="majorBidi" w:hAnsiTheme="majorBidi" w:cstheme="majorBidi"/>
          <w:color w:val="000000"/>
          <w:sz w:val="18"/>
          <w:szCs w:val="18"/>
        </w:rPr>
        <w:t xml:space="preserve">: adjusted for sex. CI: Confidence Interval. </w:t>
      </w: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F46F59" w:rsidRPr="00C87508" w:rsidRDefault="00F46F59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771F21" w:rsidRPr="00C87508" w:rsidRDefault="00771F21" w:rsidP="00771F21">
      <w:pPr>
        <w:spacing w:line="240" w:lineRule="auto"/>
        <w:jc w:val="both"/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b/>
          <w:bCs/>
        </w:rPr>
        <w:lastRenderedPageBreak/>
        <w:t>Supplementary Figure 4:</w:t>
      </w:r>
      <w:r w:rsidRPr="00C87508">
        <w:rPr>
          <w:rFonts w:asciiTheme="majorBidi" w:hAnsiTheme="majorBidi" w:cstheme="majorBidi"/>
        </w:rPr>
        <w:t xml:space="preserve"> Lp(a) levels according to stenosis in the four major coronary arteries.</w:t>
      </w:r>
    </w:p>
    <w:p w:rsidR="00771F21" w:rsidRPr="00C87508" w:rsidRDefault="00771F21" w:rsidP="00771F21">
      <w:pPr>
        <w:jc w:val="center"/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noProof/>
        </w:rPr>
        <w:drawing>
          <wp:inline distT="0" distB="0" distL="0" distR="0" wp14:anchorId="49C139D1" wp14:editId="14D3D5D4">
            <wp:extent cx="4722502" cy="3154680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178" cy="317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sz w:val="18"/>
          <w:szCs w:val="18"/>
        </w:rPr>
        <w:t xml:space="preserve">The boxplots show the median (horizontal line in the box) and the mean (red diamond) of the data. P-values were calculated using Two Sample t-test. Controls: subjects with no stenosis or stenosis ≤50%. Cases: patients with &gt;50% stenosis. ** P-value&lt;0.001, *** P-value&lt;0.0001.  </w:t>
      </w:r>
    </w:p>
    <w:p w:rsidR="00771F21" w:rsidRPr="00C87508" w:rsidRDefault="00771F21" w:rsidP="00771F21">
      <w:pPr>
        <w:rPr>
          <w:rFonts w:asciiTheme="majorBidi" w:hAnsiTheme="majorBidi" w:cstheme="majorBidi"/>
          <w:sz w:val="18"/>
          <w:szCs w:val="18"/>
        </w:rPr>
      </w:pPr>
    </w:p>
    <w:p w:rsidR="009936F1" w:rsidRPr="00C87508" w:rsidRDefault="009936F1" w:rsidP="00771F21">
      <w:pPr>
        <w:rPr>
          <w:rFonts w:asciiTheme="majorBidi" w:hAnsiTheme="majorBidi" w:cstheme="majorBidi"/>
          <w:sz w:val="18"/>
          <w:szCs w:val="18"/>
        </w:rPr>
      </w:pPr>
    </w:p>
    <w:p w:rsidR="009936F1" w:rsidRPr="00C87508" w:rsidRDefault="009936F1" w:rsidP="00771F21">
      <w:pPr>
        <w:rPr>
          <w:rFonts w:asciiTheme="majorBidi" w:hAnsiTheme="majorBidi" w:cstheme="majorBidi"/>
          <w:sz w:val="18"/>
          <w:szCs w:val="18"/>
        </w:rPr>
      </w:pPr>
    </w:p>
    <w:p w:rsidR="009936F1" w:rsidRPr="00C87508" w:rsidRDefault="009936F1" w:rsidP="00771F21">
      <w:pPr>
        <w:rPr>
          <w:rFonts w:asciiTheme="majorBidi" w:hAnsiTheme="majorBidi" w:cstheme="majorBidi"/>
          <w:sz w:val="18"/>
          <w:szCs w:val="18"/>
        </w:rPr>
      </w:pPr>
    </w:p>
    <w:p w:rsidR="009936F1" w:rsidRPr="00C87508" w:rsidRDefault="009936F1" w:rsidP="00771F21">
      <w:pPr>
        <w:rPr>
          <w:rFonts w:asciiTheme="majorBidi" w:hAnsiTheme="majorBidi" w:cstheme="majorBidi"/>
          <w:sz w:val="18"/>
          <w:szCs w:val="18"/>
        </w:rPr>
      </w:pPr>
    </w:p>
    <w:p w:rsidR="00771F21" w:rsidRPr="00C87508" w:rsidRDefault="00771F21" w:rsidP="00771F21">
      <w:pPr>
        <w:rPr>
          <w:rFonts w:asciiTheme="majorBidi" w:hAnsiTheme="majorBidi" w:cstheme="majorBidi"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303F67" w:rsidRDefault="00303F67" w:rsidP="005A17BE">
      <w:pPr>
        <w:spacing w:line="276" w:lineRule="auto"/>
        <w:rPr>
          <w:rFonts w:asciiTheme="majorBidi" w:hAnsiTheme="majorBidi" w:cstheme="majorBidi"/>
          <w:b/>
          <w:bCs/>
        </w:rPr>
      </w:pPr>
    </w:p>
    <w:p w:rsidR="00771F21" w:rsidRPr="00C87508" w:rsidRDefault="00771F21" w:rsidP="005A17BE">
      <w:pPr>
        <w:spacing w:line="276" w:lineRule="auto"/>
        <w:rPr>
          <w:rFonts w:asciiTheme="majorBidi" w:hAnsiTheme="majorBidi" w:cstheme="majorBidi"/>
          <w:color w:val="000000" w:themeColor="text1"/>
        </w:rPr>
      </w:pPr>
      <w:r w:rsidRPr="00C87508">
        <w:rPr>
          <w:rFonts w:asciiTheme="majorBidi" w:hAnsiTheme="majorBidi" w:cstheme="majorBidi"/>
          <w:b/>
          <w:bCs/>
        </w:rPr>
        <w:lastRenderedPageBreak/>
        <w:t xml:space="preserve">Supplementary figure 5: </w:t>
      </w:r>
      <w:r w:rsidRPr="00C87508">
        <w:rPr>
          <w:rFonts w:asciiTheme="majorBidi" w:hAnsiTheme="majorBidi" w:cstheme="majorBidi"/>
          <w:color w:val="000000" w:themeColor="text1"/>
        </w:rPr>
        <w:t>Lowess spline curve for the relationship between CAD category (number of vessels with &gt;50% stenosis) and Lp(a) levels.</w:t>
      </w:r>
    </w:p>
    <w:p w:rsidR="00771F21" w:rsidRPr="00C87508" w:rsidRDefault="00771F21" w:rsidP="00771F21">
      <w:pPr>
        <w:jc w:val="center"/>
        <w:rPr>
          <w:rFonts w:asciiTheme="majorBidi" w:hAnsiTheme="majorBidi" w:cstheme="majorBidi"/>
          <w:b/>
          <w:bCs/>
        </w:rPr>
      </w:pPr>
      <w:r w:rsidRPr="00C87508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DBEE3C2" wp14:editId="3F3456BA">
            <wp:extent cx="2982438" cy="2197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32" cy="220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03F67" w:rsidRDefault="00303F67" w:rsidP="00657507">
      <w:pPr>
        <w:rPr>
          <w:rFonts w:asciiTheme="majorBidi" w:hAnsiTheme="majorBidi" w:cstheme="majorBidi"/>
          <w:b/>
          <w:bCs/>
        </w:rPr>
      </w:pPr>
    </w:p>
    <w:p w:rsidR="00373A60" w:rsidRPr="00C87508" w:rsidRDefault="00373A60" w:rsidP="00657507">
      <w:pPr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b/>
          <w:bCs/>
        </w:rPr>
        <w:lastRenderedPageBreak/>
        <w:t>Supplementary Table 1</w:t>
      </w:r>
      <w:r w:rsidRPr="00C87508">
        <w:rPr>
          <w:rFonts w:asciiTheme="majorBidi" w:hAnsiTheme="majorBidi" w:cstheme="majorBidi"/>
        </w:rPr>
        <w:t xml:space="preserve">. </w:t>
      </w:r>
      <w:r w:rsidR="00657507" w:rsidRPr="00C87508">
        <w:rPr>
          <w:rFonts w:asciiTheme="majorBidi" w:hAnsiTheme="majorBidi" w:cstheme="majorBidi"/>
        </w:rPr>
        <w:t>CAD</w:t>
      </w:r>
      <w:r w:rsidRPr="00C87508">
        <w:rPr>
          <w:rFonts w:asciiTheme="majorBidi" w:hAnsiTheme="majorBidi" w:cstheme="majorBidi"/>
        </w:rPr>
        <w:t xml:space="preserve"> risk factors according to Lp(a) categories. </w:t>
      </w: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PlainTable4"/>
        <w:tblW w:w="11428" w:type="dxa"/>
        <w:tblInd w:w="-900" w:type="dxa"/>
        <w:tblLook w:val="04A0" w:firstRow="1" w:lastRow="0" w:firstColumn="1" w:lastColumn="0" w:noHBand="0" w:noVBand="1"/>
      </w:tblPr>
      <w:tblGrid>
        <w:gridCol w:w="1710"/>
        <w:gridCol w:w="1268"/>
        <w:gridCol w:w="1350"/>
        <w:gridCol w:w="718"/>
        <w:gridCol w:w="1341"/>
        <w:gridCol w:w="1173"/>
        <w:gridCol w:w="718"/>
        <w:gridCol w:w="1262"/>
        <w:gridCol w:w="1170"/>
        <w:gridCol w:w="718"/>
      </w:tblGrid>
      <w:tr w:rsidR="00373A60" w:rsidRPr="00C87508" w:rsidTr="00E36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Lp(a)&lt;30 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Lp(a)≥30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Lp(a)&lt;50  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Lp(a)≥50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Lp(a)&lt;80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th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percentile 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Lp(a)≥ 80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th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percentile 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P</w:t>
            </w:r>
          </w:p>
        </w:tc>
      </w:tr>
      <w:tr w:rsidR="00373A60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N= 116 (43%)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N= 152 (57%)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N= 180 (67%)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N= 88 (33%) 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N= 214 (80%)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N= 54 (20%) 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73A60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CAD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50 (43.1%)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38 (25.0%)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3A60" w:rsidRPr="005C6BC4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5C6BC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64 (35.6%)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24 (27.3%)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73 (34.1%)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15 (27.8%)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0.37</w:t>
            </w:r>
          </w:p>
        </w:tc>
      </w:tr>
      <w:tr w:rsidR="00373A60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CAD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66 (56.9%)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114 (75.0%)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A60" w:rsidRPr="005C6BC4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116 (64.4%)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64 (72.7%)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141 (65.9%)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39 (72.2%)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802DC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F802DC" w:rsidRPr="00C87508" w:rsidRDefault="00F802DC" w:rsidP="00695AB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CAD category 0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 (43.1%)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 (25.0%)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02DC" w:rsidRPr="005C6BC4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5C6BC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 (35.6%)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(27.3%)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0.292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 (34.1%)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 (27.8%)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0.13</w:t>
            </w:r>
          </w:p>
        </w:tc>
      </w:tr>
      <w:tr w:rsidR="00F802DC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:rsidR="00F802DC" w:rsidRPr="00C87508" w:rsidRDefault="00F802DC" w:rsidP="00695AB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                  1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(28.4%)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(24.3%)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(27.2%)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(23.9%)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 (26.6%)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 (24.1%)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802DC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:rsidR="00F802DC" w:rsidRPr="00C87508" w:rsidRDefault="00F802DC" w:rsidP="00695AB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                  2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 (12.1%)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 (25.0%)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(18.3%)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(21.6%)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(20.6%)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(14.8%)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802DC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F802DC" w:rsidRPr="00C87508" w:rsidRDefault="00F802DC" w:rsidP="00F802D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                </w:t>
            </w:r>
            <w:r w:rsidR="00E74AD7"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3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(16.4%)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 (25.7%)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(18.9%)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(27.3%)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(18.7%)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(33.3%)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</w:tcPr>
          <w:p w:rsidR="00F802DC" w:rsidRPr="00C87508" w:rsidRDefault="00F802DC" w:rsidP="00F8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Age &lt;65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70 (60.3%)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97 (63.8%)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0.561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112 (62.2%)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55 (62.5%)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0.965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136 (63.6%)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31 (57.4%)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0.405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Age ≥65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46 (39.7%)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55 (36.2%)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68 (37.8%)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33 (37.5%)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78 (36.4%)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23 (42.6%)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31 (26.7%)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47 (30.9%)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0.454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54 (30.0%)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24 (27.3%)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0.644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66 (30.8%)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12 (22.2%)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0.213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85 (73.3%)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105 (69.1%)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126 (70.0%)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64 (72.7%)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148 (69.2%)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42 (77.8%)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diabetes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91 (78.4%)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102 (67.1%)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131 (72.8%)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62 (70.5%)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155 (72.4%)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38 (70.4%)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0.763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Diabetes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25 (21.6%)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50 (32.9%)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49 (27.2%)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26 (29.5%)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59 (27.6%)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16 (29.6%)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hypertension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65 (56.0%)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69 (45.4%)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0.084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94 (52.2%)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40 (45.5%)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0.298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110 (51.4%)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24 (44.4%)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0.361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Hypertension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51 (44.0%)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83 (54.6%)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86 (47.8%)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48 (54.5%)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104 (48.6%)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30 (55.6%)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Obesity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67 (58.8%)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96 (65.3%)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108 (60.7%)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55 (66.3%)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0.385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130 (61.9%)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33 (64.7%)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0.711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  <w:hideMark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Obesity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47 (41.2%)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51 (34.7%)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70 (39.3%)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28 (33.7%)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80 (38.1%)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18 (35.3%)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Low LDL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32 (27.8%)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40 (26.3%)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50 (27.9%)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22 (25.0%)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56 (26.3%)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16 (29.6%)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High LDL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83 (72.2%)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112 (73.7%)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129 (72.1%)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66 (75.0%)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157 (73.7%)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38 (70.4%)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Low HDL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24 (20.7%)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30 (19.7%)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39 (21.7%)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15 (17.0%)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45 (21.0%)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 (16.7%)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0.475</w:t>
            </w:r>
          </w:p>
        </w:tc>
      </w:tr>
      <w:tr w:rsidR="00B86CC3" w:rsidRPr="00C87508" w:rsidTr="00E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High HDL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92 (79.3%)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122 (80.3%)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141 (78.3%)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73 (83.0%)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169 (79.0%)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45 (83.3%)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Fx CAD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24 (20.9%)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18 (11.9%)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32 (17.9%)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 (11.5%)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35 (16.4%)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 (13.2%)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0.565</w:t>
            </w:r>
          </w:p>
        </w:tc>
      </w:tr>
      <w:tr w:rsidR="005C6BC4" w:rsidRPr="00C87508" w:rsidTr="005C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Fx CAD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91 (79.1%)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133 (88.1%)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147 (82.1%)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77 (88.5%)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178 (83.6%)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46 (86.8%)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6CC3" w:rsidRPr="00C87508" w:rsidTr="00E360B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No smoking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25 (21.6%)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49 (32.2%)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0.053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40 (22.2%)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34 (38.6%)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56 (26.2%)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18 (33.3%)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0.293</w:t>
            </w:r>
          </w:p>
        </w:tc>
      </w:tr>
      <w:tr w:rsidR="005C6BC4" w:rsidRPr="00C87508" w:rsidTr="005C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373A60" w:rsidRPr="00C87508" w:rsidRDefault="00373A60" w:rsidP="00B37EF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Smoking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91 (78.4%)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103 (67.8%)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140 (77.8%)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54 (61.4%)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158 (73.8%)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36 (66.7%)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73A60" w:rsidRPr="00C87508" w:rsidRDefault="00373A60" w:rsidP="00B3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57D5" w:rsidRPr="00C87508" w:rsidTr="005C6BC4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  <w:noWrap/>
          </w:tcPr>
          <w:p w:rsidR="002857D5" w:rsidRPr="00C87508" w:rsidRDefault="00C27D1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  <w:r w:rsidR="002857D5"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>tatin</w:t>
            </w: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    </w:t>
            </w:r>
            <w:r w:rsidR="002857D5"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No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 (74.5%)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 (66.2%)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0.165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 (73.0%)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 (63.4%)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 (73.2%)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(56.9%)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857D5" w:rsidRPr="005C6BC4" w:rsidRDefault="002857D5" w:rsidP="00285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0.025</w:t>
            </w:r>
          </w:p>
        </w:tc>
      </w:tr>
      <w:tr w:rsidR="005C6BC4" w:rsidRPr="00C87508" w:rsidTr="005C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  <w:noWrap/>
          </w:tcPr>
          <w:p w:rsidR="002857D5" w:rsidRPr="00C87508" w:rsidRDefault="002857D5" w:rsidP="002857D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8750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            Yes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 (25.5%)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(33.8%)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(27.0%)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(36.6%)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 (26.8%)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6B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(43.1%)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57D5" w:rsidRPr="00C87508" w:rsidRDefault="002857D5" w:rsidP="00285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73A60" w:rsidRPr="00C87508" w:rsidRDefault="00373A60" w:rsidP="00373A60">
      <w:pPr>
        <w:rPr>
          <w:rFonts w:asciiTheme="majorBidi" w:hAnsiTheme="majorBidi" w:cstheme="majorBidi"/>
        </w:rPr>
      </w:pPr>
    </w:p>
    <w:p w:rsidR="00373A60" w:rsidRPr="00C87508" w:rsidRDefault="00373A60" w:rsidP="00E16EA5">
      <w:pPr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sz w:val="18"/>
          <w:szCs w:val="18"/>
        </w:rPr>
        <w:t xml:space="preserve">CAD: patients with &gt; 50% stenosis. </w:t>
      </w:r>
      <w:r w:rsidR="00E16EA5">
        <w:rPr>
          <w:rFonts w:asciiTheme="majorBidi" w:hAnsiTheme="majorBidi" w:cstheme="majorBidi"/>
          <w:sz w:val="18"/>
          <w:szCs w:val="18"/>
        </w:rPr>
        <w:t xml:space="preserve">CAD category 0: patients </w:t>
      </w:r>
      <w:bookmarkStart w:id="0" w:name="_GoBack"/>
      <w:bookmarkEnd w:id="0"/>
      <w:r w:rsidR="00E16EA5" w:rsidRPr="00E16EA5">
        <w:rPr>
          <w:rFonts w:asciiTheme="majorBidi" w:hAnsiTheme="majorBidi" w:cstheme="majorBidi"/>
          <w:sz w:val="18"/>
          <w:szCs w:val="18"/>
        </w:rPr>
        <w:t>with ≤50% stenosis</w:t>
      </w:r>
      <w:r w:rsidR="00882655" w:rsidRPr="00C87508">
        <w:rPr>
          <w:rFonts w:asciiTheme="majorBidi" w:hAnsiTheme="majorBidi" w:cstheme="majorBidi"/>
          <w:sz w:val="18"/>
          <w:szCs w:val="18"/>
        </w:rPr>
        <w:t xml:space="preserve">. </w:t>
      </w:r>
      <w:r w:rsidR="00DB7847" w:rsidRPr="00C87508">
        <w:rPr>
          <w:rFonts w:asciiTheme="majorBidi" w:hAnsiTheme="majorBidi" w:cstheme="majorBidi"/>
          <w:sz w:val="18"/>
          <w:szCs w:val="18"/>
        </w:rPr>
        <w:t xml:space="preserve">CAD category 1: patients with &gt;50% stenosis in one vessel; CAD category 2: patients with &gt;50% stenosis in 2 vessels; and CAD category 3: patients with &gt;50% stenosis in 3 or 4. </w:t>
      </w:r>
      <w:r w:rsidRPr="00C87508">
        <w:rPr>
          <w:rFonts w:asciiTheme="majorBidi" w:hAnsiTheme="majorBidi" w:cstheme="majorBidi"/>
          <w:sz w:val="18"/>
          <w:szCs w:val="18"/>
        </w:rPr>
        <w:t>Obesity:  BMI ≥30 Kg/m</w:t>
      </w:r>
      <w:r w:rsidRPr="00C87508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Pr="00C87508">
        <w:rPr>
          <w:rFonts w:asciiTheme="majorBidi" w:hAnsiTheme="majorBidi" w:cstheme="majorBidi"/>
          <w:sz w:val="18"/>
          <w:szCs w:val="18"/>
        </w:rPr>
        <w:t xml:space="preserve">. High HDL: HDL ≥ 35 mg/dL. Low HDL: HDL&lt;35 mg/dL. High LDL: LDL ≥ 100 mg/dL. Low LDL: LDL&lt;100 mg/dL. Data are number of individuals and percentages. P: P-value generated with </w:t>
      </w:r>
      <w:r w:rsidR="00C27D1B" w:rsidRPr="00C87508">
        <w:rPr>
          <w:rFonts w:asciiTheme="majorBidi" w:hAnsiTheme="majorBidi" w:cstheme="majorBidi"/>
          <w:sz w:val="18"/>
          <w:szCs w:val="18"/>
        </w:rPr>
        <w:t>X</w:t>
      </w:r>
      <w:r w:rsidR="00C27D1B" w:rsidRPr="00C87508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Pr="00C87508">
        <w:rPr>
          <w:rFonts w:asciiTheme="majorBidi" w:hAnsiTheme="majorBidi" w:cstheme="majorBidi"/>
          <w:sz w:val="18"/>
          <w:szCs w:val="18"/>
        </w:rPr>
        <w:t xml:space="preserve"> test. P-value is significant if P-value &lt; 0.05.</w:t>
      </w: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5A17BE">
      <w:pPr>
        <w:spacing w:line="276" w:lineRule="auto"/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b/>
          <w:bCs/>
        </w:rPr>
        <w:lastRenderedPageBreak/>
        <w:t>Supplementary Table 2</w:t>
      </w:r>
      <w:r w:rsidRPr="00C87508">
        <w:rPr>
          <w:rFonts w:asciiTheme="majorBidi" w:hAnsiTheme="majorBidi" w:cstheme="majorBidi"/>
        </w:rPr>
        <w:t>. Association analysis of the stenosis in the major coronary vessels and Lp (a) levels.</w:t>
      </w:r>
    </w:p>
    <w:tbl>
      <w:tblPr>
        <w:tblStyle w:val="TableGrid"/>
        <w:tblW w:w="11871" w:type="dxa"/>
        <w:tblInd w:w="-1175" w:type="dxa"/>
        <w:tblLook w:val="0600" w:firstRow="0" w:lastRow="0" w:firstColumn="0" w:lastColumn="0" w:noHBand="1" w:noVBand="1"/>
      </w:tblPr>
      <w:tblGrid>
        <w:gridCol w:w="991"/>
        <w:gridCol w:w="595"/>
        <w:gridCol w:w="922"/>
        <w:gridCol w:w="748"/>
        <w:gridCol w:w="595"/>
        <w:gridCol w:w="931"/>
        <w:gridCol w:w="798"/>
        <w:gridCol w:w="928"/>
        <w:gridCol w:w="930"/>
        <w:gridCol w:w="923"/>
        <w:gridCol w:w="963"/>
        <w:gridCol w:w="639"/>
        <w:gridCol w:w="1039"/>
        <w:gridCol w:w="869"/>
      </w:tblGrid>
      <w:tr w:rsidR="00373A60" w:rsidRPr="00C87508" w:rsidTr="00B37EF8">
        <w:trPr>
          <w:trHeight w:val="450"/>
        </w:trPr>
        <w:tc>
          <w:tcPr>
            <w:tcW w:w="991" w:type="dxa"/>
            <w:vMerge w:val="restart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 xml:space="preserve"> Major coronary arteries </w:t>
            </w:r>
          </w:p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3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Lp(a)≥30</w:t>
            </w:r>
          </w:p>
        </w:tc>
        <w:tc>
          <w:tcPr>
            <w:tcW w:w="2324" w:type="dxa"/>
            <w:gridSpan w:val="3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Lp(a)≥50</w:t>
            </w:r>
          </w:p>
        </w:tc>
        <w:tc>
          <w:tcPr>
            <w:tcW w:w="2781" w:type="dxa"/>
            <w:gridSpan w:val="3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Lp(a)≥80</w:t>
            </w: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  <w:vertAlign w:val="superscript"/>
              </w:rPr>
              <w:t>th</w:t>
            </w: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 xml:space="preserve"> percentile </w:t>
            </w:r>
          </w:p>
        </w:tc>
        <w:tc>
          <w:tcPr>
            <w:tcW w:w="3510" w:type="dxa"/>
            <w:gridSpan w:val="4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 xml:space="preserve">Lp(a) </w:t>
            </w:r>
          </w:p>
        </w:tc>
      </w:tr>
      <w:tr w:rsidR="00373A60" w:rsidRPr="00C87508" w:rsidTr="00B37EF8">
        <w:trPr>
          <w:trHeight w:val="306"/>
        </w:trPr>
        <w:tc>
          <w:tcPr>
            <w:tcW w:w="0" w:type="auto"/>
            <w:vMerge/>
            <w:hideMark/>
          </w:tcPr>
          <w:p w:rsidR="00373A60" w:rsidRPr="00C87508" w:rsidRDefault="00373A60" w:rsidP="00B37EF8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95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OR</w:t>
            </w:r>
          </w:p>
        </w:tc>
        <w:tc>
          <w:tcPr>
            <w:tcW w:w="922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95%C.I.</w:t>
            </w:r>
          </w:p>
        </w:tc>
        <w:tc>
          <w:tcPr>
            <w:tcW w:w="748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P-value</w:t>
            </w:r>
          </w:p>
        </w:tc>
        <w:tc>
          <w:tcPr>
            <w:tcW w:w="595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OR</w:t>
            </w:r>
          </w:p>
        </w:tc>
        <w:tc>
          <w:tcPr>
            <w:tcW w:w="931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95%C.I.</w:t>
            </w:r>
          </w:p>
        </w:tc>
        <w:tc>
          <w:tcPr>
            <w:tcW w:w="798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P-value</w:t>
            </w:r>
          </w:p>
        </w:tc>
        <w:tc>
          <w:tcPr>
            <w:tcW w:w="928" w:type="dxa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OR</w:t>
            </w:r>
          </w:p>
        </w:tc>
        <w:tc>
          <w:tcPr>
            <w:tcW w:w="930" w:type="dxa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95%C.I.</w:t>
            </w:r>
          </w:p>
        </w:tc>
        <w:tc>
          <w:tcPr>
            <w:tcW w:w="923" w:type="dxa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P-value</w:t>
            </w:r>
          </w:p>
        </w:tc>
        <w:tc>
          <w:tcPr>
            <w:tcW w:w="963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Regression coefficient (SE)</w:t>
            </w:r>
          </w:p>
        </w:tc>
        <w:tc>
          <w:tcPr>
            <w:tcW w:w="639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OR</w:t>
            </w:r>
          </w:p>
        </w:tc>
        <w:tc>
          <w:tcPr>
            <w:tcW w:w="1039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95%C.I.</w:t>
            </w:r>
          </w:p>
        </w:tc>
        <w:tc>
          <w:tcPr>
            <w:tcW w:w="869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P-value</w:t>
            </w:r>
          </w:p>
        </w:tc>
      </w:tr>
      <w:tr w:rsidR="00373A60" w:rsidRPr="00C87508" w:rsidTr="00B37EF8">
        <w:trPr>
          <w:trHeight w:val="585"/>
        </w:trPr>
        <w:tc>
          <w:tcPr>
            <w:tcW w:w="991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Left Main coronary artery stenosis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22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74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31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79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28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30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23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63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 xml:space="preserve">NA </w:t>
            </w:r>
          </w:p>
        </w:tc>
        <w:tc>
          <w:tcPr>
            <w:tcW w:w="6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10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86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</w:tr>
      <w:tr w:rsidR="00373A60" w:rsidRPr="00C87508" w:rsidTr="00B37EF8">
        <w:trPr>
          <w:trHeight w:val="730"/>
        </w:trPr>
        <w:tc>
          <w:tcPr>
            <w:tcW w:w="991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Left anterior descending artery stenosis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1.89</w:t>
            </w:r>
          </w:p>
        </w:tc>
        <w:tc>
          <w:tcPr>
            <w:tcW w:w="922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1.09-3.34</w:t>
            </w:r>
          </w:p>
        </w:tc>
        <w:tc>
          <w:tcPr>
            <w:tcW w:w="74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1.72</w:t>
            </w:r>
          </w:p>
        </w:tc>
        <w:tc>
          <w:tcPr>
            <w:tcW w:w="931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1-2.99</w:t>
            </w:r>
          </w:p>
        </w:tc>
        <w:tc>
          <w:tcPr>
            <w:tcW w:w="79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928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1.68</w:t>
            </w:r>
          </w:p>
        </w:tc>
        <w:tc>
          <w:tcPr>
            <w:tcW w:w="930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0.98-2.92</w:t>
            </w:r>
          </w:p>
        </w:tc>
        <w:tc>
          <w:tcPr>
            <w:tcW w:w="923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963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0.6 (0.28)</w:t>
            </w:r>
          </w:p>
        </w:tc>
        <w:tc>
          <w:tcPr>
            <w:tcW w:w="6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1.83</w:t>
            </w:r>
          </w:p>
        </w:tc>
        <w:tc>
          <w:tcPr>
            <w:tcW w:w="10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1.05-3.22</w:t>
            </w:r>
          </w:p>
        </w:tc>
        <w:tc>
          <w:tcPr>
            <w:tcW w:w="86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</w:t>
            </w:r>
          </w:p>
        </w:tc>
      </w:tr>
      <w:tr w:rsidR="00373A60" w:rsidRPr="00C87508" w:rsidTr="00B37EF8">
        <w:trPr>
          <w:trHeight w:val="585"/>
        </w:trPr>
        <w:tc>
          <w:tcPr>
            <w:tcW w:w="991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Right coronary artery stenosis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2.14</w:t>
            </w:r>
          </w:p>
        </w:tc>
        <w:tc>
          <w:tcPr>
            <w:tcW w:w="922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1.2-3.92</w:t>
            </w:r>
          </w:p>
        </w:tc>
        <w:tc>
          <w:tcPr>
            <w:tcW w:w="74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2.08</w:t>
            </w:r>
          </w:p>
        </w:tc>
        <w:tc>
          <w:tcPr>
            <w:tcW w:w="931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1.17-3.79</w:t>
            </w:r>
          </w:p>
        </w:tc>
        <w:tc>
          <w:tcPr>
            <w:tcW w:w="79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928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2.08</w:t>
            </w:r>
          </w:p>
        </w:tc>
        <w:tc>
          <w:tcPr>
            <w:tcW w:w="930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1.17-3.79</w:t>
            </w:r>
          </w:p>
        </w:tc>
        <w:tc>
          <w:tcPr>
            <w:tcW w:w="923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963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0.74 (0.29)</w:t>
            </w:r>
          </w:p>
        </w:tc>
        <w:tc>
          <w:tcPr>
            <w:tcW w:w="6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2.12</w:t>
            </w:r>
          </w:p>
        </w:tc>
        <w:tc>
          <w:tcPr>
            <w:tcW w:w="10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1.19-3.88</w:t>
            </w:r>
          </w:p>
        </w:tc>
        <w:tc>
          <w:tcPr>
            <w:tcW w:w="86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</w:t>
            </w:r>
          </w:p>
        </w:tc>
      </w:tr>
      <w:tr w:rsidR="00373A60" w:rsidRPr="00C87508" w:rsidTr="00B37EF8">
        <w:trPr>
          <w:trHeight w:val="306"/>
        </w:trPr>
        <w:tc>
          <w:tcPr>
            <w:tcW w:w="991" w:type="dxa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  <w:t>Circumflex stenosis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2.07</w:t>
            </w:r>
          </w:p>
        </w:tc>
        <w:tc>
          <w:tcPr>
            <w:tcW w:w="922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1.15-3.83</w:t>
            </w:r>
          </w:p>
        </w:tc>
        <w:tc>
          <w:tcPr>
            <w:tcW w:w="74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595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1.91</w:t>
            </w:r>
          </w:p>
        </w:tc>
        <w:tc>
          <w:tcPr>
            <w:tcW w:w="931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1.08-3.49</w:t>
            </w:r>
          </w:p>
        </w:tc>
        <w:tc>
          <w:tcPr>
            <w:tcW w:w="798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trike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928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1.88</w:t>
            </w:r>
          </w:p>
        </w:tc>
        <w:tc>
          <w:tcPr>
            <w:tcW w:w="930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1.06-3.43</w:t>
            </w:r>
          </w:p>
        </w:tc>
        <w:tc>
          <w:tcPr>
            <w:tcW w:w="923" w:type="dxa"/>
            <w:vAlign w:val="bottom"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kern w:val="24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963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0.69 (0.3)</w:t>
            </w:r>
          </w:p>
        </w:tc>
        <w:tc>
          <w:tcPr>
            <w:tcW w:w="6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103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sz w:val="16"/>
                <w:szCs w:val="16"/>
              </w:rPr>
              <w:t>1.12-3.69</w:t>
            </w:r>
          </w:p>
        </w:tc>
        <w:tc>
          <w:tcPr>
            <w:tcW w:w="869" w:type="dxa"/>
            <w:vAlign w:val="bottom"/>
            <w:hideMark/>
          </w:tcPr>
          <w:p w:rsidR="00373A60" w:rsidRPr="00C87508" w:rsidRDefault="00373A60" w:rsidP="00B37EF8">
            <w:pPr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C875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0.02</w:t>
            </w:r>
          </w:p>
        </w:tc>
      </w:tr>
    </w:tbl>
    <w:p w:rsidR="005A17BE" w:rsidRDefault="005A17BE" w:rsidP="00373A60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:rsidR="00373A60" w:rsidRPr="00C87508" w:rsidRDefault="00373A60" w:rsidP="00373A60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C87508">
        <w:rPr>
          <w:rFonts w:asciiTheme="majorBidi" w:hAnsiTheme="majorBidi" w:cstheme="majorBidi"/>
          <w:sz w:val="18"/>
          <w:szCs w:val="18"/>
        </w:rPr>
        <w:t>Logistic regression (adjusted for age and sex) assessing the association between stenosis of the four major coronary vessels and Lp(a)≥30, Lp(a)≥50, Lp(a)≥80th percentile or Lp(a) levels. Stenosis: lesion between 50% and 70% or lesion ≥70%. OR &gt;1 indicates increased occurrence of stenosis. Regression coefficient &gt;0 indicates that higher values of Lp(a) are associated with higher likelihood of stenosis. Association with stenosis is significant if P-value &lt; 0.05. OR: odd ratio; 95%C.I.: 95% confidence interval. SE: standard error. NA: not available.</w:t>
      </w:r>
    </w:p>
    <w:p w:rsidR="00373A60" w:rsidRPr="00C87508" w:rsidRDefault="00373A60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657507" w:rsidRPr="00C87508" w:rsidRDefault="00657507" w:rsidP="00373A60">
      <w:pPr>
        <w:rPr>
          <w:rFonts w:asciiTheme="majorBidi" w:hAnsiTheme="majorBidi" w:cstheme="majorBidi"/>
        </w:rPr>
      </w:pPr>
    </w:p>
    <w:p w:rsidR="00373A60" w:rsidRPr="00C87508" w:rsidRDefault="0039757E" w:rsidP="005A17BE">
      <w:pPr>
        <w:spacing w:line="276" w:lineRule="auto"/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b/>
          <w:bCs/>
        </w:rPr>
        <w:t>Supplementary Table 3</w:t>
      </w:r>
      <w:r w:rsidRPr="00C87508">
        <w:rPr>
          <w:rFonts w:asciiTheme="majorBidi" w:hAnsiTheme="majorBidi" w:cstheme="majorBidi"/>
        </w:rPr>
        <w:t>. Multinomial logistic regression analysis between CAD category (number of vessels with &gt;50% stenosis) and Lp(a) levels.</w:t>
      </w:r>
    </w:p>
    <w:tbl>
      <w:tblPr>
        <w:tblStyle w:val="TableGrid"/>
        <w:tblW w:w="11121" w:type="dxa"/>
        <w:jc w:val="center"/>
        <w:tblLook w:val="04A0" w:firstRow="1" w:lastRow="0" w:firstColumn="1" w:lastColumn="0" w:noHBand="0" w:noVBand="1"/>
      </w:tblPr>
      <w:tblGrid>
        <w:gridCol w:w="1946"/>
        <w:gridCol w:w="2114"/>
        <w:gridCol w:w="1707"/>
        <w:gridCol w:w="1645"/>
        <w:gridCol w:w="933"/>
        <w:gridCol w:w="1486"/>
        <w:gridCol w:w="1352"/>
      </w:tblGrid>
      <w:tr w:rsidR="00BA569B" w:rsidRPr="00C87508" w:rsidTr="005C6BC4">
        <w:trPr>
          <w:trHeight w:val="241"/>
          <w:jc w:val="center"/>
        </w:trPr>
        <w:tc>
          <w:tcPr>
            <w:tcW w:w="194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114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C</w:t>
            </w:r>
            <w:r w:rsidRPr="005C6BC4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oefficient</w:t>
            </w:r>
          </w:p>
        </w:tc>
        <w:tc>
          <w:tcPr>
            <w:tcW w:w="1645" w:type="dxa"/>
          </w:tcPr>
          <w:p w:rsidR="00BA569B" w:rsidRPr="00C87508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Exp(coefficient)</w:t>
            </w:r>
          </w:p>
        </w:tc>
        <w:tc>
          <w:tcPr>
            <w:tcW w:w="1645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Standard  error</w:t>
            </w:r>
          </w:p>
        </w:tc>
        <w:tc>
          <w:tcPr>
            <w:tcW w:w="933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p.value</w:t>
            </w:r>
          </w:p>
        </w:tc>
        <w:tc>
          <w:tcPr>
            <w:tcW w:w="2838" w:type="dxa"/>
            <w:gridSpan w:val="2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95%</w:t>
            </w:r>
            <w:r w:rsidRPr="00C875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 xml:space="preserve"> Confidence Interval</w:t>
            </w:r>
          </w:p>
        </w:tc>
      </w:tr>
      <w:tr w:rsidR="00BA569B" w:rsidRPr="00C87508" w:rsidTr="005C6BC4">
        <w:trPr>
          <w:trHeight w:val="241"/>
          <w:jc w:val="center"/>
        </w:trPr>
        <w:tc>
          <w:tcPr>
            <w:tcW w:w="194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CAD category </w:t>
            </w: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1</w:t>
            </w:r>
          </w:p>
        </w:tc>
        <w:tc>
          <w:tcPr>
            <w:tcW w:w="2114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0.006</w:t>
            </w:r>
          </w:p>
        </w:tc>
        <w:tc>
          <w:tcPr>
            <w:tcW w:w="1645" w:type="dxa"/>
          </w:tcPr>
          <w:p w:rsidR="00BA569B" w:rsidRPr="00C87508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>1.004</w:t>
            </w:r>
          </w:p>
        </w:tc>
        <w:tc>
          <w:tcPr>
            <w:tcW w:w="1645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0.005</w:t>
            </w:r>
          </w:p>
        </w:tc>
        <w:tc>
          <w:tcPr>
            <w:tcW w:w="933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0.192</w:t>
            </w:r>
          </w:p>
        </w:tc>
        <w:tc>
          <w:tcPr>
            <w:tcW w:w="148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-0.003</w:t>
            </w:r>
          </w:p>
        </w:tc>
        <w:tc>
          <w:tcPr>
            <w:tcW w:w="1351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0.016</w:t>
            </w:r>
          </w:p>
        </w:tc>
      </w:tr>
      <w:tr w:rsidR="00BA569B" w:rsidRPr="00C87508" w:rsidTr="005C6BC4">
        <w:trPr>
          <w:trHeight w:val="241"/>
          <w:jc w:val="center"/>
        </w:trPr>
        <w:tc>
          <w:tcPr>
            <w:tcW w:w="194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CAD category </w:t>
            </w: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2</w:t>
            </w:r>
          </w:p>
        </w:tc>
        <w:tc>
          <w:tcPr>
            <w:tcW w:w="2114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0.011</w:t>
            </w:r>
          </w:p>
        </w:tc>
        <w:tc>
          <w:tcPr>
            <w:tcW w:w="1645" w:type="dxa"/>
          </w:tcPr>
          <w:p w:rsidR="00BA569B" w:rsidRPr="00C87508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>1.010</w:t>
            </w:r>
          </w:p>
        </w:tc>
        <w:tc>
          <w:tcPr>
            <w:tcW w:w="1645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0.005</w:t>
            </w:r>
          </w:p>
        </w:tc>
        <w:tc>
          <w:tcPr>
            <w:tcW w:w="933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0.030</w:t>
            </w:r>
          </w:p>
        </w:tc>
        <w:tc>
          <w:tcPr>
            <w:tcW w:w="148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0.001</w:t>
            </w:r>
          </w:p>
        </w:tc>
        <w:tc>
          <w:tcPr>
            <w:tcW w:w="1351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0.020</w:t>
            </w:r>
          </w:p>
        </w:tc>
      </w:tr>
      <w:tr w:rsidR="00BA569B" w:rsidRPr="00C87508" w:rsidTr="005C6BC4">
        <w:trPr>
          <w:trHeight w:val="241"/>
          <w:jc w:val="center"/>
        </w:trPr>
        <w:tc>
          <w:tcPr>
            <w:tcW w:w="194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CAD category </w:t>
            </w: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3</w:t>
            </w:r>
          </w:p>
        </w:tc>
        <w:tc>
          <w:tcPr>
            <w:tcW w:w="2114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0.015</w:t>
            </w:r>
          </w:p>
        </w:tc>
        <w:tc>
          <w:tcPr>
            <w:tcW w:w="1645" w:type="dxa"/>
          </w:tcPr>
          <w:p w:rsidR="00BA569B" w:rsidRPr="00C87508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C87508">
              <w:rPr>
                <w:rFonts w:asciiTheme="majorBidi" w:eastAsia="Times New Roman" w:hAnsiTheme="majorBidi" w:cstheme="majorBidi"/>
                <w:color w:val="000000" w:themeColor="text1"/>
              </w:rPr>
              <w:t>1.015</w:t>
            </w:r>
          </w:p>
        </w:tc>
        <w:tc>
          <w:tcPr>
            <w:tcW w:w="1645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0.005</w:t>
            </w:r>
          </w:p>
        </w:tc>
        <w:tc>
          <w:tcPr>
            <w:tcW w:w="933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0.001</w:t>
            </w:r>
          </w:p>
        </w:tc>
        <w:tc>
          <w:tcPr>
            <w:tcW w:w="1486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0.006</w:t>
            </w:r>
          </w:p>
        </w:tc>
        <w:tc>
          <w:tcPr>
            <w:tcW w:w="1351" w:type="dxa"/>
            <w:noWrap/>
            <w:hideMark/>
          </w:tcPr>
          <w:p w:rsidR="00BA569B" w:rsidRPr="005C6BC4" w:rsidRDefault="00BA569B" w:rsidP="00A6762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C6BC4">
              <w:rPr>
                <w:rFonts w:asciiTheme="majorBidi" w:eastAsia="Times New Roman" w:hAnsiTheme="majorBidi" w:cstheme="majorBidi"/>
                <w:color w:val="000000" w:themeColor="text1"/>
              </w:rPr>
              <w:t>0.024</w:t>
            </w:r>
          </w:p>
        </w:tc>
      </w:tr>
    </w:tbl>
    <w:p w:rsidR="00E70888" w:rsidRPr="00C87508" w:rsidRDefault="00E70888" w:rsidP="00E7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73A60" w:rsidRPr="00C87508" w:rsidRDefault="00E70888" w:rsidP="00695AB2">
      <w:pPr>
        <w:rPr>
          <w:rFonts w:asciiTheme="majorBidi" w:hAnsiTheme="majorBidi" w:cstheme="majorBidi"/>
        </w:rPr>
      </w:pPr>
      <w:r w:rsidRPr="00C87508">
        <w:rPr>
          <w:rFonts w:asciiTheme="majorBidi" w:hAnsiTheme="majorBidi" w:cstheme="majorBidi"/>
          <w:color w:val="000000"/>
          <w:sz w:val="18"/>
          <w:szCs w:val="18"/>
        </w:rPr>
        <w:t xml:space="preserve">CAD category 1: patients with &gt;50% stenosis in one vessel; CAD category 2: patients with &gt;50% stenosis in 2 vessels; and CAD category 3: patients with &gt;50% stenosis in 3 or 4. </w:t>
      </w:r>
      <w:r w:rsidR="00E13FDA" w:rsidRPr="00C87508">
        <w:rPr>
          <w:rFonts w:asciiTheme="majorBidi" w:hAnsiTheme="majorBidi" w:cstheme="majorBidi"/>
          <w:color w:val="000000"/>
          <w:sz w:val="18"/>
          <w:szCs w:val="18"/>
        </w:rPr>
        <w:t xml:space="preserve">Exp(): exponential function. </w:t>
      </w:r>
    </w:p>
    <w:p w:rsidR="00373A60" w:rsidRPr="00C87508" w:rsidRDefault="00373A60" w:rsidP="00373A60">
      <w:pPr>
        <w:rPr>
          <w:rFonts w:asciiTheme="majorBidi" w:hAnsiTheme="majorBidi" w:cstheme="majorBidi"/>
        </w:rPr>
      </w:pPr>
    </w:p>
    <w:p w:rsidR="00373A60" w:rsidRPr="00C87508" w:rsidRDefault="00373A60" w:rsidP="00373A60">
      <w:pPr>
        <w:rPr>
          <w:rFonts w:asciiTheme="majorBidi" w:hAnsiTheme="majorBidi" w:cstheme="majorBidi"/>
        </w:rPr>
      </w:pPr>
    </w:p>
    <w:sectPr w:rsidR="00373A60" w:rsidRPr="00C8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21"/>
    <w:rsid w:val="00143234"/>
    <w:rsid w:val="00213518"/>
    <w:rsid w:val="002857D5"/>
    <w:rsid w:val="002F34EB"/>
    <w:rsid w:val="00303F67"/>
    <w:rsid w:val="00373A60"/>
    <w:rsid w:val="0039757E"/>
    <w:rsid w:val="004A294A"/>
    <w:rsid w:val="00516062"/>
    <w:rsid w:val="005A17BE"/>
    <w:rsid w:val="005A1E3F"/>
    <w:rsid w:val="005C6BC4"/>
    <w:rsid w:val="00657507"/>
    <w:rsid w:val="00695AB2"/>
    <w:rsid w:val="00771F21"/>
    <w:rsid w:val="007F50BA"/>
    <w:rsid w:val="008513D1"/>
    <w:rsid w:val="00882655"/>
    <w:rsid w:val="009936F1"/>
    <w:rsid w:val="009D48E3"/>
    <w:rsid w:val="00A0391D"/>
    <w:rsid w:val="00A6762E"/>
    <w:rsid w:val="00B35EBF"/>
    <w:rsid w:val="00B64E01"/>
    <w:rsid w:val="00B86CC3"/>
    <w:rsid w:val="00B941FC"/>
    <w:rsid w:val="00BA569B"/>
    <w:rsid w:val="00C27D1B"/>
    <w:rsid w:val="00C87508"/>
    <w:rsid w:val="00CB709D"/>
    <w:rsid w:val="00D11D24"/>
    <w:rsid w:val="00DB7847"/>
    <w:rsid w:val="00E02C24"/>
    <w:rsid w:val="00E13FDA"/>
    <w:rsid w:val="00E16EA5"/>
    <w:rsid w:val="00E360BE"/>
    <w:rsid w:val="00E70888"/>
    <w:rsid w:val="00E74AD7"/>
    <w:rsid w:val="00EE4DCC"/>
    <w:rsid w:val="00F46F59"/>
    <w:rsid w:val="00F62667"/>
    <w:rsid w:val="00F7407E"/>
    <w:rsid w:val="00F802DC"/>
    <w:rsid w:val="00F96C50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F730"/>
  <w15:chartTrackingRefBased/>
  <w15:docId w15:val="{D27BC4D0-4A61-4123-B529-EDB646D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73A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 Hageh</dc:creator>
  <cp:keywords/>
  <dc:description/>
  <cp:lastModifiedBy>Cynthia Al Hageh</cp:lastModifiedBy>
  <cp:revision>5</cp:revision>
  <cp:lastPrinted>2022-12-13T05:16:00Z</cp:lastPrinted>
  <dcterms:created xsi:type="dcterms:W3CDTF">2022-12-13T05:15:00Z</dcterms:created>
  <dcterms:modified xsi:type="dcterms:W3CDTF">2022-12-13T06:42:00Z</dcterms:modified>
</cp:coreProperties>
</file>