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default" w:ascii="Arial" w:hAnsi="Arial" w:cs="Arial"/>
          <w:b/>
          <w:bCs/>
          <w:sz w:val="20"/>
          <w:szCs w:val="20"/>
          <w:lang w:val="en-US" w:eastAsia="zh-CN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drawing>
          <wp:inline distT="0" distB="0" distL="114300" distR="114300">
            <wp:extent cx="5270500" cy="5921375"/>
            <wp:effectExtent l="0" t="0" r="0" b="9525"/>
            <wp:docPr id="1" name="图片 1" descr="Supplementary Figure 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upplementary Figure 1.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92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Supplementary</w:t>
      </w:r>
      <w:r>
        <w:rPr>
          <w:rFonts w:hint="eastAsia" w:ascii="Arial" w:hAnsi="Arial" w:cs="Arial"/>
          <w:color w:val="000000"/>
          <w:sz w:val="20"/>
          <w:szCs w:val="20"/>
        </w:rPr>
        <w:t xml:space="preserve"> </w:t>
      </w:r>
      <w:r>
        <w:rPr>
          <w:rFonts w:hint="eastAsia" w:ascii="Arial" w:hAnsi="Arial" w:cs="Arial"/>
          <w:b/>
          <w:bCs/>
          <w:color w:val="000000"/>
          <w:sz w:val="20"/>
          <w:szCs w:val="20"/>
        </w:rPr>
        <w:t xml:space="preserve">Figure 1. </w:t>
      </w:r>
      <w:r>
        <w:rPr>
          <w:rFonts w:hint="eastAsia" w:ascii="Arial" w:hAnsi="Arial" w:cs="Arial"/>
          <w:color w:val="000000"/>
          <w:sz w:val="20"/>
          <w:szCs w:val="20"/>
        </w:rPr>
        <w:t xml:space="preserve">Simple scatter diagram of partial residual for </w:t>
      </w:r>
      <w:r>
        <w:rPr>
          <w:rFonts w:ascii="Arial" w:hAnsi="Arial" w:cs="Arial"/>
          <w:color w:val="000000"/>
          <w:sz w:val="20"/>
          <w:szCs w:val="20"/>
        </w:rPr>
        <w:t>△PTX3</w:t>
      </w:r>
      <w:r>
        <w:rPr>
          <w:rFonts w:hint="eastAsia" w:ascii="Arial" w:hAnsi="Arial" w:cs="Arial"/>
          <w:color w:val="000000"/>
          <w:sz w:val="20"/>
          <w:szCs w:val="20"/>
        </w:rPr>
        <w:t xml:space="preserve"> (A), age (B), HDL-c (C), LDL-c (D), peak NT-proBNP (E), and LVEF (F) and the rank of follow-up time.</w:t>
      </w:r>
    </w:p>
    <w:p>
      <w:pPr>
        <w:spacing w:line="480" w:lineRule="auto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Abbreviations: </w:t>
      </w:r>
      <w:r>
        <w:rPr>
          <w:rFonts w:ascii="Arial" w:hAnsi="Arial" w:cs="Arial"/>
          <w:color w:val="000000"/>
          <w:sz w:val="20"/>
          <w:szCs w:val="20"/>
        </w:rPr>
        <w:t>PTX3, pentraxin 3; △PTX3, the change in PTX3 from admission to post-pPCI 24-hour; HDL-C, high-density lipoprotein cholesterol; LDL-C, low-density lipoprotein cholesterol</w:t>
      </w:r>
      <w:r>
        <w:rPr>
          <w:rFonts w:hint="eastAsia" w:ascii="Arial" w:hAnsi="Arial" w:cs="Arial"/>
          <w:color w:val="000000"/>
          <w:sz w:val="20"/>
          <w:szCs w:val="20"/>
        </w:rPr>
        <w:t xml:space="preserve">; </w:t>
      </w:r>
      <w:r>
        <w:rPr>
          <w:rFonts w:ascii="Arial" w:hAnsi="Arial" w:cs="Arial"/>
          <w:color w:val="000000"/>
          <w:sz w:val="20"/>
          <w:szCs w:val="20"/>
        </w:rPr>
        <w:t>LVEF, left ventricular ejection fraction.</w:t>
      </w:r>
    </w:p>
    <w:p>
      <w:pPr>
        <w:spacing w:line="480" w:lineRule="auto"/>
        <w:rPr>
          <w:rFonts w:hint="default" w:ascii="Arial" w:hAnsi="Arial" w:cs="Arial"/>
          <w:b/>
          <w:bCs/>
          <w:sz w:val="20"/>
          <w:szCs w:val="20"/>
          <w:lang w:val="en-US" w:eastAsia="zh-CN"/>
        </w:rPr>
      </w:pPr>
    </w:p>
    <w:p>
      <w:pPr>
        <w:spacing w:line="480" w:lineRule="auto"/>
        <w:rPr>
          <w:rFonts w:hint="default" w:ascii="Arial" w:hAnsi="Arial" w:cs="Arial"/>
          <w:b/>
          <w:bCs/>
          <w:sz w:val="20"/>
          <w:szCs w:val="20"/>
          <w:lang w:val="en-US" w:eastAsia="zh-CN"/>
        </w:rPr>
      </w:pPr>
      <w:bookmarkStart w:id="1" w:name="_GoBack"/>
      <w:bookmarkEnd w:id="1"/>
    </w:p>
    <w:p>
      <w:pPr>
        <w:spacing w:line="480" w:lineRule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Supplementary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 xml:space="preserve">Table </w:t>
      </w:r>
      <w:r>
        <w:rPr>
          <w:rFonts w:hint="eastAsia" w:ascii="Arial" w:hAnsi="Arial" w:cs="Arial"/>
          <w:b/>
          <w:bCs/>
          <w:sz w:val="20"/>
          <w:szCs w:val="20"/>
          <w:lang w:val="en-US" w:eastAsia="zh-CN"/>
        </w:rPr>
        <w:t>1</w:t>
      </w:r>
      <w:r>
        <w:rPr>
          <w:rFonts w:hint="default" w:ascii="Arial" w:hAnsi="Arial" w:cs="Arial"/>
          <w:b/>
          <w:bCs/>
          <w:sz w:val="20"/>
          <w:szCs w:val="20"/>
          <w:lang w:val="en-US" w:eastAsia="zh-CN"/>
        </w:rPr>
        <w:t>.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b w:val="0"/>
          <w:bCs w:val="0"/>
          <w:i w:val="0"/>
          <w:iCs w:val="0"/>
          <w:sz w:val="20"/>
          <w:szCs w:val="20"/>
          <w:lang w:val="en-US" w:eastAsia="zh-CN"/>
        </w:rPr>
        <w:t>Correlation</w:t>
      </w:r>
      <w:r>
        <w:rPr>
          <w:rFonts w:hint="default" w:ascii="Arial" w:hAnsi="Arial" w:cs="Arial"/>
          <w:sz w:val="20"/>
          <w:szCs w:val="20"/>
          <w:lang w:val="en-US" w:eastAsia="zh-CN"/>
        </w:rPr>
        <w:t xml:space="preserve"> between partial </w:t>
      </w:r>
      <w:r>
        <w:rPr>
          <w:rFonts w:hint="default" w:ascii="Arial" w:hAnsi="Arial" w:cs="Arial"/>
          <w:b w:val="0"/>
          <w:bCs w:val="0"/>
          <w:i w:val="0"/>
          <w:iCs w:val="0"/>
          <w:sz w:val="20"/>
          <w:szCs w:val="20"/>
          <w:lang w:val="en-US" w:eastAsia="zh-CN"/>
        </w:rPr>
        <w:t>residual and time rank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1054"/>
        <w:gridCol w:w="1055"/>
        <w:gridCol w:w="1029"/>
        <w:gridCol w:w="1028"/>
        <w:gridCol w:w="1029"/>
        <w:gridCol w:w="1239"/>
        <w:gridCol w:w="101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082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Partial residual</w:t>
            </w:r>
          </w:p>
        </w:tc>
        <w:tc>
          <w:tcPr>
            <w:tcW w:w="1075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△PTX3</w:t>
            </w:r>
          </w:p>
        </w:tc>
        <w:tc>
          <w:tcPr>
            <w:tcW w:w="1064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Age</w:t>
            </w:r>
          </w:p>
        </w:tc>
        <w:tc>
          <w:tcPr>
            <w:tcW w:w="1064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HDL-c</w:t>
            </w:r>
          </w:p>
        </w:tc>
        <w:tc>
          <w:tcPr>
            <w:tcW w:w="1064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LDL-c</w:t>
            </w:r>
          </w:p>
        </w:tc>
        <w:tc>
          <w:tcPr>
            <w:tcW w:w="1239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Peak NT-proBNP</w:t>
            </w:r>
          </w:p>
        </w:tc>
        <w:tc>
          <w:tcPr>
            <w:tcW w:w="1058" w:type="dxa"/>
            <w:tcBorders>
              <w:bottom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LVEF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8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 w:eastAsia="zh-CN"/>
              </w:rPr>
              <w:t>Rank of follow-up time</w:t>
            </w:r>
          </w:p>
        </w:tc>
        <w:tc>
          <w:tcPr>
            <w:tcW w:w="1074" w:type="dxa"/>
            <w:tcBorders>
              <w:top w:val="single" w:color="auto" w:sz="4" w:space="0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  <w:t>r</w:t>
            </w:r>
          </w:p>
        </w:tc>
        <w:tc>
          <w:tcPr>
            <w:tcW w:w="10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-0.152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-0.027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-0.04</w:t>
            </w:r>
          </w:p>
        </w:tc>
        <w:tc>
          <w:tcPr>
            <w:tcW w:w="106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-0.039</w:t>
            </w:r>
          </w:p>
        </w:tc>
        <w:tc>
          <w:tcPr>
            <w:tcW w:w="123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0.029</w:t>
            </w:r>
          </w:p>
        </w:tc>
        <w:tc>
          <w:tcPr>
            <w:tcW w:w="105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0.152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2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vAlign w:val="center"/>
          </w:tcPr>
          <w:p>
            <w:pPr>
              <w:spacing w:line="480" w:lineRule="auto"/>
              <w:jc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p</w:t>
            </w:r>
          </w:p>
        </w:tc>
        <w:tc>
          <w:tcPr>
            <w:tcW w:w="10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0.153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0.799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0.707</w:t>
            </w:r>
          </w:p>
        </w:tc>
        <w:tc>
          <w:tcPr>
            <w:tcW w:w="10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0.717</w:t>
            </w:r>
          </w:p>
        </w:tc>
        <w:tc>
          <w:tcPr>
            <w:tcW w:w="12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0.789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Arial" w:hAnsi="Arial" w:cs="Arial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0.153</w:t>
            </w:r>
          </w:p>
        </w:tc>
      </w:tr>
    </w:tbl>
    <w:p>
      <w:pPr>
        <w:spacing w:line="480" w:lineRule="auto"/>
        <w:jc w:val="left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Abbreviations:</w:t>
      </w:r>
      <w:r>
        <w:rPr>
          <w:rFonts w:hint="default" w:ascii="Arial" w:hAnsi="Arial" w:cs="Arial"/>
          <w:b/>
          <w:sz w:val="20"/>
          <w:szCs w:val="20"/>
          <w:lang w:val="en-US" w:eastAsia="zh-CN"/>
        </w:rPr>
        <w:t xml:space="preserve"> </w:t>
      </w:r>
      <w:r>
        <w:rPr>
          <w:rFonts w:hint="default" w:ascii="Arial" w:hAnsi="Arial" w:cs="Arial"/>
          <w:color w:val="auto"/>
          <w:sz w:val="20"/>
          <w:szCs w:val="20"/>
        </w:rPr>
        <w:t xml:space="preserve">PTX3, pentraxin 3; △PTX3, the change in PTX3 from admission to post-pPCI 24-hour; </w:t>
      </w:r>
      <w:r>
        <w:rPr>
          <w:rFonts w:ascii="Arial" w:hAnsi="Arial" w:cs="Arial"/>
          <w:color w:val="auto"/>
          <w:sz w:val="20"/>
          <w:szCs w:val="20"/>
        </w:rPr>
        <w:t>HDL-C, high-density lipoprotein cholesterol; LDL-C, low-density lipoprotein cholesterol</w:t>
      </w: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 xml:space="preserve">; </w:t>
      </w:r>
      <w:r>
        <w:rPr>
          <w:rFonts w:ascii="Arial" w:hAnsi="Arial" w:cs="Arial"/>
          <w:color w:val="auto"/>
          <w:sz w:val="20"/>
          <w:szCs w:val="20"/>
        </w:rPr>
        <w:t>LVEF,</w:t>
      </w:r>
      <w:bookmarkStart w:id="0" w:name="OLE_LINK3"/>
      <w:r>
        <w:rPr>
          <w:rFonts w:ascii="Arial" w:hAnsi="Arial" w:cs="Arial"/>
          <w:color w:val="auto"/>
          <w:sz w:val="20"/>
          <w:szCs w:val="20"/>
        </w:rPr>
        <w:t xml:space="preserve"> left ventricular</w:t>
      </w:r>
      <w:bookmarkEnd w:id="0"/>
      <w:r>
        <w:rPr>
          <w:rFonts w:ascii="Arial" w:hAnsi="Arial" w:cs="Arial"/>
          <w:color w:val="auto"/>
          <w:sz w:val="20"/>
          <w:szCs w:val="20"/>
        </w:rPr>
        <w:t xml:space="preserve"> ejection fraction</w:t>
      </w:r>
      <w:r>
        <w:rPr>
          <w:rFonts w:hint="default" w:ascii="Arial" w:hAnsi="Arial" w:cs="Arial"/>
          <w:color w:val="auto"/>
          <w:sz w:val="20"/>
          <w:szCs w:val="20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NGFjNjgxMzdlMGU4ZDMzZmRhYmM2NDgwMDQ0NjYifQ=="/>
  </w:docVars>
  <w:rsids>
    <w:rsidRoot w:val="00000000"/>
    <w:rsid w:val="16D67442"/>
    <w:rsid w:val="1D884F5D"/>
    <w:rsid w:val="1E3A265A"/>
    <w:rsid w:val="3576703B"/>
    <w:rsid w:val="3EDD20E3"/>
    <w:rsid w:val="469D3D74"/>
    <w:rsid w:val="4ABA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399</Characters>
  <Lines>0</Lines>
  <Paragraphs>0</Paragraphs>
  <TotalTime>0</TotalTime>
  <ScaleCrop>false</ScaleCrop>
  <LinksUpToDate>false</LinksUpToDate>
  <CharactersWithSpaces>439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lsy</dc:creator>
  <cp:lastModifiedBy>Sheng-Yu Li</cp:lastModifiedBy>
  <dcterms:modified xsi:type="dcterms:W3CDTF">2023-01-23T10:29:24Z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15736D3E73014BEBA5E496110792EF72</vt:lpwstr>
  </property>
</Properties>
</file>