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F7167" w14:textId="77777777" w:rsidR="00F61C51" w:rsidRPr="00B9426A" w:rsidRDefault="00F61C51" w:rsidP="008C71A2">
      <w:pPr>
        <w:pStyle w:val="NoSpacing1"/>
        <w:rPr>
          <w:rFonts w:ascii="Arial" w:hAnsi="Arial" w:cs="Arial"/>
          <w:sz w:val="20"/>
          <w:szCs w:val="20"/>
        </w:rPr>
      </w:pPr>
      <w:r w:rsidRPr="00B9426A">
        <w:rPr>
          <w:rFonts w:ascii="Arial" w:hAnsi="Arial" w:cs="Arial"/>
          <w:sz w:val="20"/>
          <w:szCs w:val="20"/>
        </w:rPr>
        <w:t>Supplement Table 1. Perioperative use of glucocorticoids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32"/>
        <w:gridCol w:w="1907"/>
        <w:gridCol w:w="2353"/>
        <w:gridCol w:w="2186"/>
        <w:gridCol w:w="2359"/>
        <w:gridCol w:w="2521"/>
      </w:tblGrid>
      <w:tr w:rsidR="00A43EE5" w:rsidRPr="00B9426A" w14:paraId="709B2437" w14:textId="3A3806DE" w:rsidTr="00071D58">
        <w:tc>
          <w:tcPr>
            <w:tcW w:w="943" w:type="pct"/>
            <w:vMerge w:val="restart"/>
            <w:tcBorders>
              <w:top w:val="single" w:sz="4" w:space="0" w:color="auto"/>
            </w:tcBorders>
            <w:vAlign w:val="center"/>
          </w:tcPr>
          <w:p w14:paraId="364E52F6" w14:textId="77777777" w:rsidR="00A43EE5" w:rsidRPr="00B9426A" w:rsidRDefault="00A43EE5" w:rsidP="0023046A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  <w:vAlign w:val="center"/>
          </w:tcPr>
          <w:p w14:paraId="75D17956" w14:textId="3F84E98F" w:rsidR="00A43EE5" w:rsidRPr="00B9426A" w:rsidRDefault="00A43EE5" w:rsidP="00230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All patients (n=933)</w:t>
            </w:r>
          </w:p>
        </w:tc>
        <w:tc>
          <w:tcPr>
            <w:tcW w:w="16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8CD82" w14:textId="6900E285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B9426A">
              <w:rPr>
                <w:rFonts w:ascii="Arial" w:eastAsia="微软雅黑" w:hAnsi="Arial" w:cs="Arial"/>
                <w:sz w:val="20"/>
                <w:szCs w:val="20"/>
              </w:rPr>
              <w:t>Full cohort (n=933)</w:t>
            </w:r>
          </w:p>
        </w:tc>
        <w:tc>
          <w:tcPr>
            <w:tcW w:w="1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0B20B" w14:textId="2BFF2D32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B9426A">
              <w:rPr>
                <w:rFonts w:ascii="Arial" w:eastAsia="微软雅黑" w:hAnsi="Arial" w:cs="Arial"/>
                <w:sz w:val="20"/>
                <w:szCs w:val="20"/>
              </w:rPr>
              <w:t>Matched cohort (n=492)</w:t>
            </w:r>
          </w:p>
        </w:tc>
      </w:tr>
      <w:tr w:rsidR="00A43EE5" w:rsidRPr="00B9426A" w14:paraId="4764D596" w14:textId="5C555065" w:rsidTr="00071D58">
        <w:tc>
          <w:tcPr>
            <w:tcW w:w="943" w:type="pct"/>
            <w:vMerge/>
            <w:tcBorders>
              <w:bottom w:val="single" w:sz="4" w:space="0" w:color="auto"/>
            </w:tcBorders>
            <w:vAlign w:val="center"/>
          </w:tcPr>
          <w:p w14:paraId="0AC94081" w14:textId="77777777" w:rsidR="00A43EE5" w:rsidRPr="00B9426A" w:rsidRDefault="00A43EE5" w:rsidP="00AC020D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  <w:vAlign w:val="center"/>
          </w:tcPr>
          <w:p w14:paraId="65BC4557" w14:textId="77777777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D6170" w14:textId="77777777" w:rsidR="00B2105B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dia</w:t>
            </w:r>
            <w:r w:rsidRPr="00B9426A">
              <w:rPr>
                <w:rFonts w:ascii="Arial" w:hAnsi="Arial" w:cs="Arial"/>
                <w:sz w:val="20"/>
                <w:szCs w:val="20"/>
              </w:rPr>
              <w:t xml:space="preserve">stolic </w:t>
            </w:r>
          </w:p>
          <w:p w14:paraId="02BD0874" w14:textId="6C8DA0C4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hypotension (n=676)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088F" w14:textId="1ACAEA37" w:rsidR="00A43EE5" w:rsidRPr="00B9426A" w:rsidRDefault="00B2105B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no dia</w:t>
            </w:r>
            <w:r w:rsidRPr="00B9426A">
              <w:rPr>
                <w:rFonts w:ascii="Arial" w:hAnsi="Arial" w:cs="Arial"/>
                <w:sz w:val="20"/>
                <w:szCs w:val="20"/>
              </w:rPr>
              <w:t>stolic hypotension</w:t>
            </w:r>
            <w:r w:rsidR="00A43EE5" w:rsidRPr="00B9426A">
              <w:rPr>
                <w:rFonts w:ascii="Arial" w:hAnsi="Arial" w:cs="Arial"/>
                <w:sz w:val="20"/>
                <w:szCs w:val="20"/>
              </w:rPr>
              <w:t xml:space="preserve"> (n=257)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</w:tcPr>
          <w:p w14:paraId="7EE2C922" w14:textId="77777777" w:rsidR="00B2105B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dia</w:t>
            </w:r>
            <w:r w:rsidRPr="00B9426A">
              <w:rPr>
                <w:rFonts w:ascii="Arial" w:hAnsi="Arial" w:cs="Arial"/>
                <w:sz w:val="20"/>
                <w:szCs w:val="20"/>
              </w:rPr>
              <w:t xml:space="preserve">stolic </w:t>
            </w:r>
          </w:p>
          <w:p w14:paraId="1B271532" w14:textId="696FBE42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hypotension (n=246)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7CE55622" w14:textId="77777777" w:rsidR="00B2105B" w:rsidRPr="00B9426A" w:rsidRDefault="00B2105B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no dia</w:t>
            </w:r>
            <w:r w:rsidRPr="00B9426A">
              <w:rPr>
                <w:rFonts w:ascii="Arial" w:hAnsi="Arial" w:cs="Arial"/>
                <w:sz w:val="20"/>
                <w:szCs w:val="20"/>
              </w:rPr>
              <w:t xml:space="preserve">stolic </w:t>
            </w:r>
          </w:p>
          <w:p w14:paraId="4564CEF8" w14:textId="064E176D" w:rsidR="00A43EE5" w:rsidRPr="00B9426A" w:rsidRDefault="00B2105B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hypotension</w:t>
            </w:r>
            <w:r w:rsidR="00A43EE5" w:rsidRPr="00B9426A">
              <w:rPr>
                <w:rFonts w:ascii="Arial" w:hAnsi="Arial" w:cs="Arial"/>
                <w:sz w:val="20"/>
                <w:szCs w:val="20"/>
              </w:rPr>
              <w:t xml:space="preserve"> (n=246)</w:t>
            </w:r>
          </w:p>
        </w:tc>
      </w:tr>
      <w:tr w:rsidR="00A43EE5" w:rsidRPr="00B9426A" w14:paraId="05EDCFE0" w14:textId="4A742466" w:rsidTr="00071D58"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0262BF00" w14:textId="77777777" w:rsidR="00A43EE5" w:rsidRPr="00B9426A" w:rsidRDefault="00A43EE5" w:rsidP="00AC020D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Intraoperative dexamethasone</w:t>
            </w:r>
          </w:p>
        </w:tc>
        <w:tc>
          <w:tcPr>
            <w:tcW w:w="683" w:type="pct"/>
            <w:tcBorders>
              <w:top w:val="single" w:sz="4" w:space="0" w:color="auto"/>
            </w:tcBorders>
            <w:vAlign w:val="center"/>
          </w:tcPr>
          <w:p w14:paraId="21461EDF" w14:textId="4BC50873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607 (65.1%)</w:t>
            </w:r>
          </w:p>
        </w:tc>
        <w:tc>
          <w:tcPr>
            <w:tcW w:w="843" w:type="pct"/>
            <w:tcBorders>
              <w:top w:val="single" w:sz="4" w:space="0" w:color="auto"/>
            </w:tcBorders>
            <w:vAlign w:val="center"/>
          </w:tcPr>
          <w:p w14:paraId="1A1B0983" w14:textId="78DD49AD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424 (62.7%)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1A48AF6C" w14:textId="275CA0B7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183 (71.2%)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14:paraId="717E8AFD" w14:textId="0E63C924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171 (69.5%)</w:t>
            </w: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</w:tcPr>
          <w:p w14:paraId="1EA6F410" w14:textId="3CAEA9E4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175 (71.1%)</w:t>
            </w:r>
          </w:p>
        </w:tc>
      </w:tr>
      <w:tr w:rsidR="00A43EE5" w:rsidRPr="00B9426A" w14:paraId="287B0BD7" w14:textId="34511D2C" w:rsidTr="00071D58">
        <w:tc>
          <w:tcPr>
            <w:tcW w:w="943" w:type="pct"/>
            <w:vAlign w:val="center"/>
          </w:tcPr>
          <w:p w14:paraId="0F4C717C" w14:textId="77777777" w:rsidR="00A43EE5" w:rsidRPr="00B9426A" w:rsidRDefault="00A43EE5" w:rsidP="00AC020D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5 mg</w:t>
            </w:r>
          </w:p>
        </w:tc>
        <w:tc>
          <w:tcPr>
            <w:tcW w:w="683" w:type="pct"/>
            <w:vAlign w:val="center"/>
          </w:tcPr>
          <w:p w14:paraId="02AA62DD" w14:textId="1FF2C704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134</w:t>
            </w:r>
          </w:p>
        </w:tc>
        <w:tc>
          <w:tcPr>
            <w:tcW w:w="843" w:type="pct"/>
            <w:vAlign w:val="center"/>
          </w:tcPr>
          <w:p w14:paraId="5D9F7054" w14:textId="25898D7C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 xml:space="preserve">96 </w:t>
            </w:r>
          </w:p>
        </w:tc>
        <w:tc>
          <w:tcPr>
            <w:tcW w:w="783" w:type="pct"/>
            <w:vAlign w:val="center"/>
          </w:tcPr>
          <w:p w14:paraId="48A541A0" w14:textId="29058B44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 xml:space="preserve">38 </w:t>
            </w:r>
          </w:p>
        </w:tc>
        <w:tc>
          <w:tcPr>
            <w:tcW w:w="845" w:type="pct"/>
          </w:tcPr>
          <w:p w14:paraId="06D37251" w14:textId="0EA3C687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903" w:type="pct"/>
            <w:vAlign w:val="center"/>
          </w:tcPr>
          <w:p w14:paraId="78D54312" w14:textId="247FD9F8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36</w:t>
            </w:r>
          </w:p>
        </w:tc>
      </w:tr>
      <w:tr w:rsidR="00A43EE5" w:rsidRPr="00B9426A" w14:paraId="13680017" w14:textId="694FAE09" w:rsidTr="00071D58">
        <w:tc>
          <w:tcPr>
            <w:tcW w:w="943" w:type="pct"/>
            <w:vAlign w:val="center"/>
          </w:tcPr>
          <w:p w14:paraId="13820C27" w14:textId="77777777" w:rsidR="00A43EE5" w:rsidRPr="00B9426A" w:rsidRDefault="00A43EE5" w:rsidP="00AC020D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683" w:type="pct"/>
            <w:vAlign w:val="center"/>
          </w:tcPr>
          <w:p w14:paraId="7F18EDDC" w14:textId="3FC00C48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473</w:t>
            </w:r>
          </w:p>
        </w:tc>
        <w:tc>
          <w:tcPr>
            <w:tcW w:w="843" w:type="pct"/>
            <w:vAlign w:val="center"/>
          </w:tcPr>
          <w:p w14:paraId="7A6A0BE0" w14:textId="13B86F11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 xml:space="preserve">328 </w:t>
            </w:r>
          </w:p>
        </w:tc>
        <w:tc>
          <w:tcPr>
            <w:tcW w:w="783" w:type="pct"/>
            <w:vAlign w:val="center"/>
          </w:tcPr>
          <w:p w14:paraId="5156936D" w14:textId="54BC728A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 xml:space="preserve">145 </w:t>
            </w:r>
          </w:p>
        </w:tc>
        <w:tc>
          <w:tcPr>
            <w:tcW w:w="845" w:type="pct"/>
          </w:tcPr>
          <w:p w14:paraId="01628A9A" w14:textId="7E4068AE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136</w:t>
            </w:r>
          </w:p>
        </w:tc>
        <w:tc>
          <w:tcPr>
            <w:tcW w:w="903" w:type="pct"/>
            <w:vAlign w:val="center"/>
          </w:tcPr>
          <w:p w14:paraId="3C6BECCB" w14:textId="41074A5C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139</w:t>
            </w:r>
          </w:p>
        </w:tc>
      </w:tr>
      <w:tr w:rsidR="00A43EE5" w:rsidRPr="00B9426A" w14:paraId="0D22EDE2" w14:textId="6186152F" w:rsidTr="00071D58">
        <w:tc>
          <w:tcPr>
            <w:tcW w:w="943" w:type="pct"/>
            <w:vAlign w:val="center"/>
          </w:tcPr>
          <w:p w14:paraId="17D83738" w14:textId="77777777" w:rsidR="00A43EE5" w:rsidRPr="00B9426A" w:rsidRDefault="00A43EE5" w:rsidP="00AC020D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Intraoperative </w:t>
            </w:r>
            <w:bookmarkStart w:id="0" w:name="_GoBack"/>
            <w:bookmarkEnd w:id="0"/>
            <w:r w:rsidRPr="00B9426A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  <w:tc>
          <w:tcPr>
            <w:tcW w:w="683" w:type="pct"/>
            <w:vAlign w:val="center"/>
          </w:tcPr>
          <w:p w14:paraId="5CCB100C" w14:textId="7CDD9DA9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109 (11.7%)</w:t>
            </w:r>
          </w:p>
        </w:tc>
        <w:tc>
          <w:tcPr>
            <w:tcW w:w="843" w:type="pct"/>
            <w:vAlign w:val="center"/>
          </w:tcPr>
          <w:p w14:paraId="753378BE" w14:textId="40871E57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81 (12.0%)</w:t>
            </w:r>
          </w:p>
        </w:tc>
        <w:tc>
          <w:tcPr>
            <w:tcW w:w="783" w:type="pct"/>
            <w:vAlign w:val="center"/>
          </w:tcPr>
          <w:p w14:paraId="52AC0FCD" w14:textId="3C505952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28 (10.9%)</w:t>
            </w:r>
          </w:p>
        </w:tc>
        <w:tc>
          <w:tcPr>
            <w:tcW w:w="845" w:type="pct"/>
          </w:tcPr>
          <w:p w14:paraId="2DE71233" w14:textId="620F1B9E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29 (11.8%)</w:t>
            </w:r>
          </w:p>
        </w:tc>
        <w:tc>
          <w:tcPr>
            <w:tcW w:w="903" w:type="pct"/>
            <w:vAlign w:val="center"/>
          </w:tcPr>
          <w:p w14:paraId="14B2097E" w14:textId="307669C3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27 (11.0%)</w:t>
            </w:r>
          </w:p>
        </w:tc>
      </w:tr>
      <w:tr w:rsidR="00A43EE5" w:rsidRPr="00B9426A" w14:paraId="6130CE82" w14:textId="23D4C7F8" w:rsidTr="00071D58">
        <w:tc>
          <w:tcPr>
            <w:tcW w:w="943" w:type="pct"/>
            <w:vAlign w:val="center"/>
          </w:tcPr>
          <w:p w14:paraId="100CB90B" w14:textId="77777777" w:rsidR="00A43EE5" w:rsidRPr="00B9426A" w:rsidRDefault="00A43EE5" w:rsidP="00AC020D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40mg</w:t>
            </w:r>
          </w:p>
        </w:tc>
        <w:tc>
          <w:tcPr>
            <w:tcW w:w="683" w:type="pct"/>
            <w:vAlign w:val="center"/>
          </w:tcPr>
          <w:p w14:paraId="5323887A" w14:textId="40B5981B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3" w:type="pct"/>
            <w:vAlign w:val="center"/>
          </w:tcPr>
          <w:p w14:paraId="153793FA" w14:textId="1B7BE6D2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83" w:type="pct"/>
            <w:vAlign w:val="center"/>
          </w:tcPr>
          <w:p w14:paraId="1034A7A1" w14:textId="26931A3E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5" w:type="pct"/>
          </w:tcPr>
          <w:p w14:paraId="4F0F7BBE" w14:textId="7BE0F55F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3" w:type="pct"/>
            <w:vAlign w:val="center"/>
          </w:tcPr>
          <w:p w14:paraId="200B00F7" w14:textId="43FB1C13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A43EE5" w:rsidRPr="00B9426A" w14:paraId="2303A2D7" w14:textId="18F18DB5" w:rsidTr="00071D58">
        <w:tc>
          <w:tcPr>
            <w:tcW w:w="943" w:type="pct"/>
            <w:vAlign w:val="center"/>
          </w:tcPr>
          <w:p w14:paraId="286F35B5" w14:textId="77777777" w:rsidR="00A43EE5" w:rsidRPr="00B9426A" w:rsidRDefault="00A43EE5" w:rsidP="00AC020D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683" w:type="pct"/>
            <w:vAlign w:val="center"/>
          </w:tcPr>
          <w:p w14:paraId="4D6C2A7C" w14:textId="3AA8B441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843" w:type="pct"/>
            <w:vAlign w:val="center"/>
          </w:tcPr>
          <w:p w14:paraId="49A6A6B2" w14:textId="33D4F607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783" w:type="pct"/>
            <w:vAlign w:val="center"/>
          </w:tcPr>
          <w:p w14:paraId="1955D7BA" w14:textId="04AB0569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5" w:type="pct"/>
          </w:tcPr>
          <w:p w14:paraId="0D41C4FA" w14:textId="1FC76610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903" w:type="pct"/>
            <w:vAlign w:val="center"/>
          </w:tcPr>
          <w:p w14:paraId="2F2E6C75" w14:textId="6C406F24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</w:tr>
      <w:tr w:rsidR="00A43EE5" w:rsidRPr="00B9426A" w14:paraId="32CB99C1" w14:textId="031B1D05" w:rsidTr="00071D58">
        <w:tc>
          <w:tcPr>
            <w:tcW w:w="943" w:type="pct"/>
            <w:vAlign w:val="center"/>
          </w:tcPr>
          <w:p w14:paraId="5D8ADFE1" w14:textId="77777777" w:rsidR="00A43EE5" w:rsidRPr="00B9426A" w:rsidRDefault="00A43EE5" w:rsidP="00AC020D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80 mg</w:t>
            </w:r>
          </w:p>
        </w:tc>
        <w:tc>
          <w:tcPr>
            <w:tcW w:w="683" w:type="pct"/>
            <w:vAlign w:val="center"/>
          </w:tcPr>
          <w:p w14:paraId="33BBA969" w14:textId="30A6CA63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59</w:t>
            </w:r>
          </w:p>
        </w:tc>
        <w:tc>
          <w:tcPr>
            <w:tcW w:w="843" w:type="pct"/>
            <w:vAlign w:val="center"/>
          </w:tcPr>
          <w:p w14:paraId="415EDF7C" w14:textId="70C3E773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783" w:type="pct"/>
            <w:vAlign w:val="center"/>
          </w:tcPr>
          <w:p w14:paraId="6FB076AE" w14:textId="54836A17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845" w:type="pct"/>
          </w:tcPr>
          <w:p w14:paraId="5FC5DADC" w14:textId="74F59619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03" w:type="pct"/>
            <w:vAlign w:val="center"/>
          </w:tcPr>
          <w:p w14:paraId="446A0842" w14:textId="0B93C7D3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15</w:t>
            </w:r>
          </w:p>
        </w:tc>
      </w:tr>
      <w:tr w:rsidR="00A43EE5" w:rsidRPr="00B9426A" w14:paraId="47E5825D" w14:textId="03F3AF9E" w:rsidTr="00071D58">
        <w:tc>
          <w:tcPr>
            <w:tcW w:w="943" w:type="pct"/>
            <w:vAlign w:val="center"/>
          </w:tcPr>
          <w:p w14:paraId="47D6496B" w14:textId="77777777" w:rsidR="00A43EE5" w:rsidRPr="00B9426A" w:rsidRDefault="00A43EE5" w:rsidP="00AC020D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Postoperative dexamethasone</w:t>
            </w:r>
          </w:p>
        </w:tc>
        <w:tc>
          <w:tcPr>
            <w:tcW w:w="683" w:type="pct"/>
            <w:vAlign w:val="center"/>
          </w:tcPr>
          <w:p w14:paraId="02CB7294" w14:textId="79F822AC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458 (49.1%)</w:t>
            </w:r>
          </w:p>
        </w:tc>
        <w:tc>
          <w:tcPr>
            <w:tcW w:w="843" w:type="pct"/>
            <w:vAlign w:val="center"/>
          </w:tcPr>
          <w:p w14:paraId="51F75009" w14:textId="4DED40EB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326 (48.2%)</w:t>
            </w:r>
          </w:p>
        </w:tc>
        <w:tc>
          <w:tcPr>
            <w:tcW w:w="783" w:type="pct"/>
            <w:vAlign w:val="center"/>
          </w:tcPr>
          <w:p w14:paraId="17C652EC" w14:textId="078658D9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132 (51.4%)</w:t>
            </w:r>
          </w:p>
        </w:tc>
        <w:tc>
          <w:tcPr>
            <w:tcW w:w="845" w:type="pct"/>
          </w:tcPr>
          <w:p w14:paraId="2E67F68F" w14:textId="77EA6FCA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124 (50.4%)</w:t>
            </w:r>
          </w:p>
        </w:tc>
        <w:tc>
          <w:tcPr>
            <w:tcW w:w="903" w:type="pct"/>
            <w:vAlign w:val="center"/>
          </w:tcPr>
          <w:p w14:paraId="656AA915" w14:textId="7CBC95EF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122 (49.6%)</w:t>
            </w:r>
          </w:p>
        </w:tc>
      </w:tr>
      <w:tr w:rsidR="00A43EE5" w:rsidRPr="00B9426A" w14:paraId="7B33D783" w14:textId="6FE218EB" w:rsidTr="00071D58">
        <w:tc>
          <w:tcPr>
            <w:tcW w:w="943" w:type="pct"/>
            <w:vAlign w:val="center"/>
          </w:tcPr>
          <w:p w14:paraId="4AC70DAA" w14:textId="77777777" w:rsidR="00A43EE5" w:rsidRPr="00B9426A" w:rsidRDefault="00A43EE5" w:rsidP="00AC020D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5 mg</w:t>
            </w:r>
          </w:p>
        </w:tc>
        <w:tc>
          <w:tcPr>
            <w:tcW w:w="683" w:type="pct"/>
            <w:vAlign w:val="center"/>
          </w:tcPr>
          <w:p w14:paraId="51641177" w14:textId="40CFE19A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843" w:type="pct"/>
            <w:vAlign w:val="center"/>
          </w:tcPr>
          <w:p w14:paraId="06FEF2DA" w14:textId="5FF7427A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783" w:type="pct"/>
            <w:vAlign w:val="center"/>
          </w:tcPr>
          <w:p w14:paraId="7DB748E4" w14:textId="2BBE3DA8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5" w:type="pct"/>
          </w:tcPr>
          <w:p w14:paraId="7B745FC4" w14:textId="6E99CCCA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903" w:type="pct"/>
            <w:vAlign w:val="center"/>
          </w:tcPr>
          <w:p w14:paraId="3A8AD5AB" w14:textId="3934B72B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</w:tr>
      <w:tr w:rsidR="00A43EE5" w:rsidRPr="00B9426A" w14:paraId="59F1FB1F" w14:textId="4C44F7CE" w:rsidTr="00071D58">
        <w:tc>
          <w:tcPr>
            <w:tcW w:w="943" w:type="pct"/>
            <w:tcBorders>
              <w:bottom w:val="single" w:sz="4" w:space="0" w:color="auto"/>
            </w:tcBorders>
            <w:vAlign w:val="center"/>
          </w:tcPr>
          <w:p w14:paraId="0EDFA6FE" w14:textId="77777777" w:rsidR="00A43EE5" w:rsidRPr="00B9426A" w:rsidRDefault="00A43EE5" w:rsidP="00AC020D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14:paraId="35160F0E" w14:textId="39660018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388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2A4C4914" w14:textId="00052208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268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4B9C588F" w14:textId="3C50169F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47FE4D0D" w14:textId="7C540ACA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01DEC32B" w14:textId="4B9075D4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110</w:t>
            </w:r>
          </w:p>
        </w:tc>
      </w:tr>
    </w:tbl>
    <w:p w14:paraId="333BBE70" w14:textId="77777777" w:rsidR="00F61C51" w:rsidRPr="00B9426A" w:rsidRDefault="00F61C51" w:rsidP="008C71A2">
      <w:pPr>
        <w:pStyle w:val="NoSpacing1"/>
        <w:rPr>
          <w:rFonts w:ascii="Arial" w:hAnsi="Arial" w:cs="Arial"/>
          <w:sz w:val="20"/>
          <w:szCs w:val="20"/>
        </w:rPr>
      </w:pPr>
      <w:r w:rsidRPr="00B9426A">
        <w:rPr>
          <w:rFonts w:ascii="Arial" w:hAnsi="Arial" w:cs="Arial"/>
          <w:sz w:val="20"/>
          <w:szCs w:val="20"/>
        </w:rPr>
        <w:t>Results are presented as number (%).</w:t>
      </w:r>
    </w:p>
    <w:p w14:paraId="1605A7EE" w14:textId="77777777" w:rsidR="00F61C51" w:rsidRPr="00B9426A" w:rsidRDefault="00F61C51" w:rsidP="008C71A2">
      <w:pPr>
        <w:pStyle w:val="NoSpacing1"/>
        <w:rPr>
          <w:rFonts w:ascii="Arial" w:hAnsi="Arial" w:cs="Arial"/>
          <w:sz w:val="20"/>
          <w:szCs w:val="20"/>
        </w:rPr>
      </w:pPr>
    </w:p>
    <w:p w14:paraId="720815BF" w14:textId="77777777" w:rsidR="00F61C51" w:rsidRPr="00B9426A" w:rsidRDefault="00F61C51" w:rsidP="008C71A2">
      <w:pPr>
        <w:pStyle w:val="NoSpacing1"/>
        <w:rPr>
          <w:rFonts w:ascii="Arial" w:hAnsi="Arial" w:cs="Arial"/>
          <w:sz w:val="21"/>
          <w:szCs w:val="21"/>
        </w:rPr>
      </w:pPr>
    </w:p>
    <w:p w14:paraId="3B373ABF" w14:textId="77777777" w:rsidR="00F61C51" w:rsidRPr="00B9426A" w:rsidRDefault="00F61C51" w:rsidP="008C71A2">
      <w:pPr>
        <w:pStyle w:val="NoSpacing1"/>
        <w:rPr>
          <w:rFonts w:ascii="Arial" w:hAnsi="Arial" w:cs="Arial"/>
          <w:sz w:val="21"/>
          <w:szCs w:val="21"/>
        </w:rPr>
      </w:pPr>
    </w:p>
    <w:p w14:paraId="50D57CB0" w14:textId="77777777" w:rsidR="00F61C51" w:rsidRPr="00B9426A" w:rsidRDefault="00F61C51" w:rsidP="008C71A2">
      <w:pPr>
        <w:pStyle w:val="NoSpacing1"/>
        <w:rPr>
          <w:rFonts w:ascii="Arial" w:hAnsi="Arial" w:cs="Arial"/>
          <w:sz w:val="21"/>
          <w:szCs w:val="21"/>
        </w:rPr>
      </w:pPr>
    </w:p>
    <w:p w14:paraId="291D5AD5" w14:textId="77777777" w:rsidR="00F61C51" w:rsidRPr="00B9426A" w:rsidRDefault="00F61C51" w:rsidP="008C71A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9426A">
        <w:rPr>
          <w:rFonts w:ascii="Arial" w:hAnsi="Arial" w:cs="Arial"/>
          <w:sz w:val="21"/>
          <w:szCs w:val="21"/>
        </w:rPr>
        <w:br w:type="page"/>
      </w:r>
    </w:p>
    <w:p w14:paraId="6632709F" w14:textId="77777777" w:rsidR="00F61C51" w:rsidRPr="00B9426A" w:rsidRDefault="00F61C51" w:rsidP="008C71A2">
      <w:pPr>
        <w:pStyle w:val="NoSpacing1"/>
        <w:rPr>
          <w:rFonts w:ascii="Arial" w:hAnsi="Arial" w:cs="Arial"/>
          <w:sz w:val="20"/>
          <w:szCs w:val="20"/>
        </w:rPr>
      </w:pPr>
      <w:r w:rsidRPr="00B9426A">
        <w:rPr>
          <w:rFonts w:ascii="Arial" w:hAnsi="Arial" w:cs="Arial"/>
          <w:sz w:val="20"/>
          <w:szCs w:val="20"/>
        </w:rPr>
        <w:lastRenderedPageBreak/>
        <w:t>Supplement Table 2. Perioperative use of opioids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53"/>
        <w:gridCol w:w="1826"/>
        <w:gridCol w:w="2163"/>
        <w:gridCol w:w="2163"/>
        <w:gridCol w:w="2155"/>
        <w:gridCol w:w="2498"/>
      </w:tblGrid>
      <w:tr w:rsidR="00A43EE5" w:rsidRPr="00B9426A" w14:paraId="668A7415" w14:textId="77777777" w:rsidTr="00071D58">
        <w:tc>
          <w:tcPr>
            <w:tcW w:w="1129" w:type="pct"/>
            <w:vMerge w:val="restart"/>
            <w:tcBorders>
              <w:top w:val="single" w:sz="4" w:space="0" w:color="auto"/>
            </w:tcBorders>
            <w:vAlign w:val="center"/>
          </w:tcPr>
          <w:p w14:paraId="38177C66" w14:textId="77777777" w:rsidR="00A43EE5" w:rsidRPr="00B9426A" w:rsidRDefault="00A43EE5" w:rsidP="0023046A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</w:tcBorders>
            <w:vAlign w:val="center"/>
          </w:tcPr>
          <w:p w14:paraId="780C1976" w14:textId="08E87020" w:rsidR="00A43EE5" w:rsidRPr="00B9426A" w:rsidRDefault="00A43EE5" w:rsidP="00230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All patients (n=933)</w:t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812C1" w14:textId="77777777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B9426A">
              <w:rPr>
                <w:rFonts w:ascii="Arial" w:eastAsia="微软雅黑" w:hAnsi="Arial" w:cs="Arial"/>
                <w:sz w:val="20"/>
                <w:szCs w:val="20"/>
              </w:rPr>
              <w:t>Full cohort (n=933)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0E2C5" w14:textId="77777777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B9426A">
              <w:rPr>
                <w:rFonts w:ascii="Arial" w:eastAsia="微软雅黑" w:hAnsi="Arial" w:cs="Arial"/>
                <w:sz w:val="20"/>
                <w:szCs w:val="20"/>
              </w:rPr>
              <w:t>Matched cohort (n=492)</w:t>
            </w:r>
          </w:p>
        </w:tc>
      </w:tr>
      <w:tr w:rsidR="00A43EE5" w:rsidRPr="00B9426A" w14:paraId="5E0782BD" w14:textId="77777777" w:rsidTr="00071D58">
        <w:tc>
          <w:tcPr>
            <w:tcW w:w="1129" w:type="pct"/>
            <w:vMerge/>
            <w:tcBorders>
              <w:bottom w:val="single" w:sz="4" w:space="0" w:color="auto"/>
            </w:tcBorders>
          </w:tcPr>
          <w:p w14:paraId="6894361F" w14:textId="77777777" w:rsidR="00A43EE5" w:rsidRPr="00B9426A" w:rsidRDefault="00A43EE5" w:rsidP="00AC020D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bottom w:val="single" w:sz="4" w:space="0" w:color="auto"/>
            </w:tcBorders>
          </w:tcPr>
          <w:p w14:paraId="18ED4411" w14:textId="77777777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</w:tcPr>
          <w:p w14:paraId="7457813D" w14:textId="77777777" w:rsidR="00B2105B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dia</w:t>
            </w:r>
            <w:r w:rsidRPr="00B9426A">
              <w:rPr>
                <w:rFonts w:ascii="Arial" w:hAnsi="Arial" w:cs="Arial"/>
                <w:sz w:val="20"/>
                <w:szCs w:val="20"/>
              </w:rPr>
              <w:t xml:space="preserve">stolic </w:t>
            </w:r>
          </w:p>
          <w:p w14:paraId="6158FCDE" w14:textId="30D4F213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hypotension (n=676)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</w:tcPr>
          <w:p w14:paraId="2DE9AF6F" w14:textId="2A9C73DA" w:rsidR="00A43EE5" w:rsidRPr="00B9426A" w:rsidRDefault="00B2105B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no dia</w:t>
            </w:r>
            <w:r w:rsidRPr="00B9426A">
              <w:rPr>
                <w:rFonts w:ascii="Arial" w:hAnsi="Arial" w:cs="Arial"/>
                <w:sz w:val="20"/>
                <w:szCs w:val="20"/>
              </w:rPr>
              <w:t>stolic hypotension</w:t>
            </w:r>
            <w:r w:rsidR="00A43EE5" w:rsidRPr="00B9426A">
              <w:rPr>
                <w:rFonts w:ascii="Arial" w:hAnsi="Arial" w:cs="Arial"/>
                <w:sz w:val="20"/>
                <w:szCs w:val="20"/>
              </w:rPr>
              <w:t xml:space="preserve"> (n=257)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14:paraId="6E271641" w14:textId="77777777" w:rsidR="00B2105B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dia</w:t>
            </w:r>
            <w:r w:rsidRPr="00B9426A">
              <w:rPr>
                <w:rFonts w:ascii="Arial" w:hAnsi="Arial" w:cs="Arial"/>
                <w:sz w:val="20"/>
                <w:szCs w:val="20"/>
              </w:rPr>
              <w:t xml:space="preserve">stolic </w:t>
            </w:r>
          </w:p>
          <w:p w14:paraId="03A2E581" w14:textId="5C060628" w:rsidR="00A43EE5" w:rsidRPr="00B9426A" w:rsidRDefault="00A43EE5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hypotension</w:t>
            </w:r>
            <w:r w:rsidRPr="00B9426A" w:rsidDel="007D2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426A">
              <w:rPr>
                <w:rFonts w:ascii="Arial" w:hAnsi="Arial" w:cs="Arial"/>
                <w:sz w:val="20"/>
                <w:szCs w:val="20"/>
              </w:rPr>
              <w:t>(n=246)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2AD63721" w14:textId="77777777" w:rsidR="00B2105B" w:rsidRPr="00B9426A" w:rsidRDefault="00B2105B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no dia</w:t>
            </w:r>
            <w:r w:rsidRPr="00B9426A">
              <w:rPr>
                <w:rFonts w:ascii="Arial" w:hAnsi="Arial" w:cs="Arial"/>
                <w:sz w:val="20"/>
                <w:szCs w:val="20"/>
              </w:rPr>
              <w:t xml:space="preserve">stolic </w:t>
            </w:r>
          </w:p>
          <w:p w14:paraId="1B4B300D" w14:textId="052656A2" w:rsidR="00A43EE5" w:rsidRPr="00B9426A" w:rsidRDefault="00B2105B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hypotension</w:t>
            </w:r>
            <w:r w:rsidR="00A43EE5" w:rsidRPr="00B9426A">
              <w:rPr>
                <w:rFonts w:ascii="Arial" w:hAnsi="Arial" w:cs="Arial"/>
                <w:sz w:val="20"/>
                <w:szCs w:val="20"/>
              </w:rPr>
              <w:t xml:space="preserve"> (n=246)</w:t>
            </w:r>
          </w:p>
        </w:tc>
      </w:tr>
      <w:tr w:rsidR="00A43EE5" w:rsidRPr="00B9426A" w14:paraId="7796E4CD" w14:textId="77777777" w:rsidTr="00071D58">
        <w:tc>
          <w:tcPr>
            <w:tcW w:w="1129" w:type="pct"/>
            <w:tcBorders>
              <w:top w:val="single" w:sz="4" w:space="0" w:color="auto"/>
            </w:tcBorders>
          </w:tcPr>
          <w:p w14:paraId="612F7928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Intraoperative opioids</w:t>
            </w:r>
          </w:p>
        </w:tc>
        <w:tc>
          <w:tcPr>
            <w:tcW w:w="654" w:type="pct"/>
            <w:tcBorders>
              <w:top w:val="single" w:sz="4" w:space="0" w:color="auto"/>
            </w:tcBorders>
          </w:tcPr>
          <w:p w14:paraId="7547CDF7" w14:textId="7777777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</w:tcBorders>
          </w:tcPr>
          <w:p w14:paraId="5EB58626" w14:textId="7777777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</w:tcBorders>
          </w:tcPr>
          <w:p w14:paraId="74E83EBC" w14:textId="7777777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</w:tcBorders>
          </w:tcPr>
          <w:p w14:paraId="1887C124" w14:textId="7777777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2B09515B" w14:textId="7777777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EE5" w:rsidRPr="00B9426A" w14:paraId="7F6D2086" w14:textId="77777777" w:rsidTr="00071D58">
        <w:tc>
          <w:tcPr>
            <w:tcW w:w="1129" w:type="pct"/>
          </w:tcPr>
          <w:p w14:paraId="72D47299" w14:textId="77777777" w:rsidR="00A43EE5" w:rsidRPr="00B9426A" w:rsidRDefault="00A43EE5" w:rsidP="00FD7F94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Fentanyl</w:t>
            </w:r>
          </w:p>
        </w:tc>
        <w:tc>
          <w:tcPr>
            <w:tcW w:w="654" w:type="pct"/>
          </w:tcPr>
          <w:p w14:paraId="5B3D4799" w14:textId="40274C4A" w:rsidR="00A43EE5" w:rsidRPr="00B9426A" w:rsidRDefault="00A43EE5" w:rsidP="00FD7F9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5" w:type="pct"/>
          </w:tcPr>
          <w:p w14:paraId="58F0A7B3" w14:textId="32FDB977" w:rsidR="00A43EE5" w:rsidRPr="00B9426A" w:rsidRDefault="00A43EE5" w:rsidP="00FD7F9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5" w:type="pct"/>
          </w:tcPr>
          <w:p w14:paraId="235E662E" w14:textId="23C00659" w:rsidR="00A43EE5" w:rsidRPr="00B9426A" w:rsidRDefault="00A43EE5" w:rsidP="00FD7F9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2" w:type="pct"/>
          </w:tcPr>
          <w:p w14:paraId="6CF1714B" w14:textId="71695010" w:rsidR="00A43EE5" w:rsidRPr="00B9426A" w:rsidRDefault="00A43EE5" w:rsidP="00FD7F9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95" w:type="pct"/>
          </w:tcPr>
          <w:p w14:paraId="059439AB" w14:textId="3119B0C6" w:rsidR="00A43EE5" w:rsidRPr="00B9426A" w:rsidRDefault="00A43EE5" w:rsidP="00FD7F9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A43EE5" w:rsidRPr="00B9426A" w14:paraId="5122CDD5" w14:textId="77777777" w:rsidTr="00071D58">
        <w:tc>
          <w:tcPr>
            <w:tcW w:w="1129" w:type="pct"/>
          </w:tcPr>
          <w:p w14:paraId="1885C452" w14:textId="77777777" w:rsidR="00A43EE5" w:rsidRPr="00B9426A" w:rsidRDefault="00A43EE5" w:rsidP="00FD7F94">
            <w:pPr>
              <w:pStyle w:val="NoSpacing1"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Fentanyl dosage (ug)</w:t>
            </w:r>
            <w:r w:rsidRPr="00B9426A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54" w:type="pct"/>
            <w:vAlign w:val="center"/>
          </w:tcPr>
          <w:p w14:paraId="5EC93935" w14:textId="1504574E" w:rsidR="00A43EE5" w:rsidRPr="00B9426A" w:rsidRDefault="00A43EE5" w:rsidP="00FD7F9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5" w:type="pct"/>
          </w:tcPr>
          <w:p w14:paraId="68A481AA" w14:textId="60E6E728" w:rsidR="00A43EE5" w:rsidRPr="00B9426A" w:rsidRDefault="00A43EE5" w:rsidP="00FD7F9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5" w:type="pct"/>
          </w:tcPr>
          <w:p w14:paraId="0A0F47AE" w14:textId="26A772A2" w:rsidR="00A43EE5" w:rsidRPr="00B9426A" w:rsidRDefault="00A43EE5" w:rsidP="00FD7F9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2" w:type="pct"/>
            <w:vAlign w:val="center"/>
          </w:tcPr>
          <w:p w14:paraId="5E811053" w14:textId="1DB51565" w:rsidR="00A43EE5" w:rsidRPr="00B9426A" w:rsidRDefault="00A43EE5" w:rsidP="00FD7F9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95" w:type="pct"/>
          </w:tcPr>
          <w:p w14:paraId="185C350B" w14:textId="483A54E9" w:rsidR="00A43EE5" w:rsidRPr="00B9426A" w:rsidRDefault="00A43EE5" w:rsidP="00FD7F9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A43EE5" w:rsidRPr="00B9426A" w14:paraId="1C8CBD81" w14:textId="77777777" w:rsidTr="00071D58">
        <w:tc>
          <w:tcPr>
            <w:tcW w:w="1129" w:type="pct"/>
          </w:tcPr>
          <w:p w14:paraId="3F3F46C3" w14:textId="77777777" w:rsidR="00A43EE5" w:rsidRPr="00B9426A" w:rsidRDefault="00A43EE5" w:rsidP="00FB65F9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26A">
              <w:rPr>
                <w:rFonts w:ascii="Arial" w:hAnsi="Arial" w:cs="Arial"/>
                <w:sz w:val="20"/>
                <w:szCs w:val="20"/>
              </w:rPr>
              <w:t>Sufentanil</w:t>
            </w:r>
            <w:proofErr w:type="spellEnd"/>
          </w:p>
        </w:tc>
        <w:tc>
          <w:tcPr>
            <w:tcW w:w="654" w:type="pct"/>
          </w:tcPr>
          <w:p w14:paraId="798A6D45" w14:textId="44816D2F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722 (77.4%)</w:t>
            </w:r>
          </w:p>
        </w:tc>
        <w:tc>
          <w:tcPr>
            <w:tcW w:w="775" w:type="pct"/>
          </w:tcPr>
          <w:p w14:paraId="4E8EE661" w14:textId="1D7D79DF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533 (78.8%)</w:t>
            </w:r>
          </w:p>
        </w:tc>
        <w:tc>
          <w:tcPr>
            <w:tcW w:w="775" w:type="pct"/>
          </w:tcPr>
          <w:p w14:paraId="5B28E9E2" w14:textId="0D19B03F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189 (73.5%)</w:t>
            </w:r>
          </w:p>
        </w:tc>
        <w:tc>
          <w:tcPr>
            <w:tcW w:w="772" w:type="pct"/>
          </w:tcPr>
          <w:p w14:paraId="0A79E414" w14:textId="3B746E84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194 (78.9%)</w:t>
            </w:r>
          </w:p>
        </w:tc>
        <w:tc>
          <w:tcPr>
            <w:tcW w:w="895" w:type="pct"/>
          </w:tcPr>
          <w:p w14:paraId="012F7D88" w14:textId="5053D2E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180 (73.2%)</w:t>
            </w:r>
          </w:p>
        </w:tc>
      </w:tr>
      <w:tr w:rsidR="00A43EE5" w:rsidRPr="00B9426A" w14:paraId="5DBE1EAD" w14:textId="77777777" w:rsidTr="00071D58">
        <w:tc>
          <w:tcPr>
            <w:tcW w:w="1129" w:type="pct"/>
          </w:tcPr>
          <w:p w14:paraId="5E4ECFDF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B9426A">
              <w:rPr>
                <w:rFonts w:ascii="Arial" w:hAnsi="Arial" w:cs="Arial"/>
                <w:sz w:val="20"/>
                <w:szCs w:val="20"/>
              </w:rPr>
              <w:t>Sufentanil</w:t>
            </w:r>
            <w:proofErr w:type="spellEnd"/>
            <w:r w:rsidRPr="00B9426A">
              <w:rPr>
                <w:rFonts w:ascii="Arial" w:hAnsi="Arial" w:cs="Arial"/>
                <w:sz w:val="20"/>
                <w:szCs w:val="20"/>
              </w:rPr>
              <w:t xml:space="preserve"> dose (ug)</w:t>
            </w:r>
            <w:r w:rsidRPr="00B9426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654" w:type="pct"/>
          </w:tcPr>
          <w:p w14:paraId="10898395" w14:textId="1D08B0D9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35 (20-75)</w:t>
            </w:r>
          </w:p>
        </w:tc>
        <w:tc>
          <w:tcPr>
            <w:tcW w:w="775" w:type="pct"/>
          </w:tcPr>
          <w:p w14:paraId="06899398" w14:textId="0B150BD5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30 (15-75)</w:t>
            </w:r>
          </w:p>
        </w:tc>
        <w:tc>
          <w:tcPr>
            <w:tcW w:w="775" w:type="pct"/>
          </w:tcPr>
          <w:p w14:paraId="66EFE4FD" w14:textId="026CB4B9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40 (20-75)</w:t>
            </w:r>
          </w:p>
        </w:tc>
        <w:tc>
          <w:tcPr>
            <w:tcW w:w="772" w:type="pct"/>
          </w:tcPr>
          <w:p w14:paraId="13B55ED3" w14:textId="4F12E330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30 (20-75)</w:t>
            </w:r>
          </w:p>
        </w:tc>
        <w:tc>
          <w:tcPr>
            <w:tcW w:w="895" w:type="pct"/>
          </w:tcPr>
          <w:p w14:paraId="30037D00" w14:textId="29CF16EF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30 (20-75)</w:t>
            </w:r>
          </w:p>
        </w:tc>
      </w:tr>
      <w:tr w:rsidR="00A43EE5" w:rsidRPr="00B9426A" w14:paraId="3B9A589D" w14:textId="77777777" w:rsidTr="00071D58">
        <w:tc>
          <w:tcPr>
            <w:tcW w:w="1129" w:type="pct"/>
          </w:tcPr>
          <w:p w14:paraId="61ABB96C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Oxycodone</w:t>
            </w:r>
          </w:p>
        </w:tc>
        <w:tc>
          <w:tcPr>
            <w:tcW w:w="654" w:type="pct"/>
          </w:tcPr>
          <w:p w14:paraId="13F557A1" w14:textId="759E8E90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568 (60.9%)</w:t>
            </w:r>
          </w:p>
        </w:tc>
        <w:tc>
          <w:tcPr>
            <w:tcW w:w="775" w:type="pct"/>
          </w:tcPr>
          <w:p w14:paraId="462F6479" w14:textId="29CCCED0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409 (60.5%)</w:t>
            </w:r>
          </w:p>
        </w:tc>
        <w:tc>
          <w:tcPr>
            <w:tcW w:w="775" w:type="pct"/>
          </w:tcPr>
          <w:p w14:paraId="232E5D83" w14:textId="5516EDA3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159 (61</w:t>
            </w: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  <w:r w:rsidRPr="00B9426A">
              <w:rPr>
                <w:rFonts w:ascii="Arial" w:hAnsi="Arial" w:cs="Arial"/>
                <w:sz w:val="20"/>
                <w:szCs w:val="20"/>
              </w:rPr>
              <w:t>9%)</w:t>
            </w:r>
          </w:p>
        </w:tc>
        <w:tc>
          <w:tcPr>
            <w:tcW w:w="772" w:type="pct"/>
          </w:tcPr>
          <w:p w14:paraId="7FA48209" w14:textId="7E76D722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134 (54.5%)</w:t>
            </w:r>
          </w:p>
        </w:tc>
        <w:tc>
          <w:tcPr>
            <w:tcW w:w="895" w:type="pct"/>
          </w:tcPr>
          <w:p w14:paraId="651D7FB0" w14:textId="30283162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156 (63.4%)</w:t>
            </w:r>
          </w:p>
        </w:tc>
      </w:tr>
      <w:tr w:rsidR="00A43EE5" w:rsidRPr="00B9426A" w14:paraId="09E5C62F" w14:textId="77777777" w:rsidTr="00071D58">
        <w:tc>
          <w:tcPr>
            <w:tcW w:w="1129" w:type="pct"/>
          </w:tcPr>
          <w:p w14:paraId="2B465953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  Oxycodone dose (mg)</w:t>
            </w:r>
            <w:r w:rsidRPr="00B9426A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54" w:type="pct"/>
          </w:tcPr>
          <w:p w14:paraId="44DD9A45" w14:textId="604AF380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 (10-40)</w:t>
            </w:r>
          </w:p>
        </w:tc>
        <w:tc>
          <w:tcPr>
            <w:tcW w:w="775" w:type="pct"/>
          </w:tcPr>
          <w:p w14:paraId="04743019" w14:textId="152728E0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 (10-40)</w:t>
            </w:r>
          </w:p>
        </w:tc>
        <w:tc>
          <w:tcPr>
            <w:tcW w:w="775" w:type="pct"/>
          </w:tcPr>
          <w:p w14:paraId="7865D930" w14:textId="25E3FE1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 (10-40)</w:t>
            </w:r>
          </w:p>
        </w:tc>
        <w:tc>
          <w:tcPr>
            <w:tcW w:w="772" w:type="pct"/>
          </w:tcPr>
          <w:p w14:paraId="11664DE5" w14:textId="2C07AF72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 (10-40)</w:t>
            </w:r>
          </w:p>
        </w:tc>
        <w:tc>
          <w:tcPr>
            <w:tcW w:w="895" w:type="pct"/>
          </w:tcPr>
          <w:p w14:paraId="1CC716FF" w14:textId="1EAB3B5A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 (10-40)</w:t>
            </w:r>
          </w:p>
        </w:tc>
      </w:tr>
      <w:tr w:rsidR="00A43EE5" w:rsidRPr="00B9426A" w14:paraId="0F88AD17" w14:textId="77777777" w:rsidTr="00071D58">
        <w:tc>
          <w:tcPr>
            <w:tcW w:w="1129" w:type="pct"/>
          </w:tcPr>
          <w:p w14:paraId="4EF0AC79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Dezocine</w:t>
            </w:r>
          </w:p>
        </w:tc>
        <w:tc>
          <w:tcPr>
            <w:tcW w:w="654" w:type="pct"/>
          </w:tcPr>
          <w:p w14:paraId="02158F07" w14:textId="12FC83B0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678 (72.7%)</w:t>
            </w:r>
          </w:p>
        </w:tc>
        <w:tc>
          <w:tcPr>
            <w:tcW w:w="775" w:type="pct"/>
          </w:tcPr>
          <w:p w14:paraId="101CB6B2" w14:textId="604A5FFB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483 (71.4%)</w:t>
            </w:r>
          </w:p>
        </w:tc>
        <w:tc>
          <w:tcPr>
            <w:tcW w:w="775" w:type="pct"/>
          </w:tcPr>
          <w:p w14:paraId="38997228" w14:textId="0FB27D43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195 (75.9%)</w:t>
            </w:r>
          </w:p>
        </w:tc>
        <w:tc>
          <w:tcPr>
            <w:tcW w:w="772" w:type="pct"/>
          </w:tcPr>
          <w:p w14:paraId="00C574EF" w14:textId="41E79539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170 (69.1%)</w:t>
            </w:r>
          </w:p>
        </w:tc>
        <w:tc>
          <w:tcPr>
            <w:tcW w:w="895" w:type="pct"/>
          </w:tcPr>
          <w:p w14:paraId="3223AE4C" w14:textId="343BBD4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187 (76.0%)</w:t>
            </w:r>
          </w:p>
        </w:tc>
      </w:tr>
      <w:tr w:rsidR="00A43EE5" w:rsidRPr="00B9426A" w14:paraId="123F6C83" w14:textId="77777777" w:rsidTr="00071D58">
        <w:tc>
          <w:tcPr>
            <w:tcW w:w="1129" w:type="pct"/>
          </w:tcPr>
          <w:p w14:paraId="0964F97A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  Dezocine dose (mg)</w:t>
            </w:r>
            <w:r w:rsidRPr="00B9426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654" w:type="pct"/>
          </w:tcPr>
          <w:p w14:paraId="01C37C4D" w14:textId="4AA0A19B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30 (30-30)</w:t>
            </w:r>
          </w:p>
        </w:tc>
        <w:tc>
          <w:tcPr>
            <w:tcW w:w="775" w:type="pct"/>
          </w:tcPr>
          <w:p w14:paraId="43844FEE" w14:textId="74EE67E3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30 (30-30)</w:t>
            </w:r>
          </w:p>
        </w:tc>
        <w:tc>
          <w:tcPr>
            <w:tcW w:w="775" w:type="pct"/>
          </w:tcPr>
          <w:p w14:paraId="45FB3744" w14:textId="47FF9868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30 (30-30)</w:t>
            </w:r>
          </w:p>
        </w:tc>
        <w:tc>
          <w:tcPr>
            <w:tcW w:w="772" w:type="pct"/>
          </w:tcPr>
          <w:p w14:paraId="4FA7A4BF" w14:textId="0D19E2B4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30 (30-30)</w:t>
            </w:r>
          </w:p>
        </w:tc>
        <w:tc>
          <w:tcPr>
            <w:tcW w:w="895" w:type="pct"/>
          </w:tcPr>
          <w:p w14:paraId="6D68177D" w14:textId="0292048A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30 (30-30)</w:t>
            </w:r>
          </w:p>
        </w:tc>
      </w:tr>
      <w:tr w:rsidR="00A43EE5" w:rsidRPr="00B9426A" w14:paraId="2C6EFBAD" w14:textId="77777777" w:rsidTr="00071D58">
        <w:tc>
          <w:tcPr>
            <w:tcW w:w="1129" w:type="pct"/>
          </w:tcPr>
          <w:p w14:paraId="26329962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Postoperative opioids</w:t>
            </w:r>
          </w:p>
        </w:tc>
        <w:tc>
          <w:tcPr>
            <w:tcW w:w="654" w:type="pct"/>
          </w:tcPr>
          <w:p w14:paraId="7E331C7D" w14:textId="7777777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14:paraId="09D8EA17" w14:textId="7777777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14:paraId="61991F70" w14:textId="7777777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</w:tcPr>
          <w:p w14:paraId="2B99C05C" w14:textId="7777777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14:paraId="4475540D" w14:textId="7777777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EE5" w:rsidRPr="00B9426A" w14:paraId="577FB9A1" w14:textId="77777777" w:rsidTr="00071D58">
        <w:tc>
          <w:tcPr>
            <w:tcW w:w="1129" w:type="pct"/>
          </w:tcPr>
          <w:p w14:paraId="38B9EABF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None </w:t>
            </w:r>
            <w:r w:rsidRPr="00B9426A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54" w:type="pct"/>
          </w:tcPr>
          <w:p w14:paraId="4F6F857E" w14:textId="0F648251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0 (0.0%)</w:t>
            </w:r>
          </w:p>
        </w:tc>
        <w:tc>
          <w:tcPr>
            <w:tcW w:w="775" w:type="pct"/>
          </w:tcPr>
          <w:p w14:paraId="04610007" w14:textId="3386B170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775" w:type="pct"/>
          </w:tcPr>
          <w:p w14:paraId="184ACA70" w14:textId="5151DF7E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772" w:type="pct"/>
          </w:tcPr>
          <w:p w14:paraId="553F809A" w14:textId="36C4C833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895" w:type="pct"/>
          </w:tcPr>
          <w:p w14:paraId="00356FE3" w14:textId="36410A7F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</w:tr>
      <w:tr w:rsidR="00A43EE5" w:rsidRPr="00B9426A" w14:paraId="11F3D049" w14:textId="77777777" w:rsidTr="00071D58">
        <w:tc>
          <w:tcPr>
            <w:tcW w:w="1129" w:type="pct"/>
          </w:tcPr>
          <w:p w14:paraId="5A013C97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Morphine</w:t>
            </w:r>
          </w:p>
        </w:tc>
        <w:tc>
          <w:tcPr>
            <w:tcW w:w="654" w:type="pct"/>
          </w:tcPr>
          <w:p w14:paraId="7C7E444B" w14:textId="3C7FAA6B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 (0.1%)</w:t>
            </w:r>
          </w:p>
        </w:tc>
        <w:tc>
          <w:tcPr>
            <w:tcW w:w="775" w:type="pct"/>
          </w:tcPr>
          <w:p w14:paraId="130EF07A" w14:textId="2F3D65E2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 (0.1%)</w:t>
            </w:r>
          </w:p>
        </w:tc>
        <w:tc>
          <w:tcPr>
            <w:tcW w:w="775" w:type="pct"/>
          </w:tcPr>
          <w:p w14:paraId="3F2C3C48" w14:textId="7AEEE971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0 (0.0%)</w:t>
            </w:r>
          </w:p>
        </w:tc>
        <w:tc>
          <w:tcPr>
            <w:tcW w:w="772" w:type="pct"/>
          </w:tcPr>
          <w:p w14:paraId="798F8BFD" w14:textId="76609B45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895" w:type="pct"/>
          </w:tcPr>
          <w:p w14:paraId="12FA6332" w14:textId="441C6CF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</w:tr>
      <w:tr w:rsidR="00A43EE5" w:rsidRPr="00B9426A" w14:paraId="28B1837B" w14:textId="77777777" w:rsidTr="00071D58">
        <w:tc>
          <w:tcPr>
            <w:tcW w:w="1129" w:type="pct"/>
          </w:tcPr>
          <w:p w14:paraId="518A3126" w14:textId="77777777" w:rsidR="00A43EE5" w:rsidRPr="00B9426A" w:rsidRDefault="00A43EE5" w:rsidP="00FB65F9">
            <w:pPr>
              <w:pStyle w:val="NoSpacing1"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Morphine dose (mg)</w:t>
            </w:r>
            <w:r w:rsidRPr="00B9426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654" w:type="pct"/>
          </w:tcPr>
          <w:p w14:paraId="3D8C5439" w14:textId="37987359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14:paraId="4B87EB3E" w14:textId="6E8DDE84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14:paraId="38588FE0" w14:textId="539E6F34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</w:tcPr>
          <w:p w14:paraId="2FA16DA3" w14:textId="118D257C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14:paraId="5EF7C647" w14:textId="6EE3D325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EE5" w:rsidRPr="00B9426A" w14:paraId="34EF1A3C" w14:textId="77777777" w:rsidTr="00071D58">
        <w:tc>
          <w:tcPr>
            <w:tcW w:w="1129" w:type="pct"/>
          </w:tcPr>
          <w:p w14:paraId="3D0DC61F" w14:textId="77777777" w:rsidR="00A43EE5" w:rsidRPr="00B9426A" w:rsidRDefault="00A43EE5" w:rsidP="00FB65F9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Fentanyl</w:t>
            </w:r>
          </w:p>
        </w:tc>
        <w:tc>
          <w:tcPr>
            <w:tcW w:w="654" w:type="pct"/>
          </w:tcPr>
          <w:p w14:paraId="54767531" w14:textId="79EB0276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5" w:type="pct"/>
          </w:tcPr>
          <w:p w14:paraId="5F7AC226" w14:textId="6163EB14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5" w:type="pct"/>
          </w:tcPr>
          <w:p w14:paraId="0377147C" w14:textId="513E5B3F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2" w:type="pct"/>
          </w:tcPr>
          <w:p w14:paraId="2703B2C7" w14:textId="20068F1E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95" w:type="pct"/>
          </w:tcPr>
          <w:p w14:paraId="53EE47F8" w14:textId="36AD2A3F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A43EE5" w:rsidRPr="00B9426A" w14:paraId="4F4BB381" w14:textId="77777777" w:rsidTr="00071D58">
        <w:tc>
          <w:tcPr>
            <w:tcW w:w="1129" w:type="pct"/>
          </w:tcPr>
          <w:p w14:paraId="53CE43F1" w14:textId="77777777" w:rsidR="00A43EE5" w:rsidRPr="00B9426A" w:rsidRDefault="00A43EE5" w:rsidP="00FB65F9">
            <w:pPr>
              <w:pStyle w:val="NoSpacing1"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Fentanyl dosage (ug)</w:t>
            </w:r>
            <w:r w:rsidRPr="00B9426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654" w:type="pct"/>
          </w:tcPr>
          <w:p w14:paraId="2B114DB8" w14:textId="47CA74C2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5" w:type="pct"/>
          </w:tcPr>
          <w:p w14:paraId="51DF452A" w14:textId="330E1B69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5" w:type="pct"/>
          </w:tcPr>
          <w:p w14:paraId="7D6D345F" w14:textId="793F87CA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72" w:type="pct"/>
          </w:tcPr>
          <w:p w14:paraId="62D7F817" w14:textId="2C3A7D24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95" w:type="pct"/>
          </w:tcPr>
          <w:p w14:paraId="12557D4C" w14:textId="5ADFA824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A43EE5" w:rsidRPr="00B9426A" w14:paraId="0B1A50C6" w14:textId="77777777" w:rsidTr="00071D58">
        <w:tc>
          <w:tcPr>
            <w:tcW w:w="1129" w:type="pct"/>
          </w:tcPr>
          <w:p w14:paraId="26323481" w14:textId="77777777" w:rsidR="00A43EE5" w:rsidRPr="00B9426A" w:rsidRDefault="00A43EE5" w:rsidP="00FB65F9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26A">
              <w:rPr>
                <w:rFonts w:ascii="Arial" w:hAnsi="Arial" w:cs="Arial"/>
                <w:sz w:val="20"/>
                <w:szCs w:val="20"/>
              </w:rPr>
              <w:t>Sufentanil</w:t>
            </w:r>
            <w:proofErr w:type="spellEnd"/>
          </w:p>
        </w:tc>
        <w:tc>
          <w:tcPr>
            <w:tcW w:w="654" w:type="pct"/>
          </w:tcPr>
          <w:p w14:paraId="6F150E21" w14:textId="7E077B5C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527 (56.5%)</w:t>
            </w:r>
          </w:p>
        </w:tc>
        <w:tc>
          <w:tcPr>
            <w:tcW w:w="775" w:type="pct"/>
          </w:tcPr>
          <w:p w14:paraId="15CBFCF4" w14:textId="3F3E48A9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376 (55.6%)</w:t>
            </w:r>
          </w:p>
        </w:tc>
        <w:tc>
          <w:tcPr>
            <w:tcW w:w="775" w:type="pct"/>
          </w:tcPr>
          <w:p w14:paraId="4DB3E4F2" w14:textId="72534B62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151 (58.8%)</w:t>
            </w:r>
          </w:p>
        </w:tc>
        <w:tc>
          <w:tcPr>
            <w:tcW w:w="772" w:type="pct"/>
          </w:tcPr>
          <w:p w14:paraId="35821809" w14:textId="442FC32E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152 (61.8%)</w:t>
            </w:r>
          </w:p>
        </w:tc>
        <w:tc>
          <w:tcPr>
            <w:tcW w:w="895" w:type="pct"/>
          </w:tcPr>
          <w:p w14:paraId="5AE0D48E" w14:textId="6B2B2074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140 (56.9%)</w:t>
            </w:r>
          </w:p>
        </w:tc>
      </w:tr>
      <w:tr w:rsidR="00A43EE5" w:rsidRPr="00B9426A" w14:paraId="123F19AF" w14:textId="77777777" w:rsidTr="00071D58">
        <w:tc>
          <w:tcPr>
            <w:tcW w:w="1129" w:type="pct"/>
          </w:tcPr>
          <w:p w14:paraId="0B99661E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B9426A">
              <w:rPr>
                <w:rFonts w:ascii="Arial" w:hAnsi="Arial" w:cs="Arial"/>
                <w:sz w:val="20"/>
                <w:szCs w:val="20"/>
              </w:rPr>
              <w:t>Sufentanil</w:t>
            </w:r>
            <w:proofErr w:type="spellEnd"/>
            <w:r w:rsidRPr="00B9426A">
              <w:rPr>
                <w:rFonts w:ascii="Arial" w:hAnsi="Arial" w:cs="Arial"/>
                <w:sz w:val="20"/>
                <w:szCs w:val="20"/>
              </w:rPr>
              <w:t xml:space="preserve"> dose (ug)</w:t>
            </w:r>
            <w:r w:rsidRPr="00B9426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654" w:type="pct"/>
          </w:tcPr>
          <w:p w14:paraId="16EF4A7E" w14:textId="14ACBCD3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150 (150-150)</w:t>
            </w:r>
          </w:p>
        </w:tc>
        <w:tc>
          <w:tcPr>
            <w:tcW w:w="775" w:type="pct"/>
          </w:tcPr>
          <w:p w14:paraId="75098316" w14:textId="65DF2CFD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150 (150-150)</w:t>
            </w:r>
          </w:p>
        </w:tc>
        <w:tc>
          <w:tcPr>
            <w:tcW w:w="775" w:type="pct"/>
          </w:tcPr>
          <w:p w14:paraId="08F6CF7E" w14:textId="3DCDE53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150 (150-150)</w:t>
            </w:r>
          </w:p>
        </w:tc>
        <w:tc>
          <w:tcPr>
            <w:tcW w:w="772" w:type="pct"/>
          </w:tcPr>
          <w:p w14:paraId="57600FE3" w14:textId="4C510BCC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150 (150-150)</w:t>
            </w:r>
          </w:p>
        </w:tc>
        <w:tc>
          <w:tcPr>
            <w:tcW w:w="895" w:type="pct"/>
          </w:tcPr>
          <w:p w14:paraId="1B4E5667" w14:textId="5C3E78BC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150 (150-150)</w:t>
            </w:r>
          </w:p>
        </w:tc>
      </w:tr>
      <w:tr w:rsidR="00A43EE5" w:rsidRPr="00B9426A" w14:paraId="2A77EE92" w14:textId="77777777" w:rsidTr="00071D58">
        <w:tc>
          <w:tcPr>
            <w:tcW w:w="1129" w:type="pct"/>
          </w:tcPr>
          <w:p w14:paraId="19C90FEA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Oxycodone</w:t>
            </w:r>
          </w:p>
        </w:tc>
        <w:tc>
          <w:tcPr>
            <w:tcW w:w="654" w:type="pct"/>
          </w:tcPr>
          <w:p w14:paraId="51744678" w14:textId="3C8276C1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458 (49.1%)</w:t>
            </w:r>
          </w:p>
        </w:tc>
        <w:tc>
          <w:tcPr>
            <w:tcW w:w="775" w:type="pct"/>
          </w:tcPr>
          <w:p w14:paraId="74C047DA" w14:textId="5D7D8DA6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334 (49.4%)</w:t>
            </w:r>
          </w:p>
        </w:tc>
        <w:tc>
          <w:tcPr>
            <w:tcW w:w="775" w:type="pct"/>
          </w:tcPr>
          <w:p w14:paraId="0F91635E" w14:textId="3A6EAA5F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124 (48.2%)</w:t>
            </w:r>
          </w:p>
        </w:tc>
        <w:tc>
          <w:tcPr>
            <w:tcW w:w="772" w:type="pct"/>
          </w:tcPr>
          <w:p w14:paraId="5DB3A09A" w14:textId="3C501980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119 (48.4%)</w:t>
            </w:r>
          </w:p>
        </w:tc>
        <w:tc>
          <w:tcPr>
            <w:tcW w:w="895" w:type="pct"/>
          </w:tcPr>
          <w:p w14:paraId="4F2511FB" w14:textId="088421CD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120 (48.8%)</w:t>
            </w:r>
          </w:p>
        </w:tc>
      </w:tr>
      <w:tr w:rsidR="00A43EE5" w:rsidRPr="00B9426A" w14:paraId="5B3EB5E9" w14:textId="77777777" w:rsidTr="00071D58">
        <w:tc>
          <w:tcPr>
            <w:tcW w:w="1129" w:type="pct"/>
          </w:tcPr>
          <w:p w14:paraId="560813E1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  Oxycodone dose (mg)</w:t>
            </w:r>
            <w:r w:rsidRPr="00B9426A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54" w:type="pct"/>
          </w:tcPr>
          <w:p w14:paraId="0EEF8B76" w14:textId="1569E22A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40 (20-40)</w:t>
            </w:r>
          </w:p>
        </w:tc>
        <w:tc>
          <w:tcPr>
            <w:tcW w:w="775" w:type="pct"/>
          </w:tcPr>
          <w:p w14:paraId="16C5F6DA" w14:textId="1E3DF9C4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40 (20-40)</w:t>
            </w:r>
          </w:p>
        </w:tc>
        <w:tc>
          <w:tcPr>
            <w:tcW w:w="775" w:type="pct"/>
          </w:tcPr>
          <w:p w14:paraId="439BB986" w14:textId="2798BEF3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40 (20-40)</w:t>
            </w:r>
          </w:p>
        </w:tc>
        <w:tc>
          <w:tcPr>
            <w:tcW w:w="772" w:type="pct"/>
          </w:tcPr>
          <w:p w14:paraId="6E2D4C83" w14:textId="1EE698F5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40 (20-40)</w:t>
            </w:r>
          </w:p>
        </w:tc>
        <w:tc>
          <w:tcPr>
            <w:tcW w:w="895" w:type="pct"/>
          </w:tcPr>
          <w:p w14:paraId="5ADD2271" w14:textId="6FCC2FFA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40 (20-40)</w:t>
            </w:r>
          </w:p>
        </w:tc>
      </w:tr>
      <w:tr w:rsidR="00A43EE5" w:rsidRPr="00B9426A" w14:paraId="06194348" w14:textId="77777777" w:rsidTr="00071D58">
        <w:tc>
          <w:tcPr>
            <w:tcW w:w="1129" w:type="pct"/>
          </w:tcPr>
          <w:p w14:paraId="0FD5827D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Dezocine</w:t>
            </w:r>
          </w:p>
        </w:tc>
        <w:tc>
          <w:tcPr>
            <w:tcW w:w="654" w:type="pct"/>
          </w:tcPr>
          <w:p w14:paraId="0CFBBCE5" w14:textId="3042A007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746 (80.0%)</w:t>
            </w:r>
          </w:p>
        </w:tc>
        <w:tc>
          <w:tcPr>
            <w:tcW w:w="775" w:type="pct"/>
          </w:tcPr>
          <w:p w14:paraId="308A5B9C" w14:textId="45E21EF5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544 (80.5%)</w:t>
            </w:r>
          </w:p>
        </w:tc>
        <w:tc>
          <w:tcPr>
            <w:tcW w:w="775" w:type="pct"/>
          </w:tcPr>
          <w:p w14:paraId="46E92EE9" w14:textId="2FECD246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202 (78.6%)</w:t>
            </w:r>
          </w:p>
        </w:tc>
        <w:tc>
          <w:tcPr>
            <w:tcW w:w="772" w:type="pct"/>
          </w:tcPr>
          <w:p w14:paraId="3A5D248B" w14:textId="4AA8E773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194 (78.9%)</w:t>
            </w:r>
          </w:p>
        </w:tc>
        <w:tc>
          <w:tcPr>
            <w:tcW w:w="895" w:type="pct"/>
          </w:tcPr>
          <w:p w14:paraId="224FCB54" w14:textId="02C62681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200 (81.3%)</w:t>
            </w:r>
          </w:p>
        </w:tc>
      </w:tr>
      <w:tr w:rsidR="00A43EE5" w:rsidRPr="00B9426A" w14:paraId="4FF109DA" w14:textId="77777777" w:rsidTr="00071D58">
        <w:tc>
          <w:tcPr>
            <w:tcW w:w="1129" w:type="pct"/>
            <w:tcBorders>
              <w:bottom w:val="single" w:sz="4" w:space="0" w:color="auto"/>
            </w:tcBorders>
          </w:tcPr>
          <w:p w14:paraId="1236CF9D" w14:textId="77777777" w:rsidR="00A43EE5" w:rsidRPr="00B9426A" w:rsidRDefault="00A43EE5" w:rsidP="00FB65F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   Dezocine dose (mg)</w:t>
            </w:r>
            <w:r w:rsidRPr="00B9426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5BC78530" w14:textId="5C4DD861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70 (70-70)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104D6366" w14:textId="42E40CF5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70 (70-70)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03EAF52F" w14:textId="06D89BC0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70 (70-70)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339E4440" w14:textId="05D9F9F0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70 (70-70)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9AD21B7" w14:textId="16560DD5" w:rsidR="00A43EE5" w:rsidRPr="00B9426A" w:rsidRDefault="00A43EE5" w:rsidP="00FB65F9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70 (70-70)</w:t>
            </w:r>
          </w:p>
        </w:tc>
      </w:tr>
    </w:tbl>
    <w:p w14:paraId="6D13D3EC" w14:textId="77777777" w:rsidR="00F61C51" w:rsidRPr="00B9426A" w:rsidRDefault="00F61C51" w:rsidP="008C71A2">
      <w:pPr>
        <w:adjustRightInd w:val="0"/>
        <w:spacing w:after="0" w:line="240" w:lineRule="auto"/>
        <w:rPr>
          <w:rFonts w:ascii="Arial" w:eastAsia="微软雅黑" w:hAnsi="Arial" w:cs="Arial"/>
          <w:sz w:val="20"/>
          <w:szCs w:val="20"/>
        </w:rPr>
      </w:pPr>
      <w:r w:rsidRPr="00B9426A">
        <w:rPr>
          <w:rFonts w:ascii="Arial" w:hAnsi="Arial" w:cs="Arial"/>
          <w:sz w:val="20"/>
          <w:szCs w:val="20"/>
        </w:rPr>
        <w:t>Results are presented as number (%) or median (interquartile range).</w:t>
      </w:r>
      <w:r w:rsidRPr="00B9426A">
        <w:rPr>
          <w:rFonts w:ascii="Arial" w:eastAsia="微软雅黑" w:hAnsi="Arial" w:cs="Arial"/>
          <w:sz w:val="20"/>
          <w:szCs w:val="20"/>
        </w:rPr>
        <w:t xml:space="preserve"> P values in bold indicate those of &lt;0.05.</w:t>
      </w:r>
    </w:p>
    <w:p w14:paraId="2CB5FBDF" w14:textId="77777777" w:rsidR="00F61C51" w:rsidRPr="00B9426A" w:rsidRDefault="00F61C51" w:rsidP="008C71A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426A">
        <w:rPr>
          <w:rFonts w:ascii="Arial" w:hAnsi="Arial" w:cs="Arial"/>
          <w:sz w:val="20"/>
          <w:szCs w:val="20"/>
          <w:vertAlign w:val="superscript"/>
        </w:rPr>
        <w:t>a</w:t>
      </w:r>
      <w:r w:rsidRPr="00B9426A">
        <w:rPr>
          <w:rFonts w:ascii="Arial" w:hAnsi="Arial" w:cs="Arial"/>
          <w:sz w:val="20"/>
          <w:szCs w:val="20"/>
        </w:rPr>
        <w:t xml:space="preserve"> Dose of patients who received the medication. </w:t>
      </w:r>
    </w:p>
    <w:p w14:paraId="12315049" w14:textId="615BF2D1" w:rsidR="00F61C51" w:rsidRPr="00B9426A" w:rsidRDefault="00F61C51" w:rsidP="008C71A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9426A">
        <w:rPr>
          <w:rFonts w:ascii="Arial" w:hAnsi="Arial" w:cs="Arial"/>
          <w:sz w:val="20"/>
          <w:szCs w:val="20"/>
          <w:vertAlign w:val="superscript"/>
        </w:rPr>
        <w:t>b</w:t>
      </w:r>
      <w:r w:rsidRPr="00B9426A">
        <w:rPr>
          <w:rFonts w:ascii="Arial" w:hAnsi="Arial" w:cs="Arial"/>
          <w:sz w:val="20"/>
          <w:szCs w:val="20"/>
        </w:rPr>
        <w:t xml:space="preserve"> These patients received epidural analgesia through epidural catheter and only local anesthetics were used.</w:t>
      </w:r>
      <w:r w:rsidRPr="00B9426A">
        <w:rPr>
          <w:rFonts w:ascii="Arial" w:hAnsi="Arial" w:cs="Arial"/>
          <w:sz w:val="21"/>
          <w:szCs w:val="21"/>
        </w:rPr>
        <w:br w:type="page"/>
      </w:r>
    </w:p>
    <w:p w14:paraId="08E1BF8A" w14:textId="77777777" w:rsidR="00F61C51" w:rsidRPr="00B9426A" w:rsidRDefault="00F61C51" w:rsidP="008C71A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426A">
        <w:rPr>
          <w:rFonts w:ascii="Arial" w:hAnsi="Arial" w:cs="Arial"/>
          <w:sz w:val="20"/>
          <w:szCs w:val="20"/>
        </w:rPr>
        <w:lastRenderedPageBreak/>
        <w:t>Supplement Table 3. Perioperative use of NSAIDs</w:t>
      </w:r>
    </w:p>
    <w:tbl>
      <w:tblPr>
        <w:tblW w:w="4977" w:type="pct"/>
        <w:tblLook w:val="0000" w:firstRow="0" w:lastRow="0" w:firstColumn="0" w:lastColumn="0" w:noHBand="0" w:noVBand="0"/>
      </w:tblPr>
      <w:tblGrid>
        <w:gridCol w:w="3749"/>
        <w:gridCol w:w="1656"/>
        <w:gridCol w:w="2095"/>
        <w:gridCol w:w="2140"/>
        <w:gridCol w:w="2137"/>
        <w:gridCol w:w="2117"/>
      </w:tblGrid>
      <w:tr w:rsidR="00A43EE5" w:rsidRPr="00B9426A" w14:paraId="7A551BAB" w14:textId="77777777" w:rsidTr="00071D58">
        <w:tc>
          <w:tcPr>
            <w:tcW w:w="1349" w:type="pct"/>
            <w:vMerge w:val="restart"/>
            <w:tcBorders>
              <w:top w:val="single" w:sz="4" w:space="0" w:color="auto"/>
            </w:tcBorders>
            <w:vAlign w:val="center"/>
          </w:tcPr>
          <w:p w14:paraId="577DBB64" w14:textId="77777777" w:rsidR="00A43EE5" w:rsidRPr="00B9426A" w:rsidRDefault="00A43EE5" w:rsidP="00AC020D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</w:tcBorders>
            <w:vAlign w:val="center"/>
          </w:tcPr>
          <w:p w14:paraId="0D8AD641" w14:textId="2F89E18A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All patients (n=933)</w:t>
            </w:r>
          </w:p>
        </w:tc>
        <w:tc>
          <w:tcPr>
            <w:tcW w:w="15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0959E" w14:textId="77777777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B9426A">
              <w:rPr>
                <w:rFonts w:ascii="Arial" w:eastAsia="微软雅黑" w:hAnsi="Arial" w:cs="Arial"/>
                <w:sz w:val="20"/>
                <w:szCs w:val="20"/>
              </w:rPr>
              <w:t>Full cohort (n=933)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DF7D" w14:textId="77777777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B9426A">
              <w:rPr>
                <w:rFonts w:ascii="Arial" w:eastAsia="微软雅黑" w:hAnsi="Arial" w:cs="Arial"/>
                <w:sz w:val="20"/>
                <w:szCs w:val="20"/>
              </w:rPr>
              <w:t>Matched cohort (n=492)</w:t>
            </w:r>
          </w:p>
        </w:tc>
      </w:tr>
      <w:tr w:rsidR="00A43EE5" w:rsidRPr="00B9426A" w14:paraId="169FA0EE" w14:textId="77777777" w:rsidTr="00071D58">
        <w:tc>
          <w:tcPr>
            <w:tcW w:w="1349" w:type="pct"/>
            <w:vMerge/>
            <w:tcBorders>
              <w:bottom w:val="single" w:sz="4" w:space="0" w:color="auto"/>
            </w:tcBorders>
          </w:tcPr>
          <w:p w14:paraId="2E1363F0" w14:textId="77777777" w:rsidR="00A43EE5" w:rsidRPr="00B9426A" w:rsidRDefault="00A43EE5" w:rsidP="00AC020D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14:paraId="38EDA88F" w14:textId="77777777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65E22C93" w14:textId="77777777" w:rsidR="00B2105B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dia</w:t>
            </w:r>
            <w:r w:rsidRPr="00B9426A">
              <w:rPr>
                <w:rFonts w:ascii="Arial" w:hAnsi="Arial" w:cs="Arial"/>
                <w:sz w:val="20"/>
                <w:szCs w:val="20"/>
              </w:rPr>
              <w:t xml:space="preserve">stolic </w:t>
            </w:r>
          </w:p>
          <w:p w14:paraId="10683C89" w14:textId="770DC241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hypotension</w:t>
            </w:r>
            <w:r w:rsidRPr="00B9426A" w:rsidDel="007D2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426A">
              <w:rPr>
                <w:rFonts w:ascii="Arial" w:hAnsi="Arial" w:cs="Arial"/>
                <w:sz w:val="20"/>
                <w:szCs w:val="20"/>
              </w:rPr>
              <w:t>(n=676)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14:paraId="7FA90692" w14:textId="0DBC3253" w:rsidR="00A43EE5" w:rsidRPr="00B9426A" w:rsidRDefault="00B2105B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no dia</w:t>
            </w:r>
            <w:r w:rsidRPr="00B9426A">
              <w:rPr>
                <w:rFonts w:ascii="Arial" w:hAnsi="Arial" w:cs="Arial"/>
                <w:sz w:val="20"/>
                <w:szCs w:val="20"/>
              </w:rPr>
              <w:t xml:space="preserve">stolic hypotension </w:t>
            </w:r>
            <w:r w:rsidR="00A43EE5" w:rsidRPr="00B9426A">
              <w:rPr>
                <w:rFonts w:ascii="Arial" w:hAnsi="Arial" w:cs="Arial"/>
                <w:sz w:val="20"/>
                <w:szCs w:val="20"/>
              </w:rPr>
              <w:t>(n=257)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</w:tcPr>
          <w:p w14:paraId="0277AB5E" w14:textId="77777777" w:rsidR="00B2105B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dia</w:t>
            </w:r>
            <w:r w:rsidRPr="00B9426A">
              <w:rPr>
                <w:rFonts w:ascii="Arial" w:hAnsi="Arial" w:cs="Arial"/>
                <w:sz w:val="20"/>
                <w:szCs w:val="20"/>
              </w:rPr>
              <w:t xml:space="preserve">stolic </w:t>
            </w:r>
          </w:p>
          <w:p w14:paraId="7F2BDFED" w14:textId="745BD7EE" w:rsidR="00A43EE5" w:rsidRPr="00B9426A" w:rsidRDefault="00A43EE5" w:rsidP="00AC0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hypotension</w:t>
            </w:r>
            <w:r w:rsidRPr="00B9426A" w:rsidDel="007D2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426A">
              <w:rPr>
                <w:rFonts w:ascii="Arial" w:hAnsi="Arial" w:cs="Arial"/>
                <w:sz w:val="20"/>
                <w:szCs w:val="20"/>
              </w:rPr>
              <w:t>(n=246)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14:paraId="4AADC604" w14:textId="717FDB5C" w:rsidR="00A43EE5" w:rsidRPr="00B9426A" w:rsidRDefault="00B2105B" w:rsidP="00AC020D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no dia</w:t>
            </w:r>
            <w:r w:rsidRPr="00B9426A">
              <w:rPr>
                <w:rFonts w:ascii="Arial" w:hAnsi="Arial" w:cs="Arial"/>
                <w:sz w:val="20"/>
                <w:szCs w:val="20"/>
              </w:rPr>
              <w:t xml:space="preserve">stolic hypotension </w:t>
            </w:r>
            <w:r w:rsidR="00A43EE5" w:rsidRPr="00B9426A">
              <w:rPr>
                <w:rFonts w:ascii="Arial" w:hAnsi="Arial" w:cs="Arial"/>
                <w:sz w:val="20"/>
                <w:szCs w:val="20"/>
              </w:rPr>
              <w:t>(n=246)</w:t>
            </w:r>
          </w:p>
        </w:tc>
      </w:tr>
      <w:tr w:rsidR="00A43EE5" w:rsidRPr="00B9426A" w14:paraId="4F9BF11F" w14:textId="77777777" w:rsidTr="00071D58">
        <w:tc>
          <w:tcPr>
            <w:tcW w:w="1349" w:type="pct"/>
            <w:tcBorders>
              <w:top w:val="single" w:sz="4" w:space="0" w:color="auto"/>
            </w:tcBorders>
          </w:tcPr>
          <w:p w14:paraId="04ED7879" w14:textId="77777777" w:rsidR="00A43EE5" w:rsidRPr="00B9426A" w:rsidRDefault="00A43EE5" w:rsidP="009A418B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Intraoperative flurbiprofen </w:t>
            </w:r>
            <w:proofErr w:type="spellStart"/>
            <w:r w:rsidRPr="00B9426A">
              <w:rPr>
                <w:rFonts w:ascii="Arial" w:hAnsi="Arial" w:cs="Arial"/>
                <w:sz w:val="20"/>
                <w:szCs w:val="20"/>
              </w:rPr>
              <w:t>axetil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</w:tcBorders>
          </w:tcPr>
          <w:p w14:paraId="25335B4D" w14:textId="08C15E5E" w:rsidR="00A43EE5" w:rsidRPr="00B9426A" w:rsidRDefault="00A43EE5" w:rsidP="009A418B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 59 (6.3%)</w:t>
            </w:r>
          </w:p>
        </w:tc>
        <w:tc>
          <w:tcPr>
            <w:tcW w:w="754" w:type="pct"/>
            <w:tcBorders>
              <w:top w:val="single" w:sz="4" w:space="0" w:color="auto"/>
            </w:tcBorders>
          </w:tcPr>
          <w:p w14:paraId="3E426C4B" w14:textId="19BC20B9" w:rsidR="00A43EE5" w:rsidRPr="00B9426A" w:rsidRDefault="00A43EE5" w:rsidP="009A418B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45 (6.7%)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14:paraId="1541527D" w14:textId="1C83845C" w:rsidR="00A43EE5" w:rsidRPr="00B9426A" w:rsidRDefault="00A43EE5" w:rsidP="009A418B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14 (5.4%)</w:t>
            </w:r>
          </w:p>
        </w:tc>
        <w:tc>
          <w:tcPr>
            <w:tcW w:w="769" w:type="pct"/>
            <w:tcBorders>
              <w:top w:val="single" w:sz="4" w:space="0" w:color="auto"/>
            </w:tcBorders>
          </w:tcPr>
          <w:p w14:paraId="39ACB806" w14:textId="60B19AF2" w:rsidR="00A43EE5" w:rsidRPr="00B9426A" w:rsidRDefault="00A43EE5" w:rsidP="009A418B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18 (7.3%)</w: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14:paraId="321C8969" w14:textId="36A77F9C" w:rsidR="00A43EE5" w:rsidRPr="00B9426A" w:rsidRDefault="00A43EE5" w:rsidP="009A418B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14 (5.7%)</w:t>
            </w:r>
          </w:p>
        </w:tc>
      </w:tr>
      <w:tr w:rsidR="00A43EE5" w:rsidRPr="00B9426A" w14:paraId="0EF069B3" w14:textId="77777777" w:rsidTr="00071D58">
        <w:tc>
          <w:tcPr>
            <w:tcW w:w="1349" w:type="pct"/>
          </w:tcPr>
          <w:p w14:paraId="2C7E0429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50 mg   </w:t>
            </w:r>
          </w:p>
        </w:tc>
        <w:tc>
          <w:tcPr>
            <w:tcW w:w="596" w:type="pct"/>
          </w:tcPr>
          <w:p w14:paraId="797260D3" w14:textId="7E8EEA40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54" w:type="pct"/>
          </w:tcPr>
          <w:p w14:paraId="33F966E1" w14:textId="784B8B44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70" w:type="pct"/>
          </w:tcPr>
          <w:p w14:paraId="01EC92B2" w14:textId="52A25DE8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9" w:type="pct"/>
          </w:tcPr>
          <w:p w14:paraId="668AF6E2" w14:textId="1B617540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2" w:type="pct"/>
          </w:tcPr>
          <w:p w14:paraId="7C2E2D9D" w14:textId="7A0981BB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</w:tr>
      <w:tr w:rsidR="00A43EE5" w:rsidRPr="00B9426A" w14:paraId="2D2ECB64" w14:textId="77777777" w:rsidTr="00071D58">
        <w:tc>
          <w:tcPr>
            <w:tcW w:w="1349" w:type="pct"/>
          </w:tcPr>
          <w:p w14:paraId="3813B120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596" w:type="pct"/>
          </w:tcPr>
          <w:p w14:paraId="667EDBD5" w14:textId="7348ED0A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754" w:type="pct"/>
          </w:tcPr>
          <w:p w14:paraId="2BC477F6" w14:textId="4114EAD9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770" w:type="pct"/>
          </w:tcPr>
          <w:p w14:paraId="2B3ADC54" w14:textId="58DFDFD7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9" w:type="pct"/>
          </w:tcPr>
          <w:p w14:paraId="4228116A" w14:textId="3DDECFA4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62" w:type="pct"/>
          </w:tcPr>
          <w:p w14:paraId="1630E36E" w14:textId="577DFE12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</w:tr>
      <w:tr w:rsidR="00A43EE5" w:rsidRPr="00B9426A" w14:paraId="7BAE0C0D" w14:textId="77777777" w:rsidTr="00071D58">
        <w:tc>
          <w:tcPr>
            <w:tcW w:w="1349" w:type="pct"/>
          </w:tcPr>
          <w:p w14:paraId="773D9277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200 mg</w:t>
            </w:r>
          </w:p>
        </w:tc>
        <w:tc>
          <w:tcPr>
            <w:tcW w:w="596" w:type="pct"/>
          </w:tcPr>
          <w:p w14:paraId="1028E8F4" w14:textId="67B36E00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4" w:type="pct"/>
          </w:tcPr>
          <w:p w14:paraId="0C7D86BA" w14:textId="5C833DF8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70" w:type="pct"/>
          </w:tcPr>
          <w:p w14:paraId="46A635E2" w14:textId="31ED39AC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9" w:type="pct"/>
          </w:tcPr>
          <w:p w14:paraId="215BD997" w14:textId="5A2CD061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62" w:type="pct"/>
          </w:tcPr>
          <w:p w14:paraId="5BB7329F" w14:textId="7EFC1D94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A43EE5" w:rsidRPr="00B9426A" w14:paraId="7CDC2EF9" w14:textId="77777777" w:rsidTr="00071D58">
        <w:tc>
          <w:tcPr>
            <w:tcW w:w="1349" w:type="pct"/>
          </w:tcPr>
          <w:p w14:paraId="5F114B67" w14:textId="77777777" w:rsidR="00A43EE5" w:rsidRPr="00B9426A" w:rsidRDefault="00A43EE5" w:rsidP="00A43EE5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Postoperative flurbiprofen </w:t>
            </w:r>
            <w:proofErr w:type="spellStart"/>
            <w:r w:rsidRPr="00B9426A">
              <w:rPr>
                <w:rFonts w:ascii="Arial" w:hAnsi="Arial" w:cs="Arial"/>
                <w:sz w:val="20"/>
                <w:szCs w:val="20"/>
              </w:rPr>
              <w:t>axetil</w:t>
            </w:r>
            <w:proofErr w:type="spellEnd"/>
          </w:p>
        </w:tc>
        <w:tc>
          <w:tcPr>
            <w:tcW w:w="596" w:type="pct"/>
          </w:tcPr>
          <w:p w14:paraId="358691D9" w14:textId="049FD94E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25 (2.7%)</w:t>
            </w:r>
          </w:p>
        </w:tc>
        <w:tc>
          <w:tcPr>
            <w:tcW w:w="754" w:type="pct"/>
          </w:tcPr>
          <w:p w14:paraId="06960D19" w14:textId="6C44511D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 (3.0%)</w:t>
            </w:r>
          </w:p>
        </w:tc>
        <w:tc>
          <w:tcPr>
            <w:tcW w:w="770" w:type="pct"/>
          </w:tcPr>
          <w:p w14:paraId="458134B3" w14:textId="3E59A9F6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5 (1.9%)</w:t>
            </w:r>
          </w:p>
        </w:tc>
        <w:tc>
          <w:tcPr>
            <w:tcW w:w="769" w:type="pct"/>
          </w:tcPr>
          <w:p w14:paraId="1DA7C9D1" w14:textId="79312CB6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5 (2.0%)</w:t>
            </w:r>
          </w:p>
        </w:tc>
        <w:tc>
          <w:tcPr>
            <w:tcW w:w="762" w:type="pct"/>
          </w:tcPr>
          <w:p w14:paraId="48F60621" w14:textId="143A30D9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5 (2.0%)</w:t>
            </w:r>
          </w:p>
        </w:tc>
      </w:tr>
      <w:tr w:rsidR="00A43EE5" w:rsidRPr="00B9426A" w14:paraId="5081DB13" w14:textId="77777777" w:rsidTr="00071D58">
        <w:tc>
          <w:tcPr>
            <w:tcW w:w="1349" w:type="pct"/>
          </w:tcPr>
          <w:p w14:paraId="26030C0E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596" w:type="pct"/>
          </w:tcPr>
          <w:p w14:paraId="5DF249D4" w14:textId="1DB35615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4" w:type="pct"/>
          </w:tcPr>
          <w:p w14:paraId="33073491" w14:textId="14645F3B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70" w:type="pct"/>
          </w:tcPr>
          <w:p w14:paraId="36785D64" w14:textId="3280EBFE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69" w:type="pct"/>
          </w:tcPr>
          <w:p w14:paraId="1A4EE419" w14:textId="2907B4F2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62" w:type="pct"/>
          </w:tcPr>
          <w:p w14:paraId="5F914CC6" w14:textId="2247C048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A43EE5" w:rsidRPr="00B9426A" w14:paraId="02A21D06" w14:textId="77777777" w:rsidTr="00071D58">
        <w:tc>
          <w:tcPr>
            <w:tcW w:w="1349" w:type="pct"/>
          </w:tcPr>
          <w:p w14:paraId="7CF2EA0D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200 mg</w:t>
            </w:r>
          </w:p>
        </w:tc>
        <w:tc>
          <w:tcPr>
            <w:tcW w:w="596" w:type="pct"/>
          </w:tcPr>
          <w:p w14:paraId="0E0A015E" w14:textId="03FA2D23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4" w:type="pct"/>
          </w:tcPr>
          <w:p w14:paraId="30E32461" w14:textId="69A60EF5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0" w:type="pct"/>
          </w:tcPr>
          <w:p w14:paraId="14F75DAE" w14:textId="16EA3017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9" w:type="pct"/>
          </w:tcPr>
          <w:p w14:paraId="33B896A5" w14:textId="27B57D42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pct"/>
          </w:tcPr>
          <w:p w14:paraId="4B77FA67" w14:textId="35A849FF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A43EE5" w:rsidRPr="00B9426A" w14:paraId="170000F9" w14:textId="77777777" w:rsidTr="00071D58">
        <w:tc>
          <w:tcPr>
            <w:tcW w:w="1349" w:type="pct"/>
          </w:tcPr>
          <w:p w14:paraId="56576700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300 mg</w:t>
            </w:r>
          </w:p>
        </w:tc>
        <w:tc>
          <w:tcPr>
            <w:tcW w:w="596" w:type="pct"/>
          </w:tcPr>
          <w:p w14:paraId="72175193" w14:textId="5D4BAD21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54" w:type="pct"/>
          </w:tcPr>
          <w:p w14:paraId="03A167CC" w14:textId="6EEDAFD0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70" w:type="pct"/>
          </w:tcPr>
          <w:p w14:paraId="6217A618" w14:textId="31439A67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9" w:type="pct"/>
          </w:tcPr>
          <w:p w14:paraId="373507F5" w14:textId="0A2E2B79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2" w:type="pct"/>
          </w:tcPr>
          <w:p w14:paraId="087F0225" w14:textId="142B8C30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A43EE5" w:rsidRPr="00B9426A" w14:paraId="58BDFBE8" w14:textId="77777777" w:rsidTr="00071D58">
        <w:tc>
          <w:tcPr>
            <w:tcW w:w="1349" w:type="pct"/>
          </w:tcPr>
          <w:p w14:paraId="6392A3C2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400 mg</w:t>
            </w:r>
          </w:p>
        </w:tc>
        <w:tc>
          <w:tcPr>
            <w:tcW w:w="596" w:type="pct"/>
          </w:tcPr>
          <w:p w14:paraId="0BA14496" w14:textId="42C3450F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4" w:type="pct"/>
          </w:tcPr>
          <w:p w14:paraId="44D0F2AD" w14:textId="471A087D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0" w:type="pct"/>
          </w:tcPr>
          <w:p w14:paraId="1EFABBEE" w14:textId="29F46731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9" w:type="pct"/>
          </w:tcPr>
          <w:p w14:paraId="1DAD42AA" w14:textId="3FA118F8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pct"/>
          </w:tcPr>
          <w:p w14:paraId="1AE32D75" w14:textId="2AEAB0E8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A43EE5" w:rsidRPr="00B9426A" w14:paraId="5A9FA08F" w14:textId="77777777" w:rsidTr="00071D58">
        <w:tc>
          <w:tcPr>
            <w:tcW w:w="1349" w:type="pct"/>
          </w:tcPr>
          <w:p w14:paraId="0B75E09B" w14:textId="77777777" w:rsidR="00A43EE5" w:rsidRPr="00B9426A" w:rsidRDefault="00A43EE5" w:rsidP="00A43EE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 xml:space="preserve">Intraoperative </w:t>
            </w:r>
            <w:r w:rsidRPr="00B9426A"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parecoxib </w:t>
            </w:r>
          </w:p>
        </w:tc>
        <w:tc>
          <w:tcPr>
            <w:tcW w:w="596" w:type="pct"/>
          </w:tcPr>
          <w:p w14:paraId="44364E4F" w14:textId="4B932EEA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52 (5.6%)</w:t>
            </w:r>
          </w:p>
        </w:tc>
        <w:tc>
          <w:tcPr>
            <w:tcW w:w="754" w:type="pct"/>
          </w:tcPr>
          <w:p w14:paraId="726708C9" w14:textId="1694B04E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43 (6.4%)</w:t>
            </w:r>
          </w:p>
        </w:tc>
        <w:tc>
          <w:tcPr>
            <w:tcW w:w="770" w:type="pct"/>
          </w:tcPr>
          <w:p w14:paraId="75C8E9EC" w14:textId="0AC70264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9 (3.5%)</w:t>
            </w:r>
          </w:p>
        </w:tc>
        <w:tc>
          <w:tcPr>
            <w:tcW w:w="769" w:type="pct"/>
          </w:tcPr>
          <w:p w14:paraId="4DFB9274" w14:textId="54FCB603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14 (5.7%)</w:t>
            </w:r>
          </w:p>
        </w:tc>
        <w:tc>
          <w:tcPr>
            <w:tcW w:w="762" w:type="pct"/>
          </w:tcPr>
          <w:p w14:paraId="472E484D" w14:textId="40A842E1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9 (3.7%)</w:t>
            </w:r>
          </w:p>
        </w:tc>
      </w:tr>
      <w:tr w:rsidR="00A43EE5" w:rsidRPr="00B9426A" w14:paraId="05BDBD60" w14:textId="77777777" w:rsidTr="00071D58">
        <w:tc>
          <w:tcPr>
            <w:tcW w:w="1349" w:type="pct"/>
          </w:tcPr>
          <w:p w14:paraId="38DF67CA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596" w:type="pct"/>
          </w:tcPr>
          <w:p w14:paraId="6D9D820D" w14:textId="5619CEDF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4" w:type="pct"/>
          </w:tcPr>
          <w:p w14:paraId="4E932C7A" w14:textId="1C3F68F2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70" w:type="pct"/>
          </w:tcPr>
          <w:p w14:paraId="7F1E129E" w14:textId="0004CEB7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69" w:type="pct"/>
          </w:tcPr>
          <w:p w14:paraId="57F9CCE7" w14:textId="5752B138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pct"/>
          </w:tcPr>
          <w:p w14:paraId="25369B2D" w14:textId="4FDCAE02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A43EE5" w:rsidRPr="00B9426A" w14:paraId="76ACA6CC" w14:textId="77777777" w:rsidTr="00071D58">
        <w:tc>
          <w:tcPr>
            <w:tcW w:w="1349" w:type="pct"/>
          </w:tcPr>
          <w:p w14:paraId="5B16B276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596" w:type="pct"/>
          </w:tcPr>
          <w:p w14:paraId="10C9479D" w14:textId="31EE748F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54" w:type="pct"/>
          </w:tcPr>
          <w:p w14:paraId="14CD1759" w14:textId="5659AE6A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70" w:type="pct"/>
          </w:tcPr>
          <w:p w14:paraId="1B05657C" w14:textId="537AFC40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9" w:type="pct"/>
          </w:tcPr>
          <w:p w14:paraId="2A683F6B" w14:textId="1A659DD8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2" w:type="pct"/>
          </w:tcPr>
          <w:p w14:paraId="7C55BD77" w14:textId="600C53F2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A43EE5" w:rsidRPr="00B9426A" w14:paraId="60EBA05C" w14:textId="77777777" w:rsidTr="00071D58">
        <w:tc>
          <w:tcPr>
            <w:tcW w:w="1349" w:type="pct"/>
          </w:tcPr>
          <w:p w14:paraId="5887D1DA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596" w:type="pct"/>
          </w:tcPr>
          <w:p w14:paraId="6D8A7614" w14:textId="23FA60DA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4" w:type="pct"/>
          </w:tcPr>
          <w:p w14:paraId="73E0CDF4" w14:textId="4984EC34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70" w:type="pct"/>
          </w:tcPr>
          <w:p w14:paraId="124A110A" w14:textId="302BFED1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9" w:type="pct"/>
          </w:tcPr>
          <w:p w14:paraId="45CD54D8" w14:textId="47651B8B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pct"/>
          </w:tcPr>
          <w:p w14:paraId="713CAA2C" w14:textId="53FD6738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A43EE5" w:rsidRPr="00B9426A" w14:paraId="7162956C" w14:textId="77777777" w:rsidTr="00071D58">
        <w:tc>
          <w:tcPr>
            <w:tcW w:w="1349" w:type="pct"/>
            <w:tcBorders>
              <w:bottom w:val="single" w:sz="4" w:space="0" w:color="auto"/>
            </w:tcBorders>
          </w:tcPr>
          <w:p w14:paraId="4A73D013" w14:textId="77777777" w:rsidR="00A43EE5" w:rsidRPr="00B9426A" w:rsidRDefault="00A43EE5" w:rsidP="00A43EE5">
            <w:pPr>
              <w:pStyle w:val="NoSpacing1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9426A">
              <w:rPr>
                <w:rFonts w:ascii="Arial" w:hAnsi="Arial" w:cs="Arial"/>
                <w:sz w:val="20"/>
                <w:szCs w:val="20"/>
              </w:rPr>
              <w:t>80 mg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58023CE5" w14:textId="7094EC70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68E70EC8" w14:textId="70FB9EB7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032EF696" w14:textId="22DB57EB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14:paraId="64C59F09" w14:textId="0CDE868E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0C72FB35" w14:textId="3B6DB64C" w:rsidR="00A43EE5" w:rsidRPr="00B9426A" w:rsidRDefault="00A43EE5" w:rsidP="00A43EE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426A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</w:tr>
    </w:tbl>
    <w:p w14:paraId="6E0B37EF" w14:textId="77777777" w:rsidR="00F61C51" w:rsidRPr="00B9426A" w:rsidRDefault="00F61C51" w:rsidP="008C71A2">
      <w:pPr>
        <w:pStyle w:val="NoSpacing1"/>
        <w:rPr>
          <w:rFonts w:ascii="Arial" w:hAnsi="Arial" w:cs="Arial"/>
          <w:sz w:val="20"/>
          <w:szCs w:val="20"/>
        </w:rPr>
      </w:pPr>
      <w:r w:rsidRPr="00B9426A">
        <w:rPr>
          <w:rFonts w:ascii="Arial" w:hAnsi="Arial" w:cs="Arial"/>
          <w:sz w:val="20"/>
          <w:szCs w:val="20"/>
        </w:rPr>
        <w:t>Results are presented as number (%).</w:t>
      </w:r>
    </w:p>
    <w:p w14:paraId="0D579DB1" w14:textId="39B89FF0" w:rsidR="00F61C51" w:rsidRPr="00B9426A" w:rsidRDefault="00F61C51" w:rsidP="00056031">
      <w:pPr>
        <w:pStyle w:val="NoSpacing1"/>
        <w:rPr>
          <w:rFonts w:ascii="Arial" w:hAnsi="Arial" w:cs="Arial"/>
          <w:sz w:val="20"/>
          <w:szCs w:val="20"/>
        </w:rPr>
      </w:pPr>
      <w:r w:rsidRPr="00B9426A">
        <w:rPr>
          <w:rFonts w:ascii="Arial" w:hAnsi="Arial" w:cs="Arial"/>
          <w:sz w:val="20"/>
          <w:szCs w:val="20"/>
          <w:lang w:val="it-IT"/>
        </w:rPr>
        <w:t xml:space="preserve">NSAIDs, non-steroid anti-inflammatory drugs. </w:t>
      </w:r>
    </w:p>
    <w:sectPr w:rsidR="00F61C51" w:rsidRPr="00B9426A" w:rsidSect="000951CC">
      <w:headerReference w:type="default" r:id="rId6"/>
      <w:pgSz w:w="16838" w:h="11906" w:orient="landscape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394BE" w14:textId="77777777" w:rsidR="00E13F02" w:rsidRDefault="00E13F02" w:rsidP="00A76156">
      <w:pPr>
        <w:spacing w:after="0" w:line="240" w:lineRule="auto"/>
      </w:pPr>
      <w:r>
        <w:separator/>
      </w:r>
    </w:p>
  </w:endnote>
  <w:endnote w:type="continuationSeparator" w:id="0">
    <w:p w14:paraId="3766A675" w14:textId="77777777" w:rsidR="00E13F02" w:rsidRDefault="00E13F02" w:rsidP="00A7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477BE" w14:textId="77777777" w:rsidR="00E13F02" w:rsidRDefault="00E13F02" w:rsidP="00A76156">
      <w:pPr>
        <w:spacing w:after="0" w:line="240" w:lineRule="auto"/>
      </w:pPr>
      <w:r>
        <w:separator/>
      </w:r>
    </w:p>
  </w:footnote>
  <w:footnote w:type="continuationSeparator" w:id="0">
    <w:p w14:paraId="5C2C134E" w14:textId="77777777" w:rsidR="00E13F02" w:rsidRDefault="00E13F02" w:rsidP="00A7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170571"/>
      <w:docPartObj>
        <w:docPartGallery w:val="Page Numbers (Top of Page)"/>
        <w:docPartUnique/>
      </w:docPartObj>
    </w:sdtPr>
    <w:sdtEndPr/>
    <w:sdtContent>
      <w:p w14:paraId="524AAFD3" w14:textId="77777777" w:rsidR="00BD273F" w:rsidRDefault="00BD273F" w:rsidP="0023046A">
        <w:pPr>
          <w:pStyle w:val="a3"/>
          <w:pBdr>
            <w:bottom w:val="none" w:sz="0" w:space="0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7BD3">
          <w:rPr>
            <w:noProof/>
            <w:lang w:val="zh-CN" w:eastAsia="zh-CN"/>
          </w:rPr>
          <w:t>17</w:t>
        </w:r>
        <w:r>
          <w:fldChar w:fldCharType="end"/>
        </w:r>
      </w:p>
    </w:sdtContent>
  </w:sdt>
  <w:p w14:paraId="1648001B" w14:textId="77777777" w:rsidR="00BD273F" w:rsidRDefault="00BD273F" w:rsidP="002304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D5"/>
    <w:rsid w:val="000553C3"/>
    <w:rsid w:val="00056031"/>
    <w:rsid w:val="00071D58"/>
    <w:rsid w:val="00073FE6"/>
    <w:rsid w:val="0007654B"/>
    <w:rsid w:val="00077EDA"/>
    <w:rsid w:val="00090B70"/>
    <w:rsid w:val="000951CC"/>
    <w:rsid w:val="00096B27"/>
    <w:rsid w:val="000973AE"/>
    <w:rsid w:val="00102704"/>
    <w:rsid w:val="00160334"/>
    <w:rsid w:val="00171E3D"/>
    <w:rsid w:val="0018150E"/>
    <w:rsid w:val="00185549"/>
    <w:rsid w:val="00193A0D"/>
    <w:rsid w:val="001947F1"/>
    <w:rsid w:val="001B0C0A"/>
    <w:rsid w:val="001B1ACF"/>
    <w:rsid w:val="001D72E8"/>
    <w:rsid w:val="002032A5"/>
    <w:rsid w:val="00207EB9"/>
    <w:rsid w:val="0023046A"/>
    <w:rsid w:val="002448BE"/>
    <w:rsid w:val="002550C7"/>
    <w:rsid w:val="00263F7C"/>
    <w:rsid w:val="00275954"/>
    <w:rsid w:val="00275AC5"/>
    <w:rsid w:val="002805B7"/>
    <w:rsid w:val="002C5FF2"/>
    <w:rsid w:val="00302145"/>
    <w:rsid w:val="003231A5"/>
    <w:rsid w:val="00330871"/>
    <w:rsid w:val="0036132C"/>
    <w:rsid w:val="0037572C"/>
    <w:rsid w:val="003A5A08"/>
    <w:rsid w:val="003B3D11"/>
    <w:rsid w:val="003F0D02"/>
    <w:rsid w:val="003F6222"/>
    <w:rsid w:val="00410E54"/>
    <w:rsid w:val="00435476"/>
    <w:rsid w:val="0045344C"/>
    <w:rsid w:val="004652C7"/>
    <w:rsid w:val="004C0AA0"/>
    <w:rsid w:val="004D373E"/>
    <w:rsid w:val="004E6E1B"/>
    <w:rsid w:val="004F61FA"/>
    <w:rsid w:val="0054157F"/>
    <w:rsid w:val="00543145"/>
    <w:rsid w:val="00545E95"/>
    <w:rsid w:val="00552183"/>
    <w:rsid w:val="005720CF"/>
    <w:rsid w:val="005937C6"/>
    <w:rsid w:val="005A2E55"/>
    <w:rsid w:val="005B6E48"/>
    <w:rsid w:val="005D35F2"/>
    <w:rsid w:val="00620B39"/>
    <w:rsid w:val="006247A1"/>
    <w:rsid w:val="006540FA"/>
    <w:rsid w:val="0066487E"/>
    <w:rsid w:val="006B4B14"/>
    <w:rsid w:val="006E1087"/>
    <w:rsid w:val="006E1E98"/>
    <w:rsid w:val="006F3533"/>
    <w:rsid w:val="006F59BC"/>
    <w:rsid w:val="007049E4"/>
    <w:rsid w:val="0073495E"/>
    <w:rsid w:val="00735CE4"/>
    <w:rsid w:val="00736FDC"/>
    <w:rsid w:val="00742C07"/>
    <w:rsid w:val="007506BA"/>
    <w:rsid w:val="00780277"/>
    <w:rsid w:val="007A33BA"/>
    <w:rsid w:val="007A6811"/>
    <w:rsid w:val="007B346E"/>
    <w:rsid w:val="007C1F71"/>
    <w:rsid w:val="007D2479"/>
    <w:rsid w:val="0080149A"/>
    <w:rsid w:val="0083151A"/>
    <w:rsid w:val="00836A6E"/>
    <w:rsid w:val="00881DB8"/>
    <w:rsid w:val="008A59A8"/>
    <w:rsid w:val="008C71A2"/>
    <w:rsid w:val="008D7C15"/>
    <w:rsid w:val="00905BA5"/>
    <w:rsid w:val="00917FEA"/>
    <w:rsid w:val="009342BA"/>
    <w:rsid w:val="00945C1A"/>
    <w:rsid w:val="009468D3"/>
    <w:rsid w:val="0095013B"/>
    <w:rsid w:val="00965AFD"/>
    <w:rsid w:val="009A418B"/>
    <w:rsid w:val="009D5D7E"/>
    <w:rsid w:val="009E1EDD"/>
    <w:rsid w:val="00A363C5"/>
    <w:rsid w:val="00A36B39"/>
    <w:rsid w:val="00A43EE5"/>
    <w:rsid w:val="00A47CBA"/>
    <w:rsid w:val="00A67B87"/>
    <w:rsid w:val="00A71C52"/>
    <w:rsid w:val="00A75845"/>
    <w:rsid w:val="00A76156"/>
    <w:rsid w:val="00A77E6A"/>
    <w:rsid w:val="00A9443C"/>
    <w:rsid w:val="00AB6385"/>
    <w:rsid w:val="00AC020D"/>
    <w:rsid w:val="00AD06B4"/>
    <w:rsid w:val="00AD4D34"/>
    <w:rsid w:val="00AD56D1"/>
    <w:rsid w:val="00B06F30"/>
    <w:rsid w:val="00B14784"/>
    <w:rsid w:val="00B2105B"/>
    <w:rsid w:val="00B32B2A"/>
    <w:rsid w:val="00B4715C"/>
    <w:rsid w:val="00B6004A"/>
    <w:rsid w:val="00B60A98"/>
    <w:rsid w:val="00B764C9"/>
    <w:rsid w:val="00B82A2A"/>
    <w:rsid w:val="00B87177"/>
    <w:rsid w:val="00B93020"/>
    <w:rsid w:val="00B9426A"/>
    <w:rsid w:val="00BA6076"/>
    <w:rsid w:val="00BB19C1"/>
    <w:rsid w:val="00BB5879"/>
    <w:rsid w:val="00BD273F"/>
    <w:rsid w:val="00BD5910"/>
    <w:rsid w:val="00BF0464"/>
    <w:rsid w:val="00BF4FD5"/>
    <w:rsid w:val="00BF52C3"/>
    <w:rsid w:val="00C26FB4"/>
    <w:rsid w:val="00CB4A6E"/>
    <w:rsid w:val="00CD0042"/>
    <w:rsid w:val="00CE3DC7"/>
    <w:rsid w:val="00CE6C8A"/>
    <w:rsid w:val="00CF4008"/>
    <w:rsid w:val="00CF7F7A"/>
    <w:rsid w:val="00D117F9"/>
    <w:rsid w:val="00D17D26"/>
    <w:rsid w:val="00D248DB"/>
    <w:rsid w:val="00D63481"/>
    <w:rsid w:val="00D96BB2"/>
    <w:rsid w:val="00DA030F"/>
    <w:rsid w:val="00DB1AE8"/>
    <w:rsid w:val="00DC484B"/>
    <w:rsid w:val="00DC6103"/>
    <w:rsid w:val="00DD6560"/>
    <w:rsid w:val="00DE00D1"/>
    <w:rsid w:val="00E13F02"/>
    <w:rsid w:val="00E15A04"/>
    <w:rsid w:val="00E245D3"/>
    <w:rsid w:val="00E27BD3"/>
    <w:rsid w:val="00E335DB"/>
    <w:rsid w:val="00E53583"/>
    <w:rsid w:val="00E54DA7"/>
    <w:rsid w:val="00E72581"/>
    <w:rsid w:val="00E733F9"/>
    <w:rsid w:val="00EB0A9D"/>
    <w:rsid w:val="00EC5AF2"/>
    <w:rsid w:val="00ED09E7"/>
    <w:rsid w:val="00ED3E95"/>
    <w:rsid w:val="00F0660B"/>
    <w:rsid w:val="00F17ADF"/>
    <w:rsid w:val="00F3075E"/>
    <w:rsid w:val="00F37AE8"/>
    <w:rsid w:val="00F406EC"/>
    <w:rsid w:val="00F54BDA"/>
    <w:rsid w:val="00F61C51"/>
    <w:rsid w:val="00FA3B9C"/>
    <w:rsid w:val="00FB65F9"/>
    <w:rsid w:val="00FC7DAA"/>
    <w:rsid w:val="00FD52D2"/>
    <w:rsid w:val="00FD7F94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05827A"/>
  <w15:docId w15:val="{CC3B08C3-3E25-4A0F-B201-9ED1DFE6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FD5"/>
    <w:pPr>
      <w:spacing w:after="160" w:line="259" w:lineRule="auto"/>
    </w:pPr>
    <w:rPr>
      <w:rFonts w:ascii="Calibri" w:hAnsi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uiPriority w:val="99"/>
    <w:rsid w:val="002550C7"/>
    <w:pPr>
      <w:widowControl w:val="0"/>
      <w:jc w:val="both"/>
    </w:pPr>
    <w:rPr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BF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BF4FD5"/>
    <w:rPr>
      <w:rFonts w:ascii="Calibri" w:eastAsia="宋体" w:hAnsi="Calibri" w:cs="Times New Roman"/>
      <w:sz w:val="18"/>
      <w:szCs w:val="18"/>
      <w:lang w:val="en-US" w:eastAsia="en-US" w:bidi="ar-SA"/>
    </w:rPr>
  </w:style>
  <w:style w:type="paragraph" w:styleId="a5">
    <w:name w:val="footer"/>
    <w:basedOn w:val="a"/>
    <w:link w:val="a6"/>
    <w:uiPriority w:val="99"/>
    <w:rsid w:val="00BF4FD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BF4FD5"/>
    <w:rPr>
      <w:rFonts w:ascii="Calibri" w:eastAsia="宋体" w:hAnsi="Calibri" w:cs="Times New Roman"/>
      <w:sz w:val="18"/>
      <w:szCs w:val="18"/>
      <w:lang w:val="en-US" w:eastAsia="en-US" w:bidi="ar-SA"/>
    </w:rPr>
  </w:style>
  <w:style w:type="paragraph" w:styleId="a7">
    <w:name w:val="Balloon Text"/>
    <w:basedOn w:val="a"/>
    <w:link w:val="a8"/>
    <w:uiPriority w:val="99"/>
    <w:rsid w:val="00BF4FD5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locked/>
    <w:rsid w:val="00BF4FD5"/>
    <w:rPr>
      <w:rFonts w:ascii="Calibri" w:eastAsia="宋体" w:hAnsi="Calibri" w:cs="Times New Roman"/>
      <w:sz w:val="18"/>
      <w:szCs w:val="18"/>
      <w:lang w:val="en-US" w:eastAsia="en-US" w:bidi="ar-SA"/>
    </w:rPr>
  </w:style>
  <w:style w:type="paragraph" w:styleId="a9">
    <w:name w:val="annotation text"/>
    <w:basedOn w:val="a"/>
    <w:link w:val="aa"/>
    <w:uiPriority w:val="99"/>
    <w:semiHidden/>
    <w:rsid w:val="00BF4FD5"/>
    <w:rPr>
      <w:szCs w:val="20"/>
    </w:rPr>
  </w:style>
  <w:style w:type="character" w:customStyle="1" w:styleId="aa">
    <w:name w:val="批注文字 字符"/>
    <w:basedOn w:val="a0"/>
    <w:link w:val="a9"/>
    <w:uiPriority w:val="99"/>
    <w:semiHidden/>
    <w:locked/>
    <w:rsid w:val="00BF4FD5"/>
    <w:rPr>
      <w:rFonts w:ascii="Calibri" w:eastAsia="宋体" w:hAnsi="Calibri" w:cs="Times New Roman"/>
      <w:sz w:val="22"/>
      <w:lang w:val="en-US" w:eastAsia="en-US" w:bidi="ar-SA"/>
    </w:rPr>
  </w:style>
  <w:style w:type="paragraph" w:styleId="ab">
    <w:name w:val="annotation subject"/>
    <w:basedOn w:val="a9"/>
    <w:next w:val="a9"/>
    <w:link w:val="ac"/>
    <w:uiPriority w:val="99"/>
    <w:semiHidden/>
    <w:rsid w:val="00BF4FD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locked/>
    <w:rsid w:val="00BF4FD5"/>
    <w:rPr>
      <w:rFonts w:ascii="Calibri" w:eastAsia="宋体" w:hAnsi="Calibri" w:cs="Times New Roman"/>
      <w:b/>
      <w:bCs/>
      <w:sz w:val="22"/>
      <w:lang w:val="en-US" w:eastAsia="en-US" w:bidi="ar-SA"/>
    </w:rPr>
  </w:style>
  <w:style w:type="paragraph" w:customStyle="1" w:styleId="NoSpacing1">
    <w:name w:val="No Spacing1"/>
    <w:uiPriority w:val="99"/>
    <w:rsid w:val="00BF4FD5"/>
    <w:rPr>
      <w:rFonts w:ascii="Calibri" w:hAnsi="Calibri"/>
      <w:kern w:val="0"/>
      <w:sz w:val="22"/>
      <w:lang w:eastAsia="en-US"/>
    </w:rPr>
  </w:style>
  <w:style w:type="character" w:styleId="ad">
    <w:name w:val="annotation reference"/>
    <w:basedOn w:val="a0"/>
    <w:uiPriority w:val="99"/>
    <w:rsid w:val="009E1EDD"/>
    <w:rPr>
      <w:rFonts w:cs="Times New Roman"/>
      <w:sz w:val="21"/>
      <w:szCs w:val="21"/>
    </w:rPr>
  </w:style>
  <w:style w:type="character" w:customStyle="1" w:styleId="15">
    <w:name w:val="15"/>
    <w:uiPriority w:val="99"/>
    <w:rsid w:val="00905BA5"/>
    <w:rPr>
      <w:color w:val="0000FF"/>
      <w:u w:val="single"/>
    </w:rPr>
  </w:style>
  <w:style w:type="paragraph" w:styleId="ae">
    <w:name w:val="Revision"/>
    <w:hidden/>
    <w:uiPriority w:val="99"/>
    <w:semiHidden/>
    <w:rsid w:val="00B6004A"/>
    <w:rPr>
      <w:rFonts w:ascii="Calibri" w:hAnsi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vic lee</cp:lastModifiedBy>
  <cp:revision>3</cp:revision>
  <dcterms:created xsi:type="dcterms:W3CDTF">2022-03-05T09:40:00Z</dcterms:created>
  <dcterms:modified xsi:type="dcterms:W3CDTF">2022-06-10T12:11:00Z</dcterms:modified>
</cp:coreProperties>
</file>