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2EA781" w14:textId="77777777" w:rsidR="004F5596" w:rsidRDefault="00B57564" w:rsidP="00B57564">
      <w:pPr>
        <w:spacing w:line="480" w:lineRule="auto"/>
        <w:rPr>
          <w:rFonts w:ascii="Times New Roman" w:hAnsi="Times New Roman" w:cs="Times New Roman"/>
          <w:b/>
          <w:sz w:val="28"/>
          <w:szCs w:val="28"/>
        </w:rPr>
      </w:pPr>
      <w:r w:rsidRPr="00913D60">
        <w:rPr>
          <w:rFonts w:ascii="Times New Roman" w:hAnsi="Times New Roman" w:cs="Times New Roman"/>
          <w:b/>
          <w:sz w:val="28"/>
          <w:szCs w:val="28"/>
        </w:rPr>
        <w:t>Supplementary</w:t>
      </w:r>
    </w:p>
    <w:p w14:paraId="3A594838" w14:textId="77777777" w:rsidR="003A3479" w:rsidRPr="00913D60" w:rsidRDefault="003A3479" w:rsidP="00B57564">
      <w:pPr>
        <w:spacing w:line="480" w:lineRule="auto"/>
        <w:rPr>
          <w:rFonts w:ascii="Times New Roman" w:hAnsi="Times New Roman" w:cs="Times New Roman"/>
          <w:b/>
          <w:sz w:val="28"/>
          <w:szCs w:val="28"/>
        </w:rPr>
      </w:pPr>
    </w:p>
    <w:p w14:paraId="57B4ACDE" w14:textId="77777777" w:rsidR="00913D60" w:rsidRDefault="00913D60" w:rsidP="00913D60">
      <w:pPr>
        <w:spacing w:line="480" w:lineRule="auto"/>
        <w:jc w:val="left"/>
        <w:outlineLvl w:val="0"/>
        <w:rPr>
          <w:rFonts w:ascii="Times New Roman" w:hAnsi="Times New Roman" w:cs="Times New Roman"/>
          <w:b/>
          <w:bCs/>
          <w:color w:val="000000" w:themeColor="text1"/>
          <w:sz w:val="28"/>
          <w:szCs w:val="28"/>
        </w:rPr>
      </w:pPr>
      <w:r w:rsidRPr="00097D16">
        <w:rPr>
          <w:rFonts w:ascii="Times New Roman" w:hAnsi="Times New Roman" w:cs="Times New Roman"/>
          <w:b/>
          <w:bCs/>
          <w:color w:val="000000" w:themeColor="text1"/>
          <w:sz w:val="28"/>
          <w:szCs w:val="28"/>
        </w:rPr>
        <w:t>Materials and Methods</w:t>
      </w:r>
    </w:p>
    <w:p w14:paraId="660D445B" w14:textId="5280E36B" w:rsidR="00913D60" w:rsidRDefault="00913D60" w:rsidP="00913D60">
      <w:pPr>
        <w:spacing w:line="480" w:lineRule="auto"/>
        <w:outlineLvl w:val="0"/>
        <w:rPr>
          <w:rFonts w:ascii="Times New Roman" w:hAnsi="Times New Roman" w:cs="Times New Roman"/>
          <w:b/>
          <w:bCs/>
          <w:color w:val="000000" w:themeColor="text1"/>
        </w:rPr>
      </w:pPr>
      <w:r w:rsidRPr="00097D16">
        <w:rPr>
          <w:rFonts w:ascii="Times New Roman" w:hAnsi="Times New Roman" w:cs="Times New Roman"/>
          <w:b/>
          <w:bCs/>
          <w:color w:val="000000" w:themeColor="text1"/>
        </w:rPr>
        <w:t>Characterization of the GO Scaffolds</w:t>
      </w:r>
    </w:p>
    <w:p w14:paraId="5BA05E4B" w14:textId="6A4DAB02" w:rsidR="00913D60" w:rsidRDefault="00913D60" w:rsidP="00913D60">
      <w:pPr>
        <w:spacing w:line="480" w:lineRule="auto"/>
        <w:outlineLvl w:val="0"/>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097D16">
        <w:rPr>
          <w:rFonts w:ascii="Times New Roman" w:hAnsi="Times New Roman" w:cs="Times New Roman" w:hint="eastAsia"/>
          <w:bCs/>
          <w:color w:val="000000" w:themeColor="text1"/>
        </w:rPr>
        <w:t>S</w:t>
      </w:r>
      <w:r w:rsidRPr="00097D16">
        <w:rPr>
          <w:rFonts w:ascii="Times New Roman" w:hAnsi="Times New Roman" w:cs="Times New Roman"/>
          <w:bCs/>
          <w:color w:val="000000" w:themeColor="text1"/>
        </w:rPr>
        <w:t>urface characteristics of the scaffolds were recorded using an FTIR spectrometer (</w:t>
      </w:r>
      <w:proofErr w:type="spellStart"/>
      <w:r w:rsidRPr="00097D16">
        <w:rPr>
          <w:rFonts w:ascii="Times New Roman" w:hAnsi="Times New Roman" w:cs="Times New Roman"/>
          <w:bCs/>
          <w:color w:val="000000" w:themeColor="text1"/>
        </w:rPr>
        <w:t>Thermo</w:t>
      </w:r>
      <w:proofErr w:type="spellEnd"/>
      <w:r w:rsidRPr="00097D16">
        <w:rPr>
          <w:rFonts w:ascii="Times New Roman" w:hAnsi="Times New Roman" w:cs="Times New Roman"/>
          <w:bCs/>
          <w:color w:val="000000" w:themeColor="text1"/>
        </w:rPr>
        <w:t xml:space="preserve"> Scientific, Nicolet iS50R,</w:t>
      </w:r>
      <w:r w:rsidRPr="00097D16">
        <w:rPr>
          <w:color w:val="000000" w:themeColor="text1"/>
        </w:rPr>
        <w:t xml:space="preserve"> </w:t>
      </w:r>
      <w:r w:rsidRPr="00097D16">
        <w:rPr>
          <w:rFonts w:ascii="Times New Roman" w:hAnsi="Times New Roman" w:cs="Times New Roman"/>
          <w:bCs/>
          <w:color w:val="000000" w:themeColor="text1"/>
        </w:rPr>
        <w:t>Waltham, America) and a Raman spectrometer (</w:t>
      </w:r>
      <w:proofErr w:type="spellStart"/>
      <w:r w:rsidRPr="00097D16">
        <w:rPr>
          <w:rFonts w:ascii="Times New Roman" w:hAnsi="Times New Roman" w:cs="Times New Roman"/>
          <w:bCs/>
          <w:color w:val="000000" w:themeColor="text1"/>
        </w:rPr>
        <w:t>LabRAM</w:t>
      </w:r>
      <w:proofErr w:type="spellEnd"/>
      <w:r w:rsidRPr="00097D16">
        <w:rPr>
          <w:rFonts w:ascii="Times New Roman" w:hAnsi="Times New Roman" w:cs="Times New Roman"/>
          <w:bCs/>
          <w:color w:val="000000" w:themeColor="text1"/>
        </w:rPr>
        <w:t xml:space="preserve">, HR800, Horiba </w:t>
      </w:r>
      <w:proofErr w:type="spellStart"/>
      <w:r w:rsidRPr="00097D16">
        <w:rPr>
          <w:rFonts w:ascii="Times New Roman" w:hAnsi="Times New Roman" w:cs="Times New Roman"/>
          <w:bCs/>
          <w:color w:val="000000" w:themeColor="text1"/>
        </w:rPr>
        <w:t>JobinYvon</w:t>
      </w:r>
      <w:proofErr w:type="spellEnd"/>
      <w:r w:rsidRPr="00097D16">
        <w:rPr>
          <w:rFonts w:ascii="Times New Roman" w:hAnsi="Times New Roman" w:cs="Times New Roman"/>
          <w:bCs/>
          <w:color w:val="000000" w:themeColor="text1"/>
        </w:rPr>
        <w:t>, France). FTIR was measured at a resolution of 4 cm</w:t>
      </w:r>
      <w:r w:rsidRPr="00097D16">
        <w:rPr>
          <w:rFonts w:ascii="Times New Roman" w:hAnsi="Times New Roman" w:cs="Times New Roman"/>
          <w:bCs/>
          <w:color w:val="000000" w:themeColor="text1"/>
          <w:vertAlign w:val="superscript"/>
        </w:rPr>
        <w:t>−1</w:t>
      </w:r>
      <w:r w:rsidRPr="00097D16">
        <w:rPr>
          <w:rFonts w:ascii="Times New Roman" w:hAnsi="Times New Roman" w:cs="Times New Roman"/>
          <w:bCs/>
          <w:color w:val="000000" w:themeColor="text1"/>
        </w:rPr>
        <w:t xml:space="preserve"> in the frequency range of 400–5000 cm</w:t>
      </w:r>
      <w:r w:rsidRPr="00097D16">
        <w:rPr>
          <w:rFonts w:ascii="Times New Roman" w:hAnsi="Times New Roman" w:cs="Times New Roman"/>
          <w:bCs/>
          <w:color w:val="000000" w:themeColor="text1"/>
          <w:vertAlign w:val="superscript"/>
        </w:rPr>
        <w:t>−1</w:t>
      </w:r>
      <w:r w:rsidRPr="00097D16">
        <w:rPr>
          <w:rFonts w:ascii="Times New Roman" w:hAnsi="Times New Roman" w:cs="Times New Roman"/>
          <w:bCs/>
          <w:color w:val="000000" w:themeColor="text1"/>
        </w:rPr>
        <w:t xml:space="preserve">, while the Raman </w:t>
      </w:r>
      <w:r w:rsidRPr="00097D16">
        <w:rPr>
          <w:rFonts w:ascii="Times New Roman" w:hAnsi="Times New Roman" w:cs="Times New Roman" w:hint="eastAsia"/>
          <w:bCs/>
          <w:color w:val="000000" w:themeColor="text1"/>
        </w:rPr>
        <w:t>s</w:t>
      </w:r>
      <w:r w:rsidRPr="00097D16">
        <w:rPr>
          <w:rFonts w:ascii="Times New Roman" w:hAnsi="Times New Roman" w:cs="Times New Roman"/>
          <w:bCs/>
          <w:color w:val="000000" w:themeColor="text1"/>
        </w:rPr>
        <w:t>pectra analysis was performed using a scanning range of 100–4000 cm</w:t>
      </w:r>
      <w:r w:rsidRPr="00097D16">
        <w:rPr>
          <w:rFonts w:ascii="Times New Roman" w:hAnsi="Times New Roman" w:cs="Times New Roman"/>
          <w:bCs/>
          <w:color w:val="000000" w:themeColor="text1"/>
          <w:vertAlign w:val="superscript"/>
        </w:rPr>
        <w:t>−1</w:t>
      </w:r>
      <w:r w:rsidRPr="00097D16">
        <w:rPr>
          <w:rFonts w:ascii="Times New Roman" w:hAnsi="Times New Roman" w:cs="Times New Roman"/>
          <w:bCs/>
          <w:color w:val="000000" w:themeColor="text1"/>
        </w:rPr>
        <w:t xml:space="preserve">. The excitation source was a </w:t>
      </w:r>
      <w:proofErr w:type="gramStart"/>
      <w:r w:rsidRPr="00097D16">
        <w:rPr>
          <w:rFonts w:ascii="Times New Roman" w:hAnsi="Times New Roman" w:cs="Times New Roman"/>
          <w:bCs/>
          <w:color w:val="000000" w:themeColor="text1"/>
        </w:rPr>
        <w:t>30</w:t>
      </w:r>
      <w:r>
        <w:rPr>
          <w:rFonts w:ascii="Times New Roman" w:hAnsi="Times New Roman" w:cs="Times New Roman" w:hint="eastAsia"/>
          <w:bCs/>
          <w:color w:val="000000" w:themeColor="text1"/>
        </w:rPr>
        <w:t xml:space="preserve"> </w:t>
      </w:r>
      <w:proofErr w:type="spellStart"/>
      <w:r w:rsidRPr="00097D16">
        <w:rPr>
          <w:rFonts w:ascii="Times New Roman" w:hAnsi="Times New Roman" w:cs="Times New Roman"/>
          <w:bCs/>
          <w:color w:val="000000" w:themeColor="text1"/>
        </w:rPr>
        <w:t>mW</w:t>
      </w:r>
      <w:proofErr w:type="spellEnd"/>
      <w:proofErr w:type="gramEnd"/>
      <w:r w:rsidRPr="00097D16">
        <w:rPr>
          <w:rFonts w:ascii="Times New Roman" w:hAnsi="Times New Roman" w:cs="Times New Roman"/>
          <w:bCs/>
          <w:color w:val="000000" w:themeColor="text1"/>
        </w:rPr>
        <w:t xml:space="preserve"> diode laser with a 532</w:t>
      </w:r>
      <w:r w:rsidRPr="00097D16">
        <w:rPr>
          <w:rFonts w:ascii="Times New Roman" w:hAnsi="Times New Roman" w:cs="Times New Roman" w:hint="eastAsia"/>
          <w:bCs/>
          <w:color w:val="000000" w:themeColor="text1"/>
        </w:rPr>
        <w:t xml:space="preserve"> </w:t>
      </w:r>
      <w:r w:rsidRPr="00097D16">
        <w:rPr>
          <w:rFonts w:ascii="Times New Roman" w:hAnsi="Times New Roman" w:cs="Times New Roman"/>
          <w:bCs/>
          <w:color w:val="000000" w:themeColor="text1"/>
        </w:rPr>
        <w:t xml:space="preserve">nm wavelength. The X-ray diffraction (XRD) analysis was determined </w:t>
      </w:r>
      <w:r w:rsidRPr="00097D16">
        <w:rPr>
          <w:rFonts w:ascii="Times New Roman" w:hAnsi="Times New Roman" w:cs="Times New Roman" w:hint="eastAsia"/>
          <w:bCs/>
          <w:color w:val="000000" w:themeColor="text1"/>
        </w:rPr>
        <w:t xml:space="preserve">using </w:t>
      </w:r>
      <w:r w:rsidRPr="00097D16">
        <w:rPr>
          <w:rFonts w:ascii="Times New Roman" w:hAnsi="Times New Roman" w:cs="Times New Roman"/>
          <w:bCs/>
          <w:color w:val="000000" w:themeColor="text1"/>
        </w:rPr>
        <w:t>an X-ray diffractometer (XRD, Empyrean, Netherlands) with Cu-Kα radiation in the range of 5°–90° (2θ).</w:t>
      </w:r>
    </w:p>
    <w:p w14:paraId="40A6638A" w14:textId="77777777" w:rsidR="00913D60" w:rsidRDefault="00913D60" w:rsidP="00913D60">
      <w:pPr>
        <w:spacing w:line="480" w:lineRule="auto"/>
        <w:outlineLvl w:val="0"/>
        <w:rPr>
          <w:rFonts w:ascii="Times New Roman" w:hAnsi="Times New Roman" w:cs="Times New Roman"/>
          <w:bCs/>
          <w:color w:val="000000" w:themeColor="text1"/>
        </w:rPr>
      </w:pPr>
    </w:p>
    <w:p w14:paraId="6DC5CD82" w14:textId="54EDBA8F" w:rsidR="004E14EA" w:rsidRPr="004E14EA" w:rsidRDefault="004E14EA" w:rsidP="004E14EA">
      <w:pPr>
        <w:spacing w:line="480" w:lineRule="auto"/>
        <w:outlineLvl w:val="0"/>
        <w:rPr>
          <w:rFonts w:ascii="Times New Roman" w:hAnsi="Times New Roman" w:cs="Times New Roman"/>
          <w:b/>
          <w:bCs/>
          <w:color w:val="000000" w:themeColor="text1"/>
        </w:rPr>
      </w:pPr>
      <w:proofErr w:type="spellStart"/>
      <w:r w:rsidRPr="004E14EA">
        <w:rPr>
          <w:rFonts w:ascii="Times New Roman" w:hAnsi="Times New Roman" w:cs="Times New Roman"/>
          <w:b/>
          <w:bCs/>
          <w:color w:val="000000" w:themeColor="text1"/>
        </w:rPr>
        <w:t>Hemocompatibility</w:t>
      </w:r>
      <w:proofErr w:type="spellEnd"/>
      <w:r w:rsidRPr="004E14EA">
        <w:rPr>
          <w:rFonts w:ascii="Times New Roman" w:hAnsi="Times New Roman" w:cs="Times New Roman"/>
          <w:b/>
          <w:bCs/>
          <w:color w:val="000000" w:themeColor="text1"/>
        </w:rPr>
        <w:t xml:space="preserve"> Tests</w:t>
      </w:r>
      <w:r>
        <w:rPr>
          <w:rFonts w:ascii="Times New Roman" w:hAnsi="Times New Roman" w:cs="Times New Roman"/>
          <w:b/>
          <w:bCs/>
          <w:color w:val="000000" w:themeColor="text1"/>
        </w:rPr>
        <w:t xml:space="preserve"> of the Scaffolds </w:t>
      </w:r>
      <w:r w:rsidRPr="004E14EA">
        <w:rPr>
          <w:rFonts w:ascii="Times New Roman" w:hAnsi="Times New Roman" w:cs="Times New Roman"/>
          <w:b/>
          <w:bCs/>
          <w:i/>
          <w:color w:val="000000" w:themeColor="text1"/>
        </w:rPr>
        <w:t>in vitro</w:t>
      </w:r>
    </w:p>
    <w:p w14:paraId="1A6D952D" w14:textId="27580B74" w:rsidR="004E14EA" w:rsidRDefault="004E14EA" w:rsidP="004E14EA">
      <w:pPr>
        <w:spacing w:line="480" w:lineRule="auto"/>
        <w:outlineLvl w:val="0"/>
        <w:rPr>
          <w:rFonts w:ascii="Times New Roman" w:hAnsi="Times New Roman" w:cs="Times New Roman"/>
          <w:bCs/>
          <w:color w:val="000000" w:themeColor="text1"/>
        </w:rPr>
      </w:pPr>
      <w:r>
        <w:rPr>
          <w:rFonts w:ascii="Times New Roman" w:hAnsi="Times New Roman" w:cs="Times New Roman"/>
          <w:bCs/>
          <w:color w:val="000000" w:themeColor="text1"/>
        </w:rPr>
        <w:t xml:space="preserve">   T</w:t>
      </w:r>
      <w:r w:rsidRPr="004E14EA">
        <w:rPr>
          <w:rFonts w:ascii="Times New Roman" w:hAnsi="Times New Roman" w:cs="Times New Roman"/>
          <w:bCs/>
          <w:color w:val="000000" w:themeColor="text1"/>
        </w:rPr>
        <w:t xml:space="preserve">he </w:t>
      </w:r>
      <w:proofErr w:type="spellStart"/>
      <w:r w:rsidRPr="004E14EA">
        <w:rPr>
          <w:rFonts w:ascii="Times New Roman" w:hAnsi="Times New Roman" w:cs="Times New Roman"/>
          <w:bCs/>
          <w:color w:val="000000" w:themeColor="text1"/>
        </w:rPr>
        <w:t>hemocompatibility</w:t>
      </w:r>
      <w:proofErr w:type="spellEnd"/>
      <w:r w:rsidRPr="004E14EA">
        <w:rPr>
          <w:rFonts w:ascii="Times New Roman" w:hAnsi="Times New Roman" w:cs="Times New Roman"/>
          <w:bCs/>
          <w:color w:val="000000" w:themeColor="text1"/>
        </w:rPr>
        <w:t xml:space="preserve"> of the </w:t>
      </w:r>
      <w:proofErr w:type="spellStart"/>
      <w:r w:rsidRPr="004E14EA">
        <w:rPr>
          <w:rFonts w:ascii="Times New Roman" w:hAnsi="Times New Roman" w:cs="Times New Roman"/>
          <w:bCs/>
          <w:color w:val="000000" w:themeColor="text1"/>
        </w:rPr>
        <w:t>nanofibrous</w:t>
      </w:r>
      <w:proofErr w:type="spellEnd"/>
      <w:r w:rsidRPr="004E14EA">
        <w:rPr>
          <w:rFonts w:ascii="Times New Roman" w:hAnsi="Times New Roman" w:cs="Times New Roman"/>
          <w:bCs/>
          <w:color w:val="000000" w:themeColor="text1"/>
        </w:rPr>
        <w:t xml:space="preserve"> membranes </w:t>
      </w:r>
      <w:r>
        <w:rPr>
          <w:rFonts w:ascii="Times New Roman" w:hAnsi="Times New Roman" w:cs="Times New Roman"/>
          <w:bCs/>
          <w:color w:val="000000" w:themeColor="text1"/>
        </w:rPr>
        <w:t xml:space="preserve">was measured </w:t>
      </w:r>
      <w:r w:rsidRPr="004E14EA">
        <w:rPr>
          <w:rFonts w:ascii="Times New Roman" w:hAnsi="Times New Roman" w:cs="Times New Roman"/>
          <w:bCs/>
          <w:color w:val="000000" w:themeColor="text1"/>
        </w:rPr>
        <w:t>through a hemolysis activity assay</w:t>
      </w:r>
      <w:r>
        <w:rPr>
          <w:rFonts w:ascii="Times New Roman" w:hAnsi="Times New Roman" w:cs="Times New Roman"/>
          <w:bCs/>
          <w:color w:val="000000" w:themeColor="text1"/>
        </w:rPr>
        <w:t xml:space="preserve">. </w:t>
      </w:r>
      <w:r w:rsidRPr="004E14EA">
        <w:rPr>
          <w:rFonts w:ascii="Times New Roman" w:hAnsi="Times New Roman" w:cs="Times New Roman"/>
          <w:bCs/>
          <w:color w:val="000000" w:themeColor="text1"/>
        </w:rPr>
        <w:t xml:space="preserve">In brief, blood from SD rats was collected and stabilized with </w:t>
      </w:r>
      <w:r w:rsidRPr="004E14EA">
        <w:rPr>
          <w:rFonts w:ascii="Times New Roman" w:hAnsi="Times New Roman" w:cs="Times New Roman"/>
          <w:bCs/>
          <w:color w:val="000000" w:themeColor="text1"/>
        </w:rPr>
        <w:lastRenderedPageBreak/>
        <w:t>heparin. The erythrocytes were extracted by centrifugation and re-suspended with PBS. Then, 6 mg fibrous membranes were mixed with 1mL erythrocytes in a tube at room temperature for 4 h. A negative control (PBS) and a positive control (water) were also included in the experiment to calculate the degree of hemolysis. All of the samples were centrifuged at 3500</w:t>
      </w:r>
      <w:r>
        <w:rPr>
          <w:rFonts w:ascii="Times New Roman" w:hAnsi="Times New Roman" w:cs="Times New Roman"/>
          <w:bCs/>
          <w:color w:val="000000" w:themeColor="text1"/>
        </w:rPr>
        <w:t xml:space="preserve"> </w:t>
      </w:r>
      <w:r w:rsidRPr="004E14EA">
        <w:rPr>
          <w:rFonts w:ascii="Times New Roman" w:hAnsi="Times New Roman" w:cs="Times New Roman"/>
          <w:bCs/>
          <w:color w:val="000000" w:themeColor="text1"/>
        </w:rPr>
        <w:t>rpm for 5 min and the upper solution was taken to detect the absorbance at 545 nm by microplate reader.</w:t>
      </w:r>
    </w:p>
    <w:p w14:paraId="3EAEA69F" w14:textId="77777777" w:rsidR="004E14EA" w:rsidRDefault="004E14EA" w:rsidP="004E14EA">
      <w:pPr>
        <w:spacing w:line="480" w:lineRule="auto"/>
        <w:outlineLvl w:val="0"/>
        <w:rPr>
          <w:rFonts w:ascii="Times New Roman" w:hAnsi="Times New Roman" w:cs="Times New Roman"/>
          <w:b/>
          <w:bCs/>
          <w:color w:val="000000" w:themeColor="text1"/>
        </w:rPr>
      </w:pPr>
    </w:p>
    <w:p w14:paraId="0918D8EA" w14:textId="1CECDC1A" w:rsidR="004E14EA" w:rsidRDefault="004E14EA" w:rsidP="004E14EA">
      <w:pPr>
        <w:spacing w:line="480" w:lineRule="auto"/>
        <w:outlineLvl w:val="0"/>
        <w:rPr>
          <w:rFonts w:ascii="Times New Roman" w:hAnsi="Times New Roman" w:cs="Times New Roman"/>
          <w:b/>
          <w:bCs/>
          <w:color w:val="000000" w:themeColor="text1"/>
        </w:rPr>
      </w:pPr>
      <w:r>
        <w:rPr>
          <w:rFonts w:ascii="Times New Roman" w:hAnsi="Times New Roman" w:cs="Times New Roman"/>
          <w:b/>
          <w:bCs/>
          <w:color w:val="000000" w:themeColor="text1"/>
        </w:rPr>
        <w:t>L</w:t>
      </w:r>
      <w:r w:rsidRPr="004E14EA">
        <w:rPr>
          <w:rFonts w:ascii="Times New Roman" w:hAnsi="Times New Roman" w:cs="Times New Roman"/>
          <w:b/>
          <w:bCs/>
          <w:color w:val="000000" w:themeColor="text1"/>
        </w:rPr>
        <w:t xml:space="preserve">oading </w:t>
      </w:r>
      <w:r>
        <w:rPr>
          <w:rFonts w:ascii="Times New Roman" w:hAnsi="Times New Roman" w:cs="Times New Roman"/>
          <w:b/>
          <w:bCs/>
          <w:color w:val="000000" w:themeColor="text1"/>
        </w:rPr>
        <w:t>E</w:t>
      </w:r>
      <w:r w:rsidRPr="004E14EA">
        <w:rPr>
          <w:rFonts w:ascii="Times New Roman" w:hAnsi="Times New Roman" w:cs="Times New Roman"/>
          <w:b/>
          <w:bCs/>
          <w:color w:val="000000" w:themeColor="text1"/>
        </w:rPr>
        <w:t>fficiency</w:t>
      </w:r>
      <w:r>
        <w:rPr>
          <w:rFonts w:ascii="Times New Roman" w:hAnsi="Times New Roman" w:cs="Times New Roman"/>
          <w:b/>
          <w:bCs/>
          <w:color w:val="000000" w:themeColor="text1"/>
        </w:rPr>
        <w:t xml:space="preserve"> of NAC on the Scaffolds</w:t>
      </w:r>
    </w:p>
    <w:p w14:paraId="5D9340EE" w14:textId="0C511302" w:rsidR="004E14EA" w:rsidRPr="004E14EA" w:rsidRDefault="004E14EA" w:rsidP="004E14EA">
      <w:pPr>
        <w:spacing w:line="480" w:lineRule="auto"/>
        <w:outlineLvl w:val="0"/>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4E14EA">
        <w:rPr>
          <w:rFonts w:ascii="Times New Roman" w:hAnsi="Times New Roman" w:cs="Times New Roman"/>
          <w:bCs/>
          <w:color w:val="000000" w:themeColor="text1"/>
        </w:rPr>
        <w:t>The loading efficiency of NAC on the fiber surface was calculated with the following equation:</w:t>
      </w:r>
    </w:p>
    <w:p w14:paraId="43A1C6CA" w14:textId="4680463F" w:rsidR="004E14EA" w:rsidRPr="004E14EA" w:rsidRDefault="004E14EA" w:rsidP="004E14EA">
      <w:pPr>
        <w:spacing w:line="480" w:lineRule="auto"/>
        <w:outlineLvl w:val="0"/>
        <w:rPr>
          <w:rFonts w:ascii="Times New Roman" w:hAnsi="Times New Roman" w:cs="Times New Roman"/>
          <w:bCs/>
          <w:color w:val="000000" w:themeColor="text1"/>
        </w:rPr>
      </w:pPr>
      <m:oMathPara>
        <m:oMath>
          <m:r>
            <m:rPr>
              <m:sty m:val="p"/>
            </m:rPr>
            <w:rPr>
              <w:rFonts w:ascii="Cambria Math" w:hAnsi="Cambria Math" w:cs="Times New Roman"/>
              <w:color w:val="000000" w:themeColor="text1"/>
            </w:rPr>
            <m:t>Drug loading efficiency %=</m:t>
          </m:r>
          <m:f>
            <m:fPr>
              <m:ctrlPr>
                <w:rPr>
                  <w:rFonts w:ascii="Cambria Math" w:hAnsi="Cambria Math" w:cs="Times New Roman"/>
                  <w:bCs/>
                  <w:color w:val="000000" w:themeColor="text1"/>
                </w:rPr>
              </m:ctrlPr>
            </m:fPr>
            <m:num>
              <m:r>
                <w:rPr>
                  <w:rFonts w:ascii="Cambria Math" w:hAnsi="Cambria Math" w:cs="Times New Roman"/>
                  <w:color w:val="000000" w:themeColor="text1"/>
                </w:rPr>
                <m:t>actual drug loading%</m:t>
              </m:r>
            </m:num>
            <m:den>
              <m:r>
                <m:rPr>
                  <m:sty m:val="p"/>
                </m:rPr>
                <w:rPr>
                  <w:rFonts w:ascii="Cambria Math" w:hAnsi="Cambria Math" w:cs="Times New Roman"/>
                  <w:color w:val="000000" w:themeColor="text1"/>
                </w:rPr>
                <m:t>theoretical drug loading %</m:t>
              </m:r>
            </m:den>
          </m:f>
          <m:r>
            <w:rPr>
              <w:rFonts w:ascii="Cambria Math" w:hAnsi="Cambria Math" w:cs="Times New Roman"/>
              <w:color w:val="000000" w:themeColor="text1"/>
            </w:rPr>
            <m:t xml:space="preserve"> </m:t>
          </m:r>
          <m:r>
            <m:rPr>
              <m:sty m:val="p"/>
            </m:rPr>
            <w:rPr>
              <w:rFonts w:ascii="Cambria Math" w:hAnsi="Cambria Math" w:cs="Times New Roman"/>
              <w:color w:val="000000" w:themeColor="text1"/>
            </w:rPr>
            <m:t>X 100</m:t>
          </m:r>
        </m:oMath>
      </m:oMathPara>
    </w:p>
    <w:p w14:paraId="3054074E" w14:textId="1D52E9FA" w:rsidR="004E14EA" w:rsidRPr="004E14EA" w:rsidRDefault="004E14EA" w:rsidP="004E14EA">
      <w:pPr>
        <w:spacing w:line="480" w:lineRule="auto"/>
        <w:outlineLvl w:val="0"/>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4E14EA">
        <w:rPr>
          <w:rFonts w:ascii="Times New Roman" w:hAnsi="Times New Roman" w:cs="Times New Roman"/>
          <w:bCs/>
          <w:color w:val="000000" w:themeColor="text1"/>
        </w:rPr>
        <w:t>The actual drug loading was expressed as the mass fraction of the entrapped drug relative to the mass of the nanoparticles, and was calculated using the following equation:</w:t>
      </w:r>
    </w:p>
    <w:p w14:paraId="22A8FF99" w14:textId="4D5857B6" w:rsidR="004E14EA" w:rsidRPr="004E14EA" w:rsidRDefault="004E14EA" w:rsidP="004E14EA">
      <w:pPr>
        <w:spacing w:line="480" w:lineRule="auto"/>
        <w:outlineLvl w:val="0"/>
        <w:rPr>
          <w:rFonts w:ascii="Times New Roman" w:hAnsi="Times New Roman" w:cs="Times New Roman"/>
          <w:bCs/>
          <w:color w:val="000000" w:themeColor="text1"/>
        </w:rPr>
      </w:pPr>
      <m:oMathPara>
        <m:oMath>
          <m:r>
            <m:rPr>
              <m:sty m:val="p"/>
            </m:rPr>
            <w:rPr>
              <w:rFonts w:ascii="Cambria Math" w:hAnsi="Cambria Math" w:cs="Times New Roman"/>
              <w:color w:val="000000" w:themeColor="text1"/>
            </w:rPr>
            <m:t>Actual loading efficiency %=</m:t>
          </m:r>
          <m:f>
            <m:fPr>
              <m:ctrlPr>
                <w:rPr>
                  <w:rFonts w:ascii="Cambria Math" w:hAnsi="Cambria Math" w:cs="Times New Roman"/>
                  <w:bCs/>
                  <w:color w:val="000000" w:themeColor="text1"/>
                </w:rPr>
              </m:ctrlPr>
            </m:fPr>
            <m:num>
              <m:r>
                <w:rPr>
                  <w:rFonts w:ascii="Cambria Math" w:hAnsi="Cambria Math" w:cs="Times New Roman"/>
                  <w:color w:val="000000" w:themeColor="text1"/>
                </w:rPr>
                <m:t>mass of loaded drug</m:t>
              </m:r>
            </m:num>
            <m:den>
              <m:r>
                <m:rPr>
                  <m:sty m:val="p"/>
                </m:rPr>
                <w:rPr>
                  <w:rFonts w:ascii="Cambria Math" w:hAnsi="Cambria Math" w:cs="Times New Roman"/>
                  <w:color w:val="000000" w:themeColor="text1"/>
                </w:rPr>
                <m:t>mass of particles obtained</m:t>
              </m:r>
            </m:den>
          </m:f>
          <m:r>
            <w:rPr>
              <w:rFonts w:ascii="Cambria Math" w:hAnsi="Cambria Math" w:cs="Times New Roman"/>
              <w:color w:val="000000" w:themeColor="text1"/>
            </w:rPr>
            <m:t xml:space="preserve"> </m:t>
          </m:r>
          <m:r>
            <m:rPr>
              <m:sty m:val="p"/>
            </m:rPr>
            <w:rPr>
              <w:rFonts w:ascii="Cambria Math" w:hAnsi="Cambria Math" w:cs="Times New Roman"/>
              <w:color w:val="000000" w:themeColor="text1"/>
            </w:rPr>
            <m:t>X 100</m:t>
          </m:r>
        </m:oMath>
      </m:oMathPara>
    </w:p>
    <w:p w14:paraId="48625644" w14:textId="10E6E2C8" w:rsidR="004E14EA" w:rsidRPr="004E14EA" w:rsidRDefault="004E14EA" w:rsidP="004E14EA">
      <w:pPr>
        <w:spacing w:line="480" w:lineRule="auto"/>
        <w:outlineLvl w:val="0"/>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4E14EA">
        <w:rPr>
          <w:rFonts w:ascii="Times New Roman" w:hAnsi="Times New Roman" w:cs="Times New Roman"/>
          <w:bCs/>
          <w:color w:val="000000" w:themeColor="text1"/>
        </w:rPr>
        <w:t>The theoretical drug loading was the mass ratio of the drug used to the mixture of gelatin and drug in the solution that was used for the preparation of gelatin nanoparticles:</w:t>
      </w:r>
    </w:p>
    <w:p w14:paraId="7F9445B1" w14:textId="13FFDDBE" w:rsidR="004E14EA" w:rsidRPr="004E14EA" w:rsidRDefault="004E14EA" w:rsidP="004E14EA">
      <w:pPr>
        <w:spacing w:line="480" w:lineRule="auto"/>
        <w:outlineLvl w:val="0"/>
        <w:rPr>
          <w:rFonts w:ascii="Times New Roman" w:hAnsi="Times New Roman" w:cs="Times New Roman"/>
          <w:bCs/>
          <w:color w:val="000000" w:themeColor="text1"/>
        </w:rPr>
      </w:pPr>
      <m:oMathPara>
        <m:oMath>
          <m:r>
            <m:rPr>
              <m:sty m:val="p"/>
            </m:rPr>
            <w:rPr>
              <w:rFonts w:ascii="Cambria Math" w:hAnsi="Cambria Math" w:cs="Times New Roman"/>
              <w:color w:val="000000" w:themeColor="text1"/>
            </w:rPr>
            <m:t>Theoretical loading efficiency %=</m:t>
          </m:r>
          <m:f>
            <m:fPr>
              <m:ctrlPr>
                <w:rPr>
                  <w:rFonts w:ascii="Cambria Math" w:hAnsi="Cambria Math" w:cs="Times New Roman"/>
                  <w:bCs/>
                  <w:color w:val="000000" w:themeColor="text1"/>
                </w:rPr>
              </m:ctrlPr>
            </m:fPr>
            <m:num>
              <m:r>
                <w:rPr>
                  <w:rFonts w:ascii="Cambria Math" w:hAnsi="Cambria Math" w:cs="Times New Roman"/>
                  <w:color w:val="000000" w:themeColor="text1"/>
                </w:rPr>
                <m:t>mass of drug used</m:t>
              </m:r>
            </m:num>
            <m:den>
              <m:r>
                <m:rPr>
                  <m:sty m:val="p"/>
                </m:rPr>
                <w:rPr>
                  <w:rFonts w:ascii="Cambria Math" w:hAnsi="Cambria Math" w:cs="Times New Roman"/>
                  <w:color w:val="000000" w:themeColor="text1"/>
                </w:rPr>
                <m:t xml:space="preserve">mass of </m:t>
              </m:r>
              <m:d>
                <m:dPr>
                  <m:ctrlPr>
                    <w:rPr>
                      <w:rFonts w:ascii="Cambria Math" w:hAnsi="Cambria Math" w:cs="Times New Roman"/>
                      <w:bCs/>
                      <w:color w:val="000000" w:themeColor="text1"/>
                    </w:rPr>
                  </m:ctrlPr>
                </m:dPr>
                <m:e>
                  <m:r>
                    <m:rPr>
                      <m:sty m:val="p"/>
                    </m:rPr>
                    <w:rPr>
                      <w:rFonts w:ascii="Cambria Math" w:hAnsi="Cambria Math" w:cs="Times New Roman"/>
                      <w:color w:val="000000" w:themeColor="text1"/>
                    </w:rPr>
                    <m:t>gelatin+drug</m:t>
                  </m:r>
                </m:e>
              </m:d>
              <m:r>
                <w:rPr>
                  <w:rFonts w:ascii="Cambria Math" w:hAnsi="Cambria Math" w:cs="Times New Roman"/>
                  <w:color w:val="000000" w:themeColor="text1"/>
                </w:rPr>
                <m:t>used</m:t>
              </m:r>
            </m:den>
          </m:f>
          <m:r>
            <w:rPr>
              <w:rFonts w:ascii="Cambria Math" w:hAnsi="Cambria Math" w:cs="Times New Roman"/>
              <w:color w:val="000000" w:themeColor="text1"/>
            </w:rPr>
            <m:t xml:space="preserve"> </m:t>
          </m:r>
          <m:r>
            <m:rPr>
              <m:sty m:val="p"/>
            </m:rPr>
            <w:rPr>
              <w:rFonts w:ascii="Cambria Math" w:hAnsi="Cambria Math" w:cs="Times New Roman"/>
              <w:color w:val="000000" w:themeColor="text1"/>
            </w:rPr>
            <m:t>X 100</m:t>
          </m:r>
        </m:oMath>
      </m:oMathPara>
    </w:p>
    <w:p w14:paraId="35A164BA" w14:textId="50736A11" w:rsidR="00913D60" w:rsidRDefault="00913D60" w:rsidP="00913D60">
      <w:pPr>
        <w:spacing w:line="480" w:lineRule="auto"/>
        <w:outlineLvl w:val="0"/>
        <w:rPr>
          <w:rFonts w:ascii="Times New Roman" w:hAnsi="Times New Roman" w:cs="Times New Roman"/>
          <w:bCs/>
          <w:color w:val="000000" w:themeColor="text1"/>
        </w:rPr>
      </w:pPr>
    </w:p>
    <w:p w14:paraId="0496C6A9" w14:textId="612443D3" w:rsidR="004E14EA" w:rsidRDefault="004E14EA" w:rsidP="00913D60">
      <w:pPr>
        <w:spacing w:line="480" w:lineRule="auto"/>
        <w:outlineLvl w:val="0"/>
        <w:rPr>
          <w:rFonts w:ascii="Times New Roman" w:hAnsi="Times New Roman" w:cs="Times New Roman"/>
          <w:b/>
          <w:bCs/>
          <w:i/>
          <w:color w:val="000000" w:themeColor="text1"/>
        </w:rPr>
      </w:pPr>
      <w:r>
        <w:rPr>
          <w:rFonts w:ascii="Times New Roman" w:hAnsi="Times New Roman" w:cs="Times New Roman"/>
          <w:b/>
          <w:bCs/>
          <w:color w:val="000000" w:themeColor="text1"/>
        </w:rPr>
        <w:t xml:space="preserve">ROS Level Measurement of the NAC-loaded Scaffolds </w:t>
      </w:r>
      <w:r w:rsidRPr="004E14EA">
        <w:rPr>
          <w:rFonts w:ascii="Times New Roman" w:hAnsi="Times New Roman" w:cs="Times New Roman"/>
          <w:b/>
          <w:bCs/>
          <w:i/>
          <w:color w:val="000000" w:themeColor="text1"/>
        </w:rPr>
        <w:t>in vitro</w:t>
      </w:r>
    </w:p>
    <w:p w14:paraId="3646BEE9" w14:textId="2CE9E2A4" w:rsidR="004E14EA" w:rsidRDefault="004E14EA" w:rsidP="004E14EA">
      <w:pPr>
        <w:spacing w:line="480" w:lineRule="auto"/>
        <w:outlineLvl w:val="0"/>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4E14EA">
        <w:rPr>
          <w:rFonts w:ascii="Times New Roman" w:hAnsi="Times New Roman" w:cs="Times New Roman"/>
          <w:bCs/>
          <w:color w:val="000000" w:themeColor="text1"/>
        </w:rPr>
        <w:t>Reactive oxygen species assay kit (</w:t>
      </w:r>
      <w:proofErr w:type="spellStart"/>
      <w:r w:rsidRPr="004E14EA">
        <w:rPr>
          <w:rFonts w:ascii="Times New Roman" w:hAnsi="Times New Roman" w:cs="Times New Roman"/>
          <w:bCs/>
          <w:color w:val="000000" w:themeColor="text1"/>
        </w:rPr>
        <w:t>Solarbio</w:t>
      </w:r>
      <w:proofErr w:type="spellEnd"/>
      <w:r w:rsidRPr="004E14EA">
        <w:rPr>
          <w:rFonts w:ascii="Times New Roman" w:hAnsi="Times New Roman" w:cs="Times New Roman"/>
          <w:bCs/>
          <w:color w:val="000000" w:themeColor="text1"/>
        </w:rPr>
        <w:t xml:space="preserve">, China) was used to monitor the intracellular ROS level. Briefly, HDFs was treated with </w:t>
      </w:r>
      <w:proofErr w:type="spellStart"/>
      <w:r w:rsidRPr="004E14EA">
        <w:rPr>
          <w:rFonts w:ascii="Times New Roman" w:hAnsi="Times New Roman" w:cs="Times New Roman"/>
          <w:bCs/>
          <w:color w:val="000000" w:themeColor="text1"/>
        </w:rPr>
        <w:t>Rosup</w:t>
      </w:r>
      <w:proofErr w:type="spellEnd"/>
      <w:r w:rsidRPr="004E14EA">
        <w:rPr>
          <w:rFonts w:ascii="Times New Roman" w:hAnsi="Times New Roman" w:cs="Times New Roman"/>
          <w:bCs/>
          <w:color w:val="000000" w:themeColor="text1"/>
        </w:rPr>
        <w:t xml:space="preserve"> (0.05 mg/mL) to produce intracellular ROS, and washed by PBS for three times. Then the cells were incubated with scaff</w:t>
      </w:r>
      <w:r w:rsidRPr="004E14EA">
        <w:rPr>
          <w:rFonts w:ascii="Times New Roman" w:hAnsi="Times New Roman" w:cs="Times New Roman" w:hint="eastAsia"/>
          <w:bCs/>
          <w:color w:val="000000" w:themeColor="text1"/>
        </w:rPr>
        <w:t>olds for 12</w:t>
      </w:r>
      <w:r w:rsidRPr="004E14EA">
        <w:rPr>
          <w:rFonts w:ascii="Times New Roman" w:hAnsi="Times New Roman" w:cs="Times New Roman"/>
          <w:bCs/>
          <w:color w:val="000000" w:themeColor="text1"/>
        </w:rPr>
        <w:t xml:space="preserve"> </w:t>
      </w:r>
      <w:r w:rsidRPr="004E14EA">
        <w:rPr>
          <w:rFonts w:ascii="Times New Roman" w:hAnsi="Times New Roman" w:cs="Times New Roman" w:hint="eastAsia"/>
          <w:bCs/>
          <w:color w:val="000000" w:themeColor="text1"/>
        </w:rPr>
        <w:t>h at 37</w:t>
      </w:r>
      <w:r w:rsidRPr="004E14EA">
        <w:rPr>
          <w:rFonts w:ascii="MS Mincho" w:eastAsia="MS Mincho" w:hAnsi="MS Mincho" w:cs="MS Mincho"/>
          <w:bCs/>
          <w:color w:val="000000" w:themeColor="text1"/>
        </w:rPr>
        <w:t>℃</w:t>
      </w:r>
      <w:r w:rsidRPr="004E14EA">
        <w:rPr>
          <w:rFonts w:ascii="Times New Roman" w:hAnsi="Times New Roman" w:cs="Times New Roman" w:hint="eastAsia"/>
          <w:bCs/>
          <w:color w:val="000000" w:themeColor="text1"/>
        </w:rPr>
        <w:t>. Subsequently, DCFH-DA (10</w:t>
      </w:r>
      <w:r w:rsidRPr="004E14EA">
        <w:rPr>
          <w:rFonts w:ascii="Times New Roman" w:hAnsi="Times New Roman" w:cs="Times New Roman"/>
          <w:bCs/>
          <w:color w:val="000000" w:themeColor="text1"/>
        </w:rPr>
        <w:t xml:space="preserve"> </w:t>
      </w:r>
      <w:proofErr w:type="spellStart"/>
      <w:r w:rsidRPr="004E14EA">
        <w:rPr>
          <w:rFonts w:ascii="Times New Roman" w:hAnsi="Times New Roman" w:cs="Times New Roman"/>
          <w:bCs/>
          <w:color w:val="000000" w:themeColor="text1"/>
        </w:rPr>
        <w:t>μ</w:t>
      </w:r>
      <w:r w:rsidRPr="004E14EA">
        <w:rPr>
          <w:rFonts w:ascii="Times New Roman" w:hAnsi="Times New Roman" w:cs="Times New Roman" w:hint="eastAsia"/>
          <w:bCs/>
          <w:color w:val="000000" w:themeColor="text1"/>
        </w:rPr>
        <w:t>M</w:t>
      </w:r>
      <w:proofErr w:type="spellEnd"/>
      <w:r w:rsidRPr="004E14EA">
        <w:rPr>
          <w:rFonts w:ascii="Times New Roman" w:hAnsi="Times New Roman" w:cs="Times New Roman" w:hint="eastAsia"/>
          <w:bCs/>
          <w:color w:val="000000" w:themeColor="text1"/>
        </w:rPr>
        <w:t>) in serum-free medium was added for 15 min, and washed again. A negative control and a positive control were also included in the experiment. Finally, the cells were observed with a fluorescence microscope.</w:t>
      </w:r>
    </w:p>
    <w:p w14:paraId="158471E2" w14:textId="77777777" w:rsidR="00F42097" w:rsidRDefault="00F42097" w:rsidP="004E14EA">
      <w:pPr>
        <w:spacing w:line="480" w:lineRule="auto"/>
        <w:outlineLvl w:val="0"/>
        <w:rPr>
          <w:rFonts w:ascii="Times New Roman" w:hAnsi="Times New Roman" w:cs="Times New Roman"/>
          <w:bCs/>
          <w:color w:val="000000" w:themeColor="text1"/>
        </w:rPr>
      </w:pPr>
    </w:p>
    <w:p w14:paraId="1511B848" w14:textId="63D75914" w:rsidR="00F42097" w:rsidRDefault="00F42097" w:rsidP="004E14EA">
      <w:pPr>
        <w:spacing w:line="480" w:lineRule="auto"/>
        <w:outlineLvl w:val="0"/>
        <w:rPr>
          <w:rFonts w:ascii="Times New Roman" w:hAnsi="Times New Roman" w:cs="Times New Roman"/>
          <w:b/>
          <w:bCs/>
          <w:color w:val="000000" w:themeColor="text1"/>
          <w:sz w:val="28"/>
          <w:szCs w:val="28"/>
        </w:rPr>
      </w:pPr>
      <w:r w:rsidRPr="00F42097">
        <w:rPr>
          <w:rFonts w:ascii="Times New Roman" w:hAnsi="Times New Roman" w:cs="Times New Roman"/>
          <w:b/>
          <w:bCs/>
          <w:color w:val="000000" w:themeColor="text1"/>
          <w:sz w:val="28"/>
          <w:szCs w:val="28"/>
        </w:rPr>
        <w:t>Results</w:t>
      </w:r>
    </w:p>
    <w:p w14:paraId="4884E117" w14:textId="4D805F06" w:rsidR="00F42097" w:rsidRDefault="00F42097" w:rsidP="00F42097">
      <w:pPr>
        <w:spacing w:line="480" w:lineRule="auto"/>
        <w:rPr>
          <w:rFonts w:ascii="Times New Roman" w:hAnsi="Times New Roman" w:cs="Times New Roman"/>
          <w:b/>
          <w:color w:val="000000" w:themeColor="text1"/>
        </w:rPr>
      </w:pPr>
      <w:r w:rsidRPr="00097D16">
        <w:rPr>
          <w:rFonts w:ascii="Times New Roman" w:hAnsi="Times New Roman" w:cs="Times New Roman"/>
          <w:b/>
          <w:color w:val="000000" w:themeColor="text1"/>
        </w:rPr>
        <w:t>Morphology and Physiochemical Characterization of the</w:t>
      </w:r>
      <w:r>
        <w:rPr>
          <w:rFonts w:ascii="Times New Roman" w:hAnsi="Times New Roman" w:cs="Times New Roman"/>
          <w:b/>
          <w:color w:val="000000" w:themeColor="text1"/>
        </w:rPr>
        <w:t xml:space="preserve"> GO</w:t>
      </w:r>
      <w:r w:rsidRPr="00097D16">
        <w:rPr>
          <w:rFonts w:ascii="Times New Roman" w:hAnsi="Times New Roman" w:cs="Times New Roman"/>
          <w:b/>
          <w:color w:val="000000" w:themeColor="text1"/>
        </w:rPr>
        <w:t xml:space="preserve"> Scaffolds</w:t>
      </w:r>
    </w:p>
    <w:p w14:paraId="50CA4438" w14:textId="27490BF3" w:rsidR="00F42097" w:rsidRDefault="00F42097" w:rsidP="00F42097">
      <w:pPr>
        <w:spacing w:line="480" w:lineRule="auto"/>
        <w:rPr>
          <w:rFonts w:ascii="Times New Roman" w:hAnsi="Times New Roman" w:cs="Times New Roman"/>
          <w:color w:val="000000" w:themeColor="text1"/>
        </w:rPr>
      </w:pPr>
      <w:r>
        <w:rPr>
          <w:rFonts w:ascii="Times New Roman" w:hAnsi="Times New Roman" w:cs="Times New Roman"/>
          <w:b/>
          <w:color w:val="000000" w:themeColor="text1"/>
        </w:rPr>
        <w:t xml:space="preserve">  </w:t>
      </w:r>
      <w:r w:rsidRPr="00F42097">
        <w:rPr>
          <w:rFonts w:ascii="Times New Roman" w:hAnsi="Times New Roman" w:cs="Times New Roman"/>
          <w:color w:val="000000" w:themeColor="text1"/>
        </w:rPr>
        <w:t xml:space="preserve">The transmission electron microscopy (TEM) of GO is presented in </w:t>
      </w:r>
      <w:r w:rsidRPr="0006198C">
        <w:rPr>
          <w:rFonts w:ascii="Times New Roman" w:hAnsi="Times New Roman" w:cs="Times New Roman"/>
          <w:b/>
          <w:color w:val="000000" w:themeColor="text1"/>
        </w:rPr>
        <w:t>Figure S1A</w:t>
      </w:r>
      <w:r w:rsidRPr="00F42097">
        <w:rPr>
          <w:rFonts w:ascii="Times New Roman" w:hAnsi="Times New Roman" w:cs="Times New Roman"/>
          <w:color w:val="000000" w:themeColor="text1"/>
        </w:rPr>
        <w:t xml:space="preserve">. Fourier-transform infrared spectroscopy (FTIR) spectra of different scaffolds are shown in </w:t>
      </w:r>
      <w:r w:rsidRPr="0006198C">
        <w:rPr>
          <w:rFonts w:ascii="Times New Roman" w:hAnsi="Times New Roman" w:cs="Times New Roman"/>
          <w:b/>
          <w:color w:val="000000" w:themeColor="text1"/>
        </w:rPr>
        <w:t>Figure S1B</w:t>
      </w:r>
      <w:r w:rsidRPr="00F42097">
        <w:rPr>
          <w:rFonts w:ascii="Times New Roman" w:hAnsi="Times New Roman" w:cs="Times New Roman"/>
          <w:color w:val="000000" w:themeColor="text1"/>
        </w:rPr>
        <w:t xml:space="preserve">, and all scaffolds exhibited similar FTIR spectra, in which the absorption peak of amide A, amide I, amide II, and amide III occurred respectively at 3286 cm-1, 1631 cm-1, 1535 cm-1, 1240 cm-1. Specifically, GO exhibited the characteristic peaks at 1732cm-1 (carboxylic acid C=O stretching), 1613cm-1 (C=C stretching), 1227cm-1 (C-OH stretching) and 1052cm-1 (C-O stretching), which was in line with the previous description. </w:t>
      </w:r>
      <w:r w:rsidRPr="0006198C">
        <w:rPr>
          <w:rFonts w:ascii="Times New Roman" w:hAnsi="Times New Roman" w:cs="Times New Roman"/>
          <w:b/>
          <w:color w:val="000000" w:themeColor="text1"/>
        </w:rPr>
        <w:t>Figure S1C</w:t>
      </w:r>
      <w:r w:rsidRPr="00F42097">
        <w:rPr>
          <w:rFonts w:ascii="Times New Roman" w:hAnsi="Times New Roman" w:cs="Times New Roman"/>
          <w:color w:val="000000" w:themeColor="text1"/>
        </w:rPr>
        <w:t xml:space="preserve"> showed the Raman spectrum of the GO, which presents as characteristic peaks of the D band at 1356cm-1 and the G band at 1604cm-1. The X-ray diffraction (XRD) spectra of GO, Gel, NAC-Gel, GO-Gel, and NAC-GO-Gel scaffolds is analyzed in </w:t>
      </w:r>
      <w:r w:rsidRPr="0006198C">
        <w:rPr>
          <w:rFonts w:ascii="Times New Roman" w:hAnsi="Times New Roman" w:cs="Times New Roman"/>
          <w:b/>
          <w:color w:val="000000" w:themeColor="text1"/>
        </w:rPr>
        <w:t>Figure S1D</w:t>
      </w:r>
      <w:r w:rsidRPr="00F42097">
        <w:rPr>
          <w:rFonts w:ascii="Times New Roman" w:hAnsi="Times New Roman" w:cs="Times New Roman"/>
          <w:color w:val="000000" w:themeColor="text1"/>
        </w:rPr>
        <w:t>, and obvious peaks around 2θ=15° and 2θ=22° were observed in the GO spectra. No diffraction peak was observed in any other scaffolds, indicating that GO powder was dispersed uniformly in GO-Gel scaffolds.</w:t>
      </w:r>
    </w:p>
    <w:p w14:paraId="385C2825" w14:textId="77777777" w:rsidR="00F42097" w:rsidRDefault="00F42097" w:rsidP="00F42097">
      <w:pPr>
        <w:spacing w:line="480" w:lineRule="auto"/>
        <w:rPr>
          <w:rFonts w:ascii="Times New Roman" w:hAnsi="Times New Roman" w:cs="Times New Roman"/>
          <w:color w:val="000000" w:themeColor="text1"/>
        </w:rPr>
      </w:pPr>
    </w:p>
    <w:p w14:paraId="427CD621" w14:textId="4E58F8C2" w:rsidR="00F42097" w:rsidRPr="00F42097" w:rsidRDefault="00F42097" w:rsidP="00F42097">
      <w:pPr>
        <w:spacing w:line="480" w:lineRule="auto"/>
        <w:rPr>
          <w:rFonts w:ascii="Times New Roman" w:hAnsi="Times New Roman" w:cs="Times New Roman"/>
          <w:b/>
          <w:color w:val="000000" w:themeColor="text1"/>
        </w:rPr>
      </w:pPr>
      <w:r w:rsidRPr="00F42097">
        <w:rPr>
          <w:rFonts w:ascii="Times New Roman" w:hAnsi="Times New Roman" w:cs="Times New Roman"/>
          <w:b/>
          <w:i/>
          <w:color w:val="000000" w:themeColor="text1"/>
        </w:rPr>
        <w:t>In vitro</w:t>
      </w:r>
      <w:r w:rsidRPr="00F42097">
        <w:rPr>
          <w:rFonts w:ascii="Times New Roman" w:hAnsi="Times New Roman" w:cs="Times New Roman"/>
          <w:b/>
          <w:color w:val="000000" w:themeColor="text1"/>
        </w:rPr>
        <w:t xml:space="preserve"> </w:t>
      </w:r>
      <w:proofErr w:type="spellStart"/>
      <w:r w:rsidRPr="00F42097">
        <w:rPr>
          <w:rFonts w:ascii="Times New Roman" w:hAnsi="Times New Roman" w:cs="Times New Roman"/>
          <w:b/>
          <w:bCs/>
          <w:color w:val="000000" w:themeColor="text1"/>
        </w:rPr>
        <w:t>Hemocompatibility</w:t>
      </w:r>
      <w:proofErr w:type="spellEnd"/>
      <w:r w:rsidRPr="00F42097">
        <w:rPr>
          <w:rFonts w:ascii="Times New Roman" w:hAnsi="Times New Roman" w:cs="Times New Roman"/>
          <w:b/>
          <w:bCs/>
          <w:color w:val="000000" w:themeColor="text1"/>
        </w:rPr>
        <w:t xml:space="preserve"> the Scaffolds</w:t>
      </w:r>
    </w:p>
    <w:p w14:paraId="17659B2B" w14:textId="69E43C12" w:rsidR="00F42097" w:rsidRDefault="00F42097" w:rsidP="00F42097">
      <w:pPr>
        <w:spacing w:line="480" w:lineRule="auto"/>
        <w:outlineLvl w:val="0"/>
        <w:rPr>
          <w:rFonts w:ascii="Times New Roman" w:hAnsi="Times New Roman" w:cs="Times New Roman"/>
          <w:bCs/>
          <w:color w:val="000000" w:themeColor="text1"/>
        </w:rPr>
      </w:pPr>
      <w:r>
        <w:rPr>
          <w:rFonts w:ascii="Times New Roman" w:hAnsi="Times New Roman" w:cs="Times New Roman"/>
          <w:bCs/>
          <w:color w:val="000000" w:themeColor="text1"/>
        </w:rPr>
        <w:t xml:space="preserve">  </w:t>
      </w:r>
      <w:r w:rsidRPr="00F42097">
        <w:rPr>
          <w:rFonts w:ascii="Times New Roman" w:hAnsi="Times New Roman" w:cs="Times New Roman"/>
          <w:bCs/>
          <w:color w:val="000000" w:themeColor="text1"/>
        </w:rPr>
        <w:t>No apparent hemolysis was observed when the erythrocytes suspension was treated with fibrous mats in vitro. As shown in</w:t>
      </w:r>
      <w:r w:rsidRPr="0006198C">
        <w:rPr>
          <w:rFonts w:ascii="Times New Roman" w:hAnsi="Times New Roman" w:cs="Times New Roman"/>
          <w:b/>
          <w:bCs/>
          <w:color w:val="000000" w:themeColor="text1"/>
        </w:rPr>
        <w:t xml:space="preserve"> Figure S2</w:t>
      </w:r>
      <w:r w:rsidRPr="00F42097">
        <w:rPr>
          <w:rFonts w:ascii="Times New Roman" w:hAnsi="Times New Roman" w:cs="Times New Roman"/>
          <w:bCs/>
          <w:color w:val="000000" w:themeColor="text1"/>
        </w:rPr>
        <w:t xml:space="preserve">, the relative hemolysis percentage of positive control (water) is 100%, while the negative control (PBS) is 0%. The relative hemolysis percentages of the fibrous membranes were all less than 5%, suggesting that all the </w:t>
      </w:r>
      <w:proofErr w:type="spellStart"/>
      <w:r w:rsidRPr="00F42097">
        <w:rPr>
          <w:rFonts w:ascii="Times New Roman" w:hAnsi="Times New Roman" w:cs="Times New Roman"/>
          <w:bCs/>
          <w:color w:val="000000" w:themeColor="text1"/>
        </w:rPr>
        <w:t>nanofibrous</w:t>
      </w:r>
      <w:proofErr w:type="spellEnd"/>
      <w:r w:rsidRPr="00F42097">
        <w:rPr>
          <w:rFonts w:ascii="Times New Roman" w:hAnsi="Times New Roman" w:cs="Times New Roman"/>
          <w:bCs/>
          <w:color w:val="000000" w:themeColor="text1"/>
        </w:rPr>
        <w:t xml:space="preserve"> membranes show excellent </w:t>
      </w:r>
      <w:proofErr w:type="spellStart"/>
      <w:r w:rsidRPr="00F42097">
        <w:rPr>
          <w:rFonts w:ascii="Times New Roman" w:hAnsi="Times New Roman" w:cs="Times New Roman"/>
          <w:bCs/>
          <w:color w:val="000000" w:themeColor="text1"/>
        </w:rPr>
        <w:t>hemocompatibility</w:t>
      </w:r>
      <w:proofErr w:type="spellEnd"/>
      <w:r w:rsidRPr="00F42097">
        <w:rPr>
          <w:rFonts w:ascii="Times New Roman" w:hAnsi="Times New Roman" w:cs="Times New Roman"/>
          <w:bCs/>
          <w:color w:val="000000" w:themeColor="text1"/>
        </w:rPr>
        <w:t xml:space="preserve">. </w:t>
      </w:r>
    </w:p>
    <w:p w14:paraId="73E16FD4" w14:textId="77777777" w:rsidR="00F42097" w:rsidRPr="00F42097" w:rsidRDefault="00F42097" w:rsidP="00F42097">
      <w:pPr>
        <w:spacing w:line="480" w:lineRule="auto"/>
        <w:outlineLvl w:val="0"/>
        <w:rPr>
          <w:rFonts w:ascii="Times New Roman" w:hAnsi="Times New Roman" w:cs="Times New Roman"/>
          <w:bCs/>
          <w:color w:val="000000" w:themeColor="text1"/>
        </w:rPr>
      </w:pPr>
    </w:p>
    <w:p w14:paraId="51EC1B68" w14:textId="77777777" w:rsidR="00F42097" w:rsidRDefault="00F42097" w:rsidP="00F42097">
      <w:pPr>
        <w:spacing w:line="480" w:lineRule="auto"/>
        <w:outlineLvl w:val="0"/>
        <w:rPr>
          <w:rFonts w:ascii="Times New Roman" w:hAnsi="Times New Roman" w:cs="Times New Roman"/>
          <w:b/>
          <w:bCs/>
          <w:color w:val="000000" w:themeColor="text1"/>
        </w:rPr>
      </w:pPr>
      <w:r>
        <w:rPr>
          <w:rFonts w:ascii="Times New Roman" w:hAnsi="Times New Roman" w:cs="Times New Roman"/>
          <w:b/>
          <w:bCs/>
          <w:color w:val="000000" w:themeColor="text1"/>
        </w:rPr>
        <w:t>L</w:t>
      </w:r>
      <w:r w:rsidRPr="004E14EA">
        <w:rPr>
          <w:rFonts w:ascii="Times New Roman" w:hAnsi="Times New Roman" w:cs="Times New Roman"/>
          <w:b/>
          <w:bCs/>
          <w:color w:val="000000" w:themeColor="text1"/>
        </w:rPr>
        <w:t xml:space="preserve">oading </w:t>
      </w:r>
      <w:r>
        <w:rPr>
          <w:rFonts w:ascii="Times New Roman" w:hAnsi="Times New Roman" w:cs="Times New Roman"/>
          <w:b/>
          <w:bCs/>
          <w:color w:val="000000" w:themeColor="text1"/>
        </w:rPr>
        <w:t>E</w:t>
      </w:r>
      <w:r w:rsidRPr="004E14EA">
        <w:rPr>
          <w:rFonts w:ascii="Times New Roman" w:hAnsi="Times New Roman" w:cs="Times New Roman"/>
          <w:b/>
          <w:bCs/>
          <w:color w:val="000000" w:themeColor="text1"/>
        </w:rPr>
        <w:t>fficiency</w:t>
      </w:r>
      <w:r>
        <w:rPr>
          <w:rFonts w:ascii="Times New Roman" w:hAnsi="Times New Roman" w:cs="Times New Roman"/>
          <w:b/>
          <w:bCs/>
          <w:color w:val="000000" w:themeColor="text1"/>
        </w:rPr>
        <w:t xml:space="preserve"> of NAC on the Scaffolds</w:t>
      </w:r>
    </w:p>
    <w:p w14:paraId="2A8C0A6F" w14:textId="70175FEF" w:rsidR="00F42097" w:rsidRDefault="00F42097" w:rsidP="00F42097">
      <w:pPr>
        <w:spacing w:line="480" w:lineRule="auto"/>
        <w:outlineLvl w:val="0"/>
        <w:rPr>
          <w:rFonts w:ascii="Times New Roman" w:hAnsi="Times New Roman" w:cs="Times New Roman"/>
          <w:bCs/>
          <w:color w:val="000000" w:themeColor="text1"/>
        </w:rPr>
      </w:pPr>
      <w:r>
        <w:rPr>
          <w:rFonts w:ascii="Times New Roman" w:hAnsi="Times New Roman" w:cs="Times New Roman"/>
          <w:b/>
          <w:bCs/>
          <w:color w:val="000000" w:themeColor="text1"/>
        </w:rPr>
        <w:t xml:space="preserve"> </w:t>
      </w:r>
      <w:r>
        <w:rPr>
          <w:rFonts w:ascii="Times New Roman" w:hAnsi="Times New Roman" w:cs="Times New Roman"/>
          <w:bCs/>
          <w:color w:val="000000" w:themeColor="text1"/>
        </w:rPr>
        <w:t xml:space="preserve"> Based on the actual drug loading and theoretical drug loading, we calculated </w:t>
      </w:r>
      <w:r w:rsidRPr="00F42097">
        <w:rPr>
          <w:rFonts w:ascii="Times New Roman" w:hAnsi="Times New Roman" w:cs="Times New Roman" w:hint="eastAsia"/>
          <w:bCs/>
          <w:color w:val="000000" w:themeColor="text1"/>
        </w:rPr>
        <w:t xml:space="preserve">the </w:t>
      </w:r>
      <w:r w:rsidRPr="00F42097">
        <w:rPr>
          <w:rFonts w:ascii="Times New Roman" w:hAnsi="Times New Roman" w:cs="Times New Roman"/>
          <w:bCs/>
          <w:color w:val="000000" w:themeColor="text1"/>
        </w:rPr>
        <w:t xml:space="preserve">NAC </w:t>
      </w:r>
      <w:r w:rsidRPr="00F42097">
        <w:rPr>
          <w:rFonts w:ascii="Times New Roman" w:hAnsi="Times New Roman" w:cs="Times New Roman" w:hint="eastAsia"/>
          <w:bCs/>
          <w:color w:val="000000" w:themeColor="text1"/>
        </w:rPr>
        <w:t xml:space="preserve">loading </w:t>
      </w:r>
      <w:r w:rsidRPr="00F42097">
        <w:rPr>
          <w:rFonts w:ascii="Times New Roman" w:hAnsi="Times New Roman" w:cs="Times New Roman"/>
          <w:bCs/>
          <w:color w:val="000000" w:themeColor="text1"/>
        </w:rPr>
        <w:t>efficiency</w:t>
      </w:r>
      <w:r w:rsidRPr="00F42097">
        <w:rPr>
          <w:rFonts w:ascii="Times New Roman" w:hAnsi="Times New Roman" w:cs="Times New Roman" w:hint="eastAsia"/>
          <w:bCs/>
          <w:color w:val="000000" w:themeColor="text1"/>
        </w:rPr>
        <w:t xml:space="preserve"> </w:t>
      </w:r>
      <w:r w:rsidRPr="00F42097">
        <w:rPr>
          <w:rFonts w:ascii="Times New Roman" w:hAnsi="Times New Roman" w:cs="Times New Roman"/>
          <w:bCs/>
          <w:color w:val="000000" w:themeColor="text1"/>
        </w:rPr>
        <w:t>of the NAC-GO-Gel scaffolds and the NAC-Gel scaffolds were 85.9% and 73.6%, respectively.</w:t>
      </w:r>
    </w:p>
    <w:p w14:paraId="2B85CE29" w14:textId="77777777" w:rsidR="003A3479" w:rsidRDefault="003A3479" w:rsidP="00F42097">
      <w:pPr>
        <w:spacing w:line="480" w:lineRule="auto"/>
        <w:outlineLvl w:val="0"/>
        <w:rPr>
          <w:rFonts w:ascii="Times New Roman" w:hAnsi="Times New Roman" w:cs="Times New Roman"/>
          <w:bCs/>
          <w:color w:val="000000" w:themeColor="text1"/>
        </w:rPr>
      </w:pPr>
    </w:p>
    <w:p w14:paraId="7C9F89BD" w14:textId="7C561DE8" w:rsidR="003A3479" w:rsidRDefault="003A3479" w:rsidP="003A3479">
      <w:pPr>
        <w:spacing w:line="480" w:lineRule="auto"/>
        <w:outlineLvl w:val="0"/>
        <w:rPr>
          <w:rFonts w:ascii="Times New Roman" w:hAnsi="Times New Roman" w:cs="Times New Roman"/>
          <w:b/>
          <w:bCs/>
          <w:color w:val="000000" w:themeColor="text1"/>
        </w:rPr>
      </w:pPr>
      <w:r>
        <w:rPr>
          <w:rFonts w:ascii="Times New Roman" w:hAnsi="Times New Roman" w:cs="Times New Roman"/>
          <w:b/>
          <w:bCs/>
          <w:i/>
          <w:color w:val="000000" w:themeColor="text1"/>
        </w:rPr>
        <w:t>I</w:t>
      </w:r>
      <w:r w:rsidRPr="004E14EA">
        <w:rPr>
          <w:rFonts w:ascii="Times New Roman" w:hAnsi="Times New Roman" w:cs="Times New Roman"/>
          <w:b/>
          <w:bCs/>
          <w:i/>
          <w:color w:val="000000" w:themeColor="text1"/>
        </w:rPr>
        <w:t>n vitro</w:t>
      </w:r>
      <w:r>
        <w:rPr>
          <w:rFonts w:ascii="Times New Roman" w:hAnsi="Times New Roman" w:cs="Times New Roman"/>
          <w:b/>
          <w:bCs/>
          <w:color w:val="000000" w:themeColor="text1"/>
        </w:rPr>
        <w:t xml:space="preserve"> ROS Level Measurement of the NAC-loaded Scaffolds </w:t>
      </w:r>
    </w:p>
    <w:p w14:paraId="2532DFF1" w14:textId="3F10AEB1" w:rsidR="005A1F97" w:rsidRDefault="003A3479" w:rsidP="003A3479">
      <w:pPr>
        <w:spacing w:line="480" w:lineRule="auto"/>
        <w:outlineLvl w:val="0"/>
        <w:rPr>
          <w:rFonts w:ascii="Times New Roman" w:hAnsi="Times New Roman" w:cs="Times New Roman"/>
          <w:bCs/>
          <w:color w:val="000000" w:themeColor="text1"/>
        </w:rPr>
      </w:pPr>
      <w:r>
        <w:rPr>
          <w:rFonts w:ascii="Times New Roman" w:hAnsi="Times New Roman" w:cs="Times New Roman"/>
          <w:b/>
          <w:bCs/>
          <w:color w:val="000000" w:themeColor="text1"/>
        </w:rPr>
        <w:t xml:space="preserve">  </w:t>
      </w:r>
      <w:r w:rsidRPr="003A3479">
        <w:rPr>
          <w:rFonts w:ascii="Times New Roman" w:hAnsi="Times New Roman" w:cs="Times New Roman"/>
          <w:bCs/>
          <w:color w:val="000000" w:themeColor="text1"/>
        </w:rPr>
        <w:t>DCFH-DA immunofluorescence staining was used to evaluate the intracellular ROS scavenging capability of cells in the treatment groups with oxidative stress damage</w:t>
      </w:r>
      <w:r>
        <w:rPr>
          <w:rFonts w:ascii="Times New Roman" w:hAnsi="Times New Roman" w:cs="Times New Roman"/>
          <w:bCs/>
          <w:color w:val="000000" w:themeColor="text1"/>
        </w:rPr>
        <w:t xml:space="preserve"> </w:t>
      </w:r>
      <w:r w:rsidRPr="0006198C">
        <w:rPr>
          <w:rFonts w:ascii="Times New Roman" w:hAnsi="Times New Roman" w:cs="Times New Roman"/>
          <w:b/>
          <w:bCs/>
          <w:color w:val="000000" w:themeColor="text1"/>
        </w:rPr>
        <w:t>(Figure S3)</w:t>
      </w:r>
      <w:bookmarkStart w:id="0" w:name="_GoBack"/>
      <w:bookmarkEnd w:id="0"/>
      <w:r w:rsidRPr="003A3479">
        <w:rPr>
          <w:rFonts w:ascii="Times New Roman" w:hAnsi="Times New Roman" w:cs="Times New Roman"/>
          <w:bCs/>
          <w:color w:val="000000" w:themeColor="text1"/>
        </w:rPr>
        <w:t xml:space="preserve">. </w:t>
      </w:r>
      <w:proofErr w:type="spellStart"/>
      <w:r w:rsidRPr="003A3479">
        <w:rPr>
          <w:rFonts w:ascii="Times New Roman" w:hAnsi="Times New Roman" w:cs="Times New Roman"/>
          <w:bCs/>
          <w:color w:val="000000" w:themeColor="text1"/>
        </w:rPr>
        <w:t>Rosup</w:t>
      </w:r>
      <w:proofErr w:type="spellEnd"/>
      <w:r w:rsidRPr="003A3479">
        <w:rPr>
          <w:rFonts w:ascii="Times New Roman" w:hAnsi="Times New Roman" w:cs="Times New Roman"/>
          <w:bCs/>
          <w:color w:val="000000" w:themeColor="text1"/>
        </w:rPr>
        <w:t xml:space="preserve"> is a wildly used agent to increase the ROS level in cell. With the exposure to </w:t>
      </w:r>
      <w:proofErr w:type="spellStart"/>
      <w:r w:rsidRPr="003A3479">
        <w:rPr>
          <w:rFonts w:ascii="Times New Roman" w:hAnsi="Times New Roman" w:cs="Times New Roman"/>
          <w:bCs/>
          <w:color w:val="000000" w:themeColor="text1"/>
        </w:rPr>
        <w:t>Rosup</w:t>
      </w:r>
      <w:proofErr w:type="spellEnd"/>
      <w:r w:rsidRPr="003A3479">
        <w:rPr>
          <w:rFonts w:ascii="Times New Roman" w:hAnsi="Times New Roman" w:cs="Times New Roman"/>
          <w:bCs/>
          <w:color w:val="000000" w:themeColor="text1"/>
        </w:rPr>
        <w:t xml:space="preserve">, remarkable DCFH-DA staining was observed in the positive control group, suggesting the cellular oxidative was successfully induced. Notably, compared with the non-loading scaffolds, the fluorescent signals were decreased in co-cultured with NAC-loading scaffolds groups, to a little higher level as those in cells that were not stimulated by </w:t>
      </w:r>
      <w:proofErr w:type="spellStart"/>
      <w:r w:rsidRPr="003A3479">
        <w:rPr>
          <w:rFonts w:ascii="Times New Roman" w:hAnsi="Times New Roman" w:cs="Times New Roman"/>
          <w:bCs/>
          <w:color w:val="000000" w:themeColor="text1"/>
        </w:rPr>
        <w:t>Rosup</w:t>
      </w:r>
      <w:proofErr w:type="spellEnd"/>
      <w:r w:rsidRPr="003A3479">
        <w:rPr>
          <w:rFonts w:ascii="Times New Roman" w:hAnsi="Times New Roman" w:cs="Times New Roman"/>
          <w:bCs/>
          <w:color w:val="000000" w:themeColor="text1"/>
        </w:rPr>
        <w:t>. This confirmed our hypothesis that treatment with NAC-loading scaffolds could improve the resisting oxidative stress ability.</w:t>
      </w:r>
    </w:p>
    <w:p w14:paraId="7E0A959D" w14:textId="77777777" w:rsidR="005A1F97" w:rsidRDefault="005A1F97">
      <w:pPr>
        <w:widowControl/>
        <w:jc w:val="left"/>
        <w:rPr>
          <w:rFonts w:ascii="Times New Roman" w:hAnsi="Times New Roman" w:cs="Times New Roman"/>
          <w:bCs/>
          <w:color w:val="000000" w:themeColor="text1"/>
        </w:rPr>
      </w:pPr>
      <w:r>
        <w:rPr>
          <w:rFonts w:ascii="Times New Roman" w:hAnsi="Times New Roman" w:cs="Times New Roman"/>
          <w:bCs/>
          <w:color w:val="000000" w:themeColor="text1"/>
        </w:rPr>
        <w:br w:type="page"/>
      </w:r>
    </w:p>
    <w:p w14:paraId="29C31156" w14:textId="77777777" w:rsidR="005A1F97" w:rsidRPr="005A1F97" w:rsidRDefault="005A1F97" w:rsidP="005A1F97">
      <w:pPr>
        <w:spacing w:line="480" w:lineRule="auto"/>
        <w:outlineLvl w:val="0"/>
        <w:rPr>
          <w:rFonts w:ascii="Times New Roman" w:eastAsia="DengXian" w:hAnsi="Times New Roman" w:cs="Times New Roman"/>
          <w:b/>
          <w:bCs/>
          <w:color w:val="000000"/>
          <w:sz w:val="28"/>
          <w:szCs w:val="28"/>
        </w:rPr>
      </w:pPr>
      <w:r w:rsidRPr="005A1F97">
        <w:rPr>
          <w:rFonts w:ascii="Times New Roman" w:eastAsia="DengXian" w:hAnsi="Times New Roman" w:cs="Times New Roman"/>
          <w:b/>
          <w:bCs/>
          <w:color w:val="000000"/>
          <w:sz w:val="28"/>
          <w:szCs w:val="28"/>
        </w:rPr>
        <w:t>Figure legends</w:t>
      </w:r>
    </w:p>
    <w:p w14:paraId="3B7CE19D" w14:textId="77777777" w:rsidR="005A1F97" w:rsidRPr="005A1F97" w:rsidRDefault="005A1F97" w:rsidP="005A1F97">
      <w:pPr>
        <w:spacing w:line="480" w:lineRule="auto"/>
        <w:rPr>
          <w:rFonts w:ascii="Times New Roman" w:eastAsia="SimSun" w:hAnsi="Times New Roman" w:cs="Times New Roman"/>
          <w:color w:val="000000"/>
        </w:rPr>
      </w:pPr>
      <w:r w:rsidRPr="005A1F97">
        <w:rPr>
          <w:rFonts w:ascii="Times New Roman" w:eastAsia="SimSun" w:hAnsi="Times New Roman" w:cs="Times New Roman"/>
          <w:b/>
          <w:color w:val="000000"/>
        </w:rPr>
        <w:t xml:space="preserve">Figure S1. </w:t>
      </w:r>
      <w:r w:rsidRPr="005A1F97">
        <w:rPr>
          <w:rFonts w:ascii="Times New Roman" w:eastAsia="SimSun" w:hAnsi="Times New Roman" w:cs="Times New Roman"/>
          <w:color w:val="000000"/>
        </w:rPr>
        <w:t>Characterization</w:t>
      </w:r>
      <w:r w:rsidRPr="005A1F97">
        <w:rPr>
          <w:rFonts w:ascii="Times New Roman" w:eastAsia="SimSun" w:hAnsi="Times New Roman" w:cs="Times New Roman" w:hint="eastAsia"/>
          <w:color w:val="000000"/>
        </w:rPr>
        <w:t xml:space="preserve"> of </w:t>
      </w:r>
      <w:proofErr w:type="spellStart"/>
      <w:r w:rsidRPr="005A1F97">
        <w:rPr>
          <w:rFonts w:ascii="Times New Roman" w:eastAsia="SimSun" w:hAnsi="Times New Roman" w:cs="Times New Roman" w:hint="eastAsia"/>
          <w:color w:val="000000"/>
        </w:rPr>
        <w:t>nanofibrous</w:t>
      </w:r>
      <w:proofErr w:type="spellEnd"/>
      <w:r w:rsidRPr="005A1F97">
        <w:rPr>
          <w:rFonts w:ascii="Times New Roman" w:eastAsia="SimSun" w:hAnsi="Times New Roman" w:cs="Times New Roman" w:hint="eastAsia"/>
          <w:color w:val="000000"/>
        </w:rPr>
        <w:t xml:space="preserve"> scaffolds. </w:t>
      </w:r>
      <w:r w:rsidRPr="005A1F97">
        <w:rPr>
          <w:rFonts w:ascii="Times New Roman" w:eastAsia="SimSun" w:hAnsi="Times New Roman" w:cs="Times New Roman"/>
          <w:color w:val="000000"/>
        </w:rPr>
        <w:t>(A) TEM image of GO (scale bar: 500nm); (B) FTIR spectroscopy; (C) Raman spectroscopy; (D) XRD spectroscopy.</w:t>
      </w:r>
    </w:p>
    <w:p w14:paraId="40E827EA" w14:textId="77777777" w:rsidR="005A1F97" w:rsidRPr="005A1F97" w:rsidRDefault="005A1F97" w:rsidP="005A1F97">
      <w:pPr>
        <w:spacing w:line="480" w:lineRule="auto"/>
        <w:rPr>
          <w:rFonts w:ascii="Times New Roman" w:eastAsia="SimSun" w:hAnsi="Times New Roman" w:cs="Times New Roman"/>
          <w:color w:val="000000"/>
        </w:rPr>
      </w:pPr>
    </w:p>
    <w:p w14:paraId="25501AB8" w14:textId="77777777" w:rsidR="005A1F97" w:rsidRPr="005A1F97" w:rsidRDefault="005A1F97" w:rsidP="005A1F97">
      <w:pPr>
        <w:spacing w:line="480" w:lineRule="auto"/>
        <w:rPr>
          <w:rFonts w:ascii="Times New Roman" w:eastAsia="SimSun" w:hAnsi="Times New Roman" w:cs="Times New Roman"/>
          <w:color w:val="000000"/>
        </w:rPr>
      </w:pPr>
      <w:r w:rsidRPr="005A1F97">
        <w:rPr>
          <w:rFonts w:ascii="Times New Roman" w:eastAsia="SimSun" w:hAnsi="Times New Roman" w:cs="Times New Roman"/>
          <w:b/>
          <w:color w:val="000000"/>
        </w:rPr>
        <w:t xml:space="preserve">Figure S2. </w:t>
      </w:r>
      <w:r w:rsidRPr="005A1F97">
        <w:rPr>
          <w:rFonts w:ascii="Times New Roman" w:eastAsia="SimSun" w:hAnsi="Times New Roman" w:cs="Times New Roman"/>
          <w:color w:val="000000"/>
        </w:rPr>
        <w:t xml:space="preserve">Hemolysis test of different scaffolds exposure. The relative hemolysis percentages of the </w:t>
      </w:r>
      <w:proofErr w:type="spellStart"/>
      <w:r w:rsidRPr="005A1F97">
        <w:rPr>
          <w:rFonts w:ascii="Times New Roman" w:eastAsia="SimSun" w:hAnsi="Times New Roman" w:cs="Times New Roman"/>
          <w:color w:val="000000"/>
        </w:rPr>
        <w:t>nanofibrous</w:t>
      </w:r>
      <w:proofErr w:type="spellEnd"/>
      <w:r w:rsidRPr="005A1F97">
        <w:rPr>
          <w:rFonts w:ascii="Times New Roman" w:eastAsia="SimSun" w:hAnsi="Times New Roman" w:cs="Times New Roman"/>
          <w:color w:val="000000"/>
        </w:rPr>
        <w:t xml:space="preserve"> membranes were all less than 5%, suggesting that all these membranes show excellent </w:t>
      </w:r>
      <w:proofErr w:type="spellStart"/>
      <w:r w:rsidRPr="005A1F97">
        <w:rPr>
          <w:rFonts w:ascii="Times New Roman" w:eastAsia="SimSun" w:hAnsi="Times New Roman" w:cs="Times New Roman"/>
          <w:color w:val="000000"/>
        </w:rPr>
        <w:t>hemocompatibility</w:t>
      </w:r>
      <w:proofErr w:type="spellEnd"/>
      <w:r w:rsidRPr="005A1F97">
        <w:rPr>
          <w:rFonts w:ascii="Times New Roman" w:eastAsia="SimSun" w:hAnsi="Times New Roman" w:cs="Times New Roman"/>
          <w:color w:val="000000"/>
        </w:rPr>
        <w:t>.</w:t>
      </w:r>
    </w:p>
    <w:p w14:paraId="0D1DCF1A" w14:textId="77777777" w:rsidR="005A1F97" w:rsidRPr="005A1F97" w:rsidRDefault="005A1F97" w:rsidP="005A1F97">
      <w:pPr>
        <w:spacing w:line="480" w:lineRule="auto"/>
        <w:rPr>
          <w:rFonts w:ascii="Times New Roman" w:eastAsia="SimSun" w:hAnsi="Times New Roman" w:cs="Times New Roman"/>
          <w:color w:val="000000"/>
        </w:rPr>
      </w:pPr>
    </w:p>
    <w:p w14:paraId="4B9ECC25" w14:textId="77777777" w:rsidR="005A1F97" w:rsidRPr="005A1F97" w:rsidRDefault="005A1F97" w:rsidP="005A1F97">
      <w:pPr>
        <w:spacing w:line="480" w:lineRule="auto"/>
        <w:rPr>
          <w:rFonts w:ascii="Times New Roman" w:eastAsia="SimSun" w:hAnsi="Times New Roman" w:cs="Times New Roman"/>
          <w:color w:val="000000"/>
        </w:rPr>
      </w:pPr>
      <w:r w:rsidRPr="005A1F97">
        <w:rPr>
          <w:rFonts w:ascii="Times New Roman" w:eastAsia="SimSun" w:hAnsi="Times New Roman" w:cs="Times New Roman"/>
          <w:b/>
          <w:color w:val="000000"/>
        </w:rPr>
        <w:t xml:space="preserve">Figure S3. </w:t>
      </w:r>
      <w:r w:rsidRPr="005A1F97">
        <w:rPr>
          <w:rFonts w:ascii="Times New Roman" w:eastAsia="SimSun" w:hAnsi="Times New Roman" w:cs="Times New Roman"/>
          <w:color w:val="000000"/>
        </w:rPr>
        <w:t xml:space="preserve">Fluorescence images of intracellular ROS reduction of </w:t>
      </w:r>
      <w:proofErr w:type="spellStart"/>
      <w:r w:rsidRPr="005A1F97">
        <w:rPr>
          <w:rFonts w:ascii="Times New Roman" w:eastAsia="SimSun" w:hAnsi="Times New Roman" w:cs="Times New Roman"/>
          <w:color w:val="000000"/>
        </w:rPr>
        <w:t>Rosup</w:t>
      </w:r>
      <w:proofErr w:type="spellEnd"/>
      <w:r w:rsidRPr="005A1F97">
        <w:rPr>
          <w:rFonts w:ascii="Times New Roman" w:eastAsia="SimSun" w:hAnsi="Times New Roman" w:cs="Times New Roman"/>
          <w:color w:val="000000"/>
        </w:rPr>
        <w:t>-stimulated HDFs cells cultured under standard conditions or co-cultured with different scaffolds</w:t>
      </w:r>
      <w:r w:rsidRPr="005A1F97">
        <w:rPr>
          <w:rFonts w:ascii="Times New Roman" w:eastAsia="SimSun" w:hAnsi="Times New Roman" w:cs="Times New Roman" w:hint="eastAsia"/>
          <w:color w:val="000000"/>
        </w:rPr>
        <w:t xml:space="preserve"> </w:t>
      </w:r>
      <w:r w:rsidRPr="005A1F97">
        <w:rPr>
          <w:rFonts w:ascii="Times New Roman" w:eastAsia="SimSun" w:hAnsi="Times New Roman" w:cs="Times New Roman"/>
          <w:color w:val="000000"/>
        </w:rPr>
        <w:t xml:space="preserve">(scale bar: 100 </w:t>
      </w:r>
      <w:proofErr w:type="spellStart"/>
      <w:r w:rsidRPr="005A1F97">
        <w:rPr>
          <w:rFonts w:ascii="Times New Roman" w:eastAsia="SimSun" w:hAnsi="Times New Roman" w:cs="Times New Roman"/>
          <w:color w:val="000000"/>
        </w:rPr>
        <w:t>μm</w:t>
      </w:r>
      <w:proofErr w:type="spellEnd"/>
      <w:r w:rsidRPr="005A1F97">
        <w:rPr>
          <w:rFonts w:ascii="Times New Roman" w:eastAsia="SimSun" w:hAnsi="Times New Roman" w:cs="Times New Roman"/>
          <w:color w:val="000000"/>
        </w:rPr>
        <w:t>).</w:t>
      </w:r>
    </w:p>
    <w:p w14:paraId="260A8E05" w14:textId="77777777" w:rsidR="005A1F97" w:rsidRPr="005A1F97" w:rsidRDefault="005A1F97" w:rsidP="005A1F97">
      <w:pPr>
        <w:spacing w:line="480" w:lineRule="auto"/>
        <w:rPr>
          <w:rFonts w:ascii="Times New Roman" w:eastAsia="SimSun" w:hAnsi="Times New Roman" w:cs="Times New Roman"/>
          <w:b/>
          <w:color w:val="000000"/>
        </w:rPr>
      </w:pPr>
    </w:p>
    <w:p w14:paraId="0ABAE5DB" w14:textId="77777777" w:rsidR="003A3479" w:rsidRPr="005A1F97" w:rsidRDefault="003A3479" w:rsidP="003A3479">
      <w:pPr>
        <w:spacing w:line="480" w:lineRule="auto"/>
        <w:outlineLvl w:val="0"/>
        <w:rPr>
          <w:rFonts w:ascii="Times New Roman" w:hAnsi="Times New Roman" w:cs="Times New Roman"/>
          <w:bCs/>
          <w:color w:val="000000" w:themeColor="text1"/>
        </w:rPr>
      </w:pPr>
    </w:p>
    <w:p w14:paraId="0EC64911" w14:textId="280587B0" w:rsidR="003A3479" w:rsidRPr="003A3479" w:rsidRDefault="003A3479" w:rsidP="003A3479">
      <w:pPr>
        <w:spacing w:line="480" w:lineRule="auto"/>
        <w:outlineLvl w:val="0"/>
        <w:rPr>
          <w:rFonts w:ascii="Times New Roman" w:hAnsi="Times New Roman" w:cs="Times New Roman"/>
          <w:b/>
          <w:bCs/>
          <w:i/>
          <w:color w:val="000000" w:themeColor="text1"/>
        </w:rPr>
      </w:pPr>
    </w:p>
    <w:p w14:paraId="45C4940E" w14:textId="77777777" w:rsidR="004E14EA" w:rsidRPr="004E14EA" w:rsidRDefault="004E14EA" w:rsidP="00913D60">
      <w:pPr>
        <w:spacing w:line="480" w:lineRule="auto"/>
        <w:outlineLvl w:val="0"/>
        <w:rPr>
          <w:rFonts w:ascii="Times New Roman" w:hAnsi="Times New Roman" w:cs="Times New Roman"/>
          <w:b/>
          <w:bCs/>
          <w:color w:val="000000" w:themeColor="text1"/>
        </w:rPr>
      </w:pPr>
    </w:p>
    <w:p w14:paraId="160BF1EA" w14:textId="77777777" w:rsidR="00B57564" w:rsidRPr="004E14EA" w:rsidRDefault="00B57564" w:rsidP="00B57564">
      <w:pPr>
        <w:spacing w:line="480" w:lineRule="auto"/>
        <w:rPr>
          <w:rFonts w:ascii="Times New Roman" w:hAnsi="Times New Roman" w:cs="Times New Roman"/>
          <w:b/>
        </w:rPr>
      </w:pPr>
    </w:p>
    <w:sectPr w:rsidR="00B57564" w:rsidRPr="004E14EA" w:rsidSect="00670A21">
      <w:pgSz w:w="11900" w:h="16840"/>
      <w:pgMar w:top="1440" w:right="1800" w:bottom="1440" w:left="1800" w:header="851" w:footer="992" w:gutter="0"/>
      <w:cols w:space="425"/>
      <w:docGrid w:type="lines" w:linePitch="42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DengXian">
    <w:panose1 w:val="02010600030101010101"/>
    <w:charset w:val="86"/>
    <w:family w:val="script"/>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Mincho">
    <w:panose1 w:val="02020609040205080304"/>
    <w:charset w:val="80"/>
    <w:family w:val="roman"/>
    <w:pitch w:val="fixed"/>
    <w:sig w:usb0="E00002FF" w:usb1="6AC7FDFB" w:usb2="08000012" w:usb3="00000000" w:csb0="0002009F" w:csb1="00000000"/>
  </w:font>
  <w:font w:name="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AFF" w:usb1="C0007843" w:usb2="00000009" w:usb3="00000000" w:csb0="000001FF" w:csb1="00000000"/>
  </w:font>
  <w:font w:name="DengXian Light">
    <w:panose1 w:val="02010600030101010101"/>
    <w:charset w:val="86"/>
    <w:family w:val="script"/>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564"/>
    <w:rsid w:val="000005EA"/>
    <w:rsid w:val="000014E1"/>
    <w:rsid w:val="00001683"/>
    <w:rsid w:val="00002162"/>
    <w:rsid w:val="00003423"/>
    <w:rsid w:val="00003CA1"/>
    <w:rsid w:val="00015AA1"/>
    <w:rsid w:val="000213AB"/>
    <w:rsid w:val="000216E1"/>
    <w:rsid w:val="00022C73"/>
    <w:rsid w:val="00024496"/>
    <w:rsid w:val="000267DE"/>
    <w:rsid w:val="00032ACC"/>
    <w:rsid w:val="000435BD"/>
    <w:rsid w:val="00044C56"/>
    <w:rsid w:val="00051F33"/>
    <w:rsid w:val="00052FC7"/>
    <w:rsid w:val="00056D90"/>
    <w:rsid w:val="00057BDD"/>
    <w:rsid w:val="00060A40"/>
    <w:rsid w:val="000611E5"/>
    <w:rsid w:val="0006198C"/>
    <w:rsid w:val="00061B2D"/>
    <w:rsid w:val="00063377"/>
    <w:rsid w:val="00064E9C"/>
    <w:rsid w:val="00066E3C"/>
    <w:rsid w:val="00070A1F"/>
    <w:rsid w:val="00071293"/>
    <w:rsid w:val="00071C42"/>
    <w:rsid w:val="00073F77"/>
    <w:rsid w:val="00074C41"/>
    <w:rsid w:val="0007527E"/>
    <w:rsid w:val="00080BFA"/>
    <w:rsid w:val="000812E0"/>
    <w:rsid w:val="00085761"/>
    <w:rsid w:val="00094B10"/>
    <w:rsid w:val="000A1D5C"/>
    <w:rsid w:val="000A3220"/>
    <w:rsid w:val="000A5952"/>
    <w:rsid w:val="000B0939"/>
    <w:rsid w:val="000B39C9"/>
    <w:rsid w:val="000B4361"/>
    <w:rsid w:val="000C46EB"/>
    <w:rsid w:val="000C4C2A"/>
    <w:rsid w:val="000C5209"/>
    <w:rsid w:val="000C7C29"/>
    <w:rsid w:val="000D1896"/>
    <w:rsid w:val="000D20EE"/>
    <w:rsid w:val="000D4412"/>
    <w:rsid w:val="000D4E68"/>
    <w:rsid w:val="000D76FE"/>
    <w:rsid w:val="000D7FF8"/>
    <w:rsid w:val="000E2150"/>
    <w:rsid w:val="000F0B4A"/>
    <w:rsid w:val="000F0D30"/>
    <w:rsid w:val="000F71A5"/>
    <w:rsid w:val="000F73CA"/>
    <w:rsid w:val="0010622A"/>
    <w:rsid w:val="0011385C"/>
    <w:rsid w:val="00114EEB"/>
    <w:rsid w:val="00115945"/>
    <w:rsid w:val="00115D12"/>
    <w:rsid w:val="001166ED"/>
    <w:rsid w:val="00117443"/>
    <w:rsid w:val="001205BA"/>
    <w:rsid w:val="001212AF"/>
    <w:rsid w:val="00121429"/>
    <w:rsid w:val="00127BFE"/>
    <w:rsid w:val="00130CAC"/>
    <w:rsid w:val="001403DD"/>
    <w:rsid w:val="00152695"/>
    <w:rsid w:val="0015589D"/>
    <w:rsid w:val="00156B53"/>
    <w:rsid w:val="001640B5"/>
    <w:rsid w:val="00164DAF"/>
    <w:rsid w:val="00165B62"/>
    <w:rsid w:val="00165D74"/>
    <w:rsid w:val="00175949"/>
    <w:rsid w:val="0018145F"/>
    <w:rsid w:val="001820AB"/>
    <w:rsid w:val="00183A56"/>
    <w:rsid w:val="001853A4"/>
    <w:rsid w:val="00194BD8"/>
    <w:rsid w:val="001A2351"/>
    <w:rsid w:val="001A5146"/>
    <w:rsid w:val="001A7529"/>
    <w:rsid w:val="001B6E44"/>
    <w:rsid w:val="001B70D2"/>
    <w:rsid w:val="001C00FB"/>
    <w:rsid w:val="001C42AE"/>
    <w:rsid w:val="001D1790"/>
    <w:rsid w:val="001D1FB0"/>
    <w:rsid w:val="001D25C8"/>
    <w:rsid w:val="001D290D"/>
    <w:rsid w:val="001D440E"/>
    <w:rsid w:val="001E01BB"/>
    <w:rsid w:val="001E2F05"/>
    <w:rsid w:val="001E37E7"/>
    <w:rsid w:val="001F2DB2"/>
    <w:rsid w:val="002005F9"/>
    <w:rsid w:val="00201B1D"/>
    <w:rsid w:val="00201CA9"/>
    <w:rsid w:val="0020349D"/>
    <w:rsid w:val="00207F4A"/>
    <w:rsid w:val="002103A6"/>
    <w:rsid w:val="00213C33"/>
    <w:rsid w:val="00213FCA"/>
    <w:rsid w:val="002146AD"/>
    <w:rsid w:val="002203E8"/>
    <w:rsid w:val="00222269"/>
    <w:rsid w:val="00224058"/>
    <w:rsid w:val="00226570"/>
    <w:rsid w:val="00230C14"/>
    <w:rsid w:val="00233FF7"/>
    <w:rsid w:val="00237CD5"/>
    <w:rsid w:val="0024092F"/>
    <w:rsid w:val="00245ADC"/>
    <w:rsid w:val="00253D0B"/>
    <w:rsid w:val="0026025D"/>
    <w:rsid w:val="002622F4"/>
    <w:rsid w:val="0027034C"/>
    <w:rsid w:val="002705EA"/>
    <w:rsid w:val="00286306"/>
    <w:rsid w:val="00290585"/>
    <w:rsid w:val="00290B9C"/>
    <w:rsid w:val="00292DB8"/>
    <w:rsid w:val="002943F2"/>
    <w:rsid w:val="00294E79"/>
    <w:rsid w:val="002963C1"/>
    <w:rsid w:val="00296FCC"/>
    <w:rsid w:val="00297447"/>
    <w:rsid w:val="002A2B57"/>
    <w:rsid w:val="002A45D1"/>
    <w:rsid w:val="002A550E"/>
    <w:rsid w:val="002B64F8"/>
    <w:rsid w:val="002C1769"/>
    <w:rsid w:val="002C23BF"/>
    <w:rsid w:val="002C6D54"/>
    <w:rsid w:val="002D1295"/>
    <w:rsid w:val="002D25E9"/>
    <w:rsid w:val="002D4DB1"/>
    <w:rsid w:val="002E284C"/>
    <w:rsid w:val="002E6799"/>
    <w:rsid w:val="002E7239"/>
    <w:rsid w:val="002E72AC"/>
    <w:rsid w:val="002F10B3"/>
    <w:rsid w:val="002F1DEB"/>
    <w:rsid w:val="002F5F7F"/>
    <w:rsid w:val="002F6984"/>
    <w:rsid w:val="002F7EF8"/>
    <w:rsid w:val="0030153E"/>
    <w:rsid w:val="0030525C"/>
    <w:rsid w:val="00314F22"/>
    <w:rsid w:val="003249C2"/>
    <w:rsid w:val="00326617"/>
    <w:rsid w:val="00330EEE"/>
    <w:rsid w:val="00331E33"/>
    <w:rsid w:val="00332723"/>
    <w:rsid w:val="00334489"/>
    <w:rsid w:val="0033737C"/>
    <w:rsid w:val="00337438"/>
    <w:rsid w:val="00340519"/>
    <w:rsid w:val="00343EA2"/>
    <w:rsid w:val="003450F3"/>
    <w:rsid w:val="00346A08"/>
    <w:rsid w:val="00352794"/>
    <w:rsid w:val="00357D3A"/>
    <w:rsid w:val="00362BAD"/>
    <w:rsid w:val="00370643"/>
    <w:rsid w:val="0037275F"/>
    <w:rsid w:val="00380B9A"/>
    <w:rsid w:val="0038231E"/>
    <w:rsid w:val="003838AF"/>
    <w:rsid w:val="0038486C"/>
    <w:rsid w:val="00384ED2"/>
    <w:rsid w:val="0038530F"/>
    <w:rsid w:val="00386456"/>
    <w:rsid w:val="00386E4F"/>
    <w:rsid w:val="003874DC"/>
    <w:rsid w:val="003911CB"/>
    <w:rsid w:val="0039630F"/>
    <w:rsid w:val="003A2CDC"/>
    <w:rsid w:val="003A3166"/>
    <w:rsid w:val="003A3479"/>
    <w:rsid w:val="003A4C18"/>
    <w:rsid w:val="003A5B51"/>
    <w:rsid w:val="003B18E9"/>
    <w:rsid w:val="003B7530"/>
    <w:rsid w:val="003C59CF"/>
    <w:rsid w:val="003C6F62"/>
    <w:rsid w:val="003D645C"/>
    <w:rsid w:val="003E17C4"/>
    <w:rsid w:val="003E6618"/>
    <w:rsid w:val="003E6B2E"/>
    <w:rsid w:val="003F0A69"/>
    <w:rsid w:val="003F49A3"/>
    <w:rsid w:val="003F4F1B"/>
    <w:rsid w:val="003F5296"/>
    <w:rsid w:val="003F778A"/>
    <w:rsid w:val="00402213"/>
    <w:rsid w:val="00402672"/>
    <w:rsid w:val="00405DF2"/>
    <w:rsid w:val="00407679"/>
    <w:rsid w:val="00410438"/>
    <w:rsid w:val="004123CD"/>
    <w:rsid w:val="00413356"/>
    <w:rsid w:val="00414FE5"/>
    <w:rsid w:val="0041568B"/>
    <w:rsid w:val="00417FF7"/>
    <w:rsid w:val="00422572"/>
    <w:rsid w:val="00422C9D"/>
    <w:rsid w:val="004325E6"/>
    <w:rsid w:val="00432BDE"/>
    <w:rsid w:val="00446C23"/>
    <w:rsid w:val="00451513"/>
    <w:rsid w:val="00453F11"/>
    <w:rsid w:val="004568DF"/>
    <w:rsid w:val="00457746"/>
    <w:rsid w:val="004615A6"/>
    <w:rsid w:val="00472F95"/>
    <w:rsid w:val="00476F9C"/>
    <w:rsid w:val="00483C1F"/>
    <w:rsid w:val="00490722"/>
    <w:rsid w:val="0049488E"/>
    <w:rsid w:val="00494AFC"/>
    <w:rsid w:val="0049517A"/>
    <w:rsid w:val="00496717"/>
    <w:rsid w:val="004A0329"/>
    <w:rsid w:val="004A17B2"/>
    <w:rsid w:val="004A1FFE"/>
    <w:rsid w:val="004A261E"/>
    <w:rsid w:val="004A3500"/>
    <w:rsid w:val="004A5AF6"/>
    <w:rsid w:val="004A601B"/>
    <w:rsid w:val="004A60F4"/>
    <w:rsid w:val="004A7739"/>
    <w:rsid w:val="004A7B6F"/>
    <w:rsid w:val="004B6139"/>
    <w:rsid w:val="004C098E"/>
    <w:rsid w:val="004C7683"/>
    <w:rsid w:val="004D07E4"/>
    <w:rsid w:val="004D2D19"/>
    <w:rsid w:val="004D2E7C"/>
    <w:rsid w:val="004D4C6D"/>
    <w:rsid w:val="004D6911"/>
    <w:rsid w:val="004D72D9"/>
    <w:rsid w:val="004E01CC"/>
    <w:rsid w:val="004E0D54"/>
    <w:rsid w:val="004E0EFA"/>
    <w:rsid w:val="004E14EA"/>
    <w:rsid w:val="004E331B"/>
    <w:rsid w:val="004E6ABE"/>
    <w:rsid w:val="004F2C9F"/>
    <w:rsid w:val="004F355E"/>
    <w:rsid w:val="004F443C"/>
    <w:rsid w:val="004F5596"/>
    <w:rsid w:val="004F5773"/>
    <w:rsid w:val="004F68B8"/>
    <w:rsid w:val="004F6FE6"/>
    <w:rsid w:val="00503382"/>
    <w:rsid w:val="00504BCD"/>
    <w:rsid w:val="0050511B"/>
    <w:rsid w:val="00505D11"/>
    <w:rsid w:val="005124A3"/>
    <w:rsid w:val="00520E1D"/>
    <w:rsid w:val="005246A3"/>
    <w:rsid w:val="005321AC"/>
    <w:rsid w:val="00534A31"/>
    <w:rsid w:val="00534F6F"/>
    <w:rsid w:val="00537D0F"/>
    <w:rsid w:val="00541120"/>
    <w:rsid w:val="005426C9"/>
    <w:rsid w:val="005464DD"/>
    <w:rsid w:val="005557E2"/>
    <w:rsid w:val="00556FB8"/>
    <w:rsid w:val="005651BE"/>
    <w:rsid w:val="00567DC7"/>
    <w:rsid w:val="00570829"/>
    <w:rsid w:val="005714D2"/>
    <w:rsid w:val="00573491"/>
    <w:rsid w:val="00573A0B"/>
    <w:rsid w:val="0058195E"/>
    <w:rsid w:val="00581C42"/>
    <w:rsid w:val="0058585C"/>
    <w:rsid w:val="00586CDD"/>
    <w:rsid w:val="0059017C"/>
    <w:rsid w:val="00593047"/>
    <w:rsid w:val="00597AA6"/>
    <w:rsid w:val="00597FBB"/>
    <w:rsid w:val="005A08A2"/>
    <w:rsid w:val="005A1F97"/>
    <w:rsid w:val="005A7259"/>
    <w:rsid w:val="005B144B"/>
    <w:rsid w:val="005B2355"/>
    <w:rsid w:val="005B50C5"/>
    <w:rsid w:val="005C6961"/>
    <w:rsid w:val="005D5C6B"/>
    <w:rsid w:val="005D703F"/>
    <w:rsid w:val="005E0AC4"/>
    <w:rsid w:val="005E349C"/>
    <w:rsid w:val="005E4664"/>
    <w:rsid w:val="005E4E16"/>
    <w:rsid w:val="005E550E"/>
    <w:rsid w:val="005E584B"/>
    <w:rsid w:val="005F092E"/>
    <w:rsid w:val="005F0EB3"/>
    <w:rsid w:val="005F235B"/>
    <w:rsid w:val="005F2C8A"/>
    <w:rsid w:val="005F3B32"/>
    <w:rsid w:val="005F6B65"/>
    <w:rsid w:val="005F70D8"/>
    <w:rsid w:val="005F7A3F"/>
    <w:rsid w:val="00601495"/>
    <w:rsid w:val="0060551A"/>
    <w:rsid w:val="00611787"/>
    <w:rsid w:val="006140FA"/>
    <w:rsid w:val="0061494E"/>
    <w:rsid w:val="00616B60"/>
    <w:rsid w:val="006204A5"/>
    <w:rsid w:val="006233B2"/>
    <w:rsid w:val="006330BC"/>
    <w:rsid w:val="00633119"/>
    <w:rsid w:val="006339AB"/>
    <w:rsid w:val="006344A8"/>
    <w:rsid w:val="006357A7"/>
    <w:rsid w:val="006408B3"/>
    <w:rsid w:val="00641026"/>
    <w:rsid w:val="00645FD5"/>
    <w:rsid w:val="00647A1B"/>
    <w:rsid w:val="00647D7F"/>
    <w:rsid w:val="00654D1D"/>
    <w:rsid w:val="006617D8"/>
    <w:rsid w:val="00664250"/>
    <w:rsid w:val="00667049"/>
    <w:rsid w:val="00670A21"/>
    <w:rsid w:val="00676626"/>
    <w:rsid w:val="00680A93"/>
    <w:rsid w:val="00680C41"/>
    <w:rsid w:val="0068487C"/>
    <w:rsid w:val="00684B98"/>
    <w:rsid w:val="00686B03"/>
    <w:rsid w:val="00687A3F"/>
    <w:rsid w:val="006A5856"/>
    <w:rsid w:val="006A6C3D"/>
    <w:rsid w:val="006A703C"/>
    <w:rsid w:val="006B1B74"/>
    <w:rsid w:val="006B1F44"/>
    <w:rsid w:val="006B45A0"/>
    <w:rsid w:val="006C1AD6"/>
    <w:rsid w:val="006C2426"/>
    <w:rsid w:val="006C466F"/>
    <w:rsid w:val="006C4DAB"/>
    <w:rsid w:val="006C6D5D"/>
    <w:rsid w:val="006D2DD8"/>
    <w:rsid w:val="006D4579"/>
    <w:rsid w:val="006D598F"/>
    <w:rsid w:val="006E271D"/>
    <w:rsid w:val="006E6C4C"/>
    <w:rsid w:val="006F0D56"/>
    <w:rsid w:val="006F4251"/>
    <w:rsid w:val="006F4343"/>
    <w:rsid w:val="006F6377"/>
    <w:rsid w:val="006F6D88"/>
    <w:rsid w:val="00703B77"/>
    <w:rsid w:val="0070536C"/>
    <w:rsid w:val="0071021D"/>
    <w:rsid w:val="007108C0"/>
    <w:rsid w:val="0071092E"/>
    <w:rsid w:val="00711BA2"/>
    <w:rsid w:val="007156A0"/>
    <w:rsid w:val="007165F4"/>
    <w:rsid w:val="007221F1"/>
    <w:rsid w:val="007246A6"/>
    <w:rsid w:val="0072480A"/>
    <w:rsid w:val="007260F3"/>
    <w:rsid w:val="00733225"/>
    <w:rsid w:val="00736D9C"/>
    <w:rsid w:val="0073788C"/>
    <w:rsid w:val="0074048C"/>
    <w:rsid w:val="00745B49"/>
    <w:rsid w:val="00750B0C"/>
    <w:rsid w:val="00752E4D"/>
    <w:rsid w:val="00756818"/>
    <w:rsid w:val="007579C9"/>
    <w:rsid w:val="00760C0C"/>
    <w:rsid w:val="00761F4A"/>
    <w:rsid w:val="00764529"/>
    <w:rsid w:val="007809C6"/>
    <w:rsid w:val="00783715"/>
    <w:rsid w:val="00783BB4"/>
    <w:rsid w:val="00783EF1"/>
    <w:rsid w:val="0078685F"/>
    <w:rsid w:val="00794D34"/>
    <w:rsid w:val="007A0967"/>
    <w:rsid w:val="007A0FE9"/>
    <w:rsid w:val="007A2403"/>
    <w:rsid w:val="007A6A87"/>
    <w:rsid w:val="007A742E"/>
    <w:rsid w:val="007B1915"/>
    <w:rsid w:val="007B1F72"/>
    <w:rsid w:val="007B2C83"/>
    <w:rsid w:val="007B6906"/>
    <w:rsid w:val="007C1F3B"/>
    <w:rsid w:val="007C1FB8"/>
    <w:rsid w:val="007C44AA"/>
    <w:rsid w:val="007C5AE8"/>
    <w:rsid w:val="007C6A5E"/>
    <w:rsid w:val="007D0DD9"/>
    <w:rsid w:val="007D3B76"/>
    <w:rsid w:val="007D3E3D"/>
    <w:rsid w:val="007E17EB"/>
    <w:rsid w:val="007E3196"/>
    <w:rsid w:val="007E583D"/>
    <w:rsid w:val="0080066A"/>
    <w:rsid w:val="00810F7B"/>
    <w:rsid w:val="008125AF"/>
    <w:rsid w:val="008134CC"/>
    <w:rsid w:val="00822CBA"/>
    <w:rsid w:val="00830097"/>
    <w:rsid w:val="00830758"/>
    <w:rsid w:val="00831BA3"/>
    <w:rsid w:val="008451C1"/>
    <w:rsid w:val="00846AD1"/>
    <w:rsid w:val="0085081E"/>
    <w:rsid w:val="008519A6"/>
    <w:rsid w:val="008527BE"/>
    <w:rsid w:val="00852E2D"/>
    <w:rsid w:val="00854442"/>
    <w:rsid w:val="00855680"/>
    <w:rsid w:val="008611F2"/>
    <w:rsid w:val="00862844"/>
    <w:rsid w:val="00863259"/>
    <w:rsid w:val="00867123"/>
    <w:rsid w:val="00874331"/>
    <w:rsid w:val="00874757"/>
    <w:rsid w:val="00877187"/>
    <w:rsid w:val="00880F6C"/>
    <w:rsid w:val="00883400"/>
    <w:rsid w:val="00885C96"/>
    <w:rsid w:val="008863A7"/>
    <w:rsid w:val="008863E7"/>
    <w:rsid w:val="0089043A"/>
    <w:rsid w:val="00890A8D"/>
    <w:rsid w:val="008921B2"/>
    <w:rsid w:val="00896939"/>
    <w:rsid w:val="0089785F"/>
    <w:rsid w:val="008A0B9A"/>
    <w:rsid w:val="008A16A7"/>
    <w:rsid w:val="008A205C"/>
    <w:rsid w:val="008A7861"/>
    <w:rsid w:val="008B0DE0"/>
    <w:rsid w:val="008B2ABA"/>
    <w:rsid w:val="008B2FEA"/>
    <w:rsid w:val="008B37D2"/>
    <w:rsid w:val="008B4C60"/>
    <w:rsid w:val="008B4D9E"/>
    <w:rsid w:val="008B4FE3"/>
    <w:rsid w:val="008B6506"/>
    <w:rsid w:val="008C010E"/>
    <w:rsid w:val="008C71C9"/>
    <w:rsid w:val="008D0E9D"/>
    <w:rsid w:val="008D2754"/>
    <w:rsid w:val="008D46DF"/>
    <w:rsid w:val="008D50BA"/>
    <w:rsid w:val="008E007C"/>
    <w:rsid w:val="008E170D"/>
    <w:rsid w:val="008E24A9"/>
    <w:rsid w:val="008E550A"/>
    <w:rsid w:val="008E7053"/>
    <w:rsid w:val="008F1A04"/>
    <w:rsid w:val="008F3CF8"/>
    <w:rsid w:val="00903F5F"/>
    <w:rsid w:val="009051FD"/>
    <w:rsid w:val="00905B0C"/>
    <w:rsid w:val="00910F95"/>
    <w:rsid w:val="00911374"/>
    <w:rsid w:val="00912E22"/>
    <w:rsid w:val="0091329F"/>
    <w:rsid w:val="00913D60"/>
    <w:rsid w:val="00914C8E"/>
    <w:rsid w:val="00920352"/>
    <w:rsid w:val="00923492"/>
    <w:rsid w:val="009263F8"/>
    <w:rsid w:val="00927D1D"/>
    <w:rsid w:val="00927EEC"/>
    <w:rsid w:val="0093351D"/>
    <w:rsid w:val="00937D80"/>
    <w:rsid w:val="009400AA"/>
    <w:rsid w:val="009442D2"/>
    <w:rsid w:val="00946870"/>
    <w:rsid w:val="00956558"/>
    <w:rsid w:val="00957A5B"/>
    <w:rsid w:val="0096082B"/>
    <w:rsid w:val="00962403"/>
    <w:rsid w:val="00962A27"/>
    <w:rsid w:val="009750E1"/>
    <w:rsid w:val="009767A0"/>
    <w:rsid w:val="00981C9C"/>
    <w:rsid w:val="009857A8"/>
    <w:rsid w:val="00987A1B"/>
    <w:rsid w:val="009930BD"/>
    <w:rsid w:val="00993DF3"/>
    <w:rsid w:val="00995871"/>
    <w:rsid w:val="009A2A14"/>
    <w:rsid w:val="009A39F3"/>
    <w:rsid w:val="009A5F94"/>
    <w:rsid w:val="009A7A1B"/>
    <w:rsid w:val="009B1157"/>
    <w:rsid w:val="009B2765"/>
    <w:rsid w:val="009B30DB"/>
    <w:rsid w:val="009B4339"/>
    <w:rsid w:val="009B6EB1"/>
    <w:rsid w:val="009B7420"/>
    <w:rsid w:val="009B76A7"/>
    <w:rsid w:val="009C22FA"/>
    <w:rsid w:val="009C757A"/>
    <w:rsid w:val="009D39F5"/>
    <w:rsid w:val="009D5688"/>
    <w:rsid w:val="009D6F91"/>
    <w:rsid w:val="009E3968"/>
    <w:rsid w:val="009F111E"/>
    <w:rsid w:val="009F6F18"/>
    <w:rsid w:val="00A021C3"/>
    <w:rsid w:val="00A0243D"/>
    <w:rsid w:val="00A035C1"/>
    <w:rsid w:val="00A04070"/>
    <w:rsid w:val="00A052D9"/>
    <w:rsid w:val="00A05634"/>
    <w:rsid w:val="00A079A4"/>
    <w:rsid w:val="00A1488B"/>
    <w:rsid w:val="00A21324"/>
    <w:rsid w:val="00A259D9"/>
    <w:rsid w:val="00A33A1A"/>
    <w:rsid w:val="00A36994"/>
    <w:rsid w:val="00A373BD"/>
    <w:rsid w:val="00A46FC2"/>
    <w:rsid w:val="00A47610"/>
    <w:rsid w:val="00A53EE4"/>
    <w:rsid w:val="00A55B59"/>
    <w:rsid w:val="00A56BED"/>
    <w:rsid w:val="00A56F1C"/>
    <w:rsid w:val="00A61DC2"/>
    <w:rsid w:val="00A66E2E"/>
    <w:rsid w:val="00A7122A"/>
    <w:rsid w:val="00A7620B"/>
    <w:rsid w:val="00A77EEC"/>
    <w:rsid w:val="00A90800"/>
    <w:rsid w:val="00A97BD5"/>
    <w:rsid w:val="00AA0B53"/>
    <w:rsid w:val="00AA1DF8"/>
    <w:rsid w:val="00AA56F1"/>
    <w:rsid w:val="00AB22B1"/>
    <w:rsid w:val="00AC0150"/>
    <w:rsid w:val="00AC3729"/>
    <w:rsid w:val="00AC4F20"/>
    <w:rsid w:val="00AC7425"/>
    <w:rsid w:val="00AD2916"/>
    <w:rsid w:val="00AD4499"/>
    <w:rsid w:val="00AD6C4B"/>
    <w:rsid w:val="00AD79B2"/>
    <w:rsid w:val="00AE13B0"/>
    <w:rsid w:val="00AE3897"/>
    <w:rsid w:val="00B0227C"/>
    <w:rsid w:val="00B0586C"/>
    <w:rsid w:val="00B06F0C"/>
    <w:rsid w:val="00B1077C"/>
    <w:rsid w:val="00B2014A"/>
    <w:rsid w:val="00B21155"/>
    <w:rsid w:val="00B2238F"/>
    <w:rsid w:val="00B232BD"/>
    <w:rsid w:val="00B24A03"/>
    <w:rsid w:val="00B41C89"/>
    <w:rsid w:val="00B42640"/>
    <w:rsid w:val="00B42848"/>
    <w:rsid w:val="00B4471F"/>
    <w:rsid w:val="00B55224"/>
    <w:rsid w:val="00B57564"/>
    <w:rsid w:val="00B57953"/>
    <w:rsid w:val="00B60D2D"/>
    <w:rsid w:val="00B63D9F"/>
    <w:rsid w:val="00B647D4"/>
    <w:rsid w:val="00B66D1D"/>
    <w:rsid w:val="00B705B0"/>
    <w:rsid w:val="00B7673E"/>
    <w:rsid w:val="00B77036"/>
    <w:rsid w:val="00B849EB"/>
    <w:rsid w:val="00B8565D"/>
    <w:rsid w:val="00B9125B"/>
    <w:rsid w:val="00B92FBF"/>
    <w:rsid w:val="00B94EE7"/>
    <w:rsid w:val="00B956D1"/>
    <w:rsid w:val="00B96065"/>
    <w:rsid w:val="00BA1FED"/>
    <w:rsid w:val="00BB5E20"/>
    <w:rsid w:val="00BB63A8"/>
    <w:rsid w:val="00BC2C6F"/>
    <w:rsid w:val="00BD35E3"/>
    <w:rsid w:val="00BD3E6A"/>
    <w:rsid w:val="00BE1B14"/>
    <w:rsid w:val="00BE2187"/>
    <w:rsid w:val="00BE26A2"/>
    <w:rsid w:val="00BF21E6"/>
    <w:rsid w:val="00BF21EB"/>
    <w:rsid w:val="00BF29F4"/>
    <w:rsid w:val="00BF7368"/>
    <w:rsid w:val="00C01D87"/>
    <w:rsid w:val="00C028C4"/>
    <w:rsid w:val="00C0505F"/>
    <w:rsid w:val="00C06607"/>
    <w:rsid w:val="00C23308"/>
    <w:rsid w:val="00C23CC8"/>
    <w:rsid w:val="00C325A6"/>
    <w:rsid w:val="00C37E5D"/>
    <w:rsid w:val="00C43DE4"/>
    <w:rsid w:val="00C50DAF"/>
    <w:rsid w:val="00C57848"/>
    <w:rsid w:val="00C60D53"/>
    <w:rsid w:val="00C6258E"/>
    <w:rsid w:val="00C639D4"/>
    <w:rsid w:val="00C67813"/>
    <w:rsid w:val="00C712F8"/>
    <w:rsid w:val="00C71C40"/>
    <w:rsid w:val="00C74E89"/>
    <w:rsid w:val="00C82F26"/>
    <w:rsid w:val="00C830B8"/>
    <w:rsid w:val="00C87CEE"/>
    <w:rsid w:val="00C91A68"/>
    <w:rsid w:val="00C95FEB"/>
    <w:rsid w:val="00C97147"/>
    <w:rsid w:val="00CA04ED"/>
    <w:rsid w:val="00CA0773"/>
    <w:rsid w:val="00CA5A44"/>
    <w:rsid w:val="00CB2D90"/>
    <w:rsid w:val="00CB2F58"/>
    <w:rsid w:val="00CB3DF0"/>
    <w:rsid w:val="00CC1DA1"/>
    <w:rsid w:val="00CC2363"/>
    <w:rsid w:val="00CC607D"/>
    <w:rsid w:val="00CD2736"/>
    <w:rsid w:val="00CE105C"/>
    <w:rsid w:val="00CE16B6"/>
    <w:rsid w:val="00CE4773"/>
    <w:rsid w:val="00CE507B"/>
    <w:rsid w:val="00CE5E29"/>
    <w:rsid w:val="00CE78A6"/>
    <w:rsid w:val="00CF25F9"/>
    <w:rsid w:val="00CF6FC4"/>
    <w:rsid w:val="00D008AB"/>
    <w:rsid w:val="00D02D1A"/>
    <w:rsid w:val="00D05183"/>
    <w:rsid w:val="00D05CCD"/>
    <w:rsid w:val="00D23172"/>
    <w:rsid w:val="00D2666E"/>
    <w:rsid w:val="00D27674"/>
    <w:rsid w:val="00D30C0C"/>
    <w:rsid w:val="00D314FA"/>
    <w:rsid w:val="00D32CC6"/>
    <w:rsid w:val="00D34DC9"/>
    <w:rsid w:val="00D43C67"/>
    <w:rsid w:val="00D47D45"/>
    <w:rsid w:val="00D51209"/>
    <w:rsid w:val="00D5294B"/>
    <w:rsid w:val="00D63A5D"/>
    <w:rsid w:val="00D63D21"/>
    <w:rsid w:val="00D649E2"/>
    <w:rsid w:val="00D64CDC"/>
    <w:rsid w:val="00D719CF"/>
    <w:rsid w:val="00D727E3"/>
    <w:rsid w:val="00D73EDC"/>
    <w:rsid w:val="00D75AAC"/>
    <w:rsid w:val="00D8085D"/>
    <w:rsid w:val="00D809FD"/>
    <w:rsid w:val="00D8181F"/>
    <w:rsid w:val="00D81CAF"/>
    <w:rsid w:val="00D8247D"/>
    <w:rsid w:val="00D830D6"/>
    <w:rsid w:val="00D85816"/>
    <w:rsid w:val="00D91B58"/>
    <w:rsid w:val="00D92D97"/>
    <w:rsid w:val="00D949A7"/>
    <w:rsid w:val="00DA01B1"/>
    <w:rsid w:val="00DA1401"/>
    <w:rsid w:val="00DB1018"/>
    <w:rsid w:val="00DB2D28"/>
    <w:rsid w:val="00DB349F"/>
    <w:rsid w:val="00DB50FC"/>
    <w:rsid w:val="00DB61E3"/>
    <w:rsid w:val="00DB6704"/>
    <w:rsid w:val="00DB71ED"/>
    <w:rsid w:val="00DC074E"/>
    <w:rsid w:val="00DC19AE"/>
    <w:rsid w:val="00DC21A8"/>
    <w:rsid w:val="00DC4C6E"/>
    <w:rsid w:val="00DC67A3"/>
    <w:rsid w:val="00DC6961"/>
    <w:rsid w:val="00DD12AD"/>
    <w:rsid w:val="00DD1D18"/>
    <w:rsid w:val="00DE08C8"/>
    <w:rsid w:val="00DE3394"/>
    <w:rsid w:val="00DF0BDE"/>
    <w:rsid w:val="00DF66F9"/>
    <w:rsid w:val="00DF7A6E"/>
    <w:rsid w:val="00DF7B93"/>
    <w:rsid w:val="00E02EDB"/>
    <w:rsid w:val="00E075A9"/>
    <w:rsid w:val="00E100F3"/>
    <w:rsid w:val="00E11004"/>
    <w:rsid w:val="00E15699"/>
    <w:rsid w:val="00E163A2"/>
    <w:rsid w:val="00E176B8"/>
    <w:rsid w:val="00E2183C"/>
    <w:rsid w:val="00E229D4"/>
    <w:rsid w:val="00E2701D"/>
    <w:rsid w:val="00E27CFD"/>
    <w:rsid w:val="00E344AE"/>
    <w:rsid w:val="00E37124"/>
    <w:rsid w:val="00E372AA"/>
    <w:rsid w:val="00E37B86"/>
    <w:rsid w:val="00E45AA9"/>
    <w:rsid w:val="00E54D78"/>
    <w:rsid w:val="00E57823"/>
    <w:rsid w:val="00E61201"/>
    <w:rsid w:val="00E73324"/>
    <w:rsid w:val="00E7340F"/>
    <w:rsid w:val="00E743F6"/>
    <w:rsid w:val="00E74B4C"/>
    <w:rsid w:val="00E75B58"/>
    <w:rsid w:val="00E84A7C"/>
    <w:rsid w:val="00E8694D"/>
    <w:rsid w:val="00E87B58"/>
    <w:rsid w:val="00E90495"/>
    <w:rsid w:val="00E92A1F"/>
    <w:rsid w:val="00E956B8"/>
    <w:rsid w:val="00E96BD9"/>
    <w:rsid w:val="00E970DB"/>
    <w:rsid w:val="00EA0DA6"/>
    <w:rsid w:val="00EA646B"/>
    <w:rsid w:val="00EA7E7B"/>
    <w:rsid w:val="00EB5B93"/>
    <w:rsid w:val="00EB79C8"/>
    <w:rsid w:val="00EB7F0F"/>
    <w:rsid w:val="00EC2BED"/>
    <w:rsid w:val="00EC5C26"/>
    <w:rsid w:val="00EC6BB8"/>
    <w:rsid w:val="00EC7863"/>
    <w:rsid w:val="00ED07F3"/>
    <w:rsid w:val="00ED249E"/>
    <w:rsid w:val="00ED2D78"/>
    <w:rsid w:val="00ED5616"/>
    <w:rsid w:val="00EF1269"/>
    <w:rsid w:val="00EF2702"/>
    <w:rsid w:val="00EF36D9"/>
    <w:rsid w:val="00EF63B9"/>
    <w:rsid w:val="00F00C06"/>
    <w:rsid w:val="00F00C07"/>
    <w:rsid w:val="00F05AED"/>
    <w:rsid w:val="00F139E5"/>
    <w:rsid w:val="00F17A87"/>
    <w:rsid w:val="00F200FA"/>
    <w:rsid w:val="00F26E59"/>
    <w:rsid w:val="00F40321"/>
    <w:rsid w:val="00F42097"/>
    <w:rsid w:val="00F5258E"/>
    <w:rsid w:val="00F53F65"/>
    <w:rsid w:val="00F5476F"/>
    <w:rsid w:val="00F57548"/>
    <w:rsid w:val="00F608CF"/>
    <w:rsid w:val="00F626AD"/>
    <w:rsid w:val="00F63DA0"/>
    <w:rsid w:val="00F654B6"/>
    <w:rsid w:val="00F72E36"/>
    <w:rsid w:val="00F766D7"/>
    <w:rsid w:val="00F81B02"/>
    <w:rsid w:val="00F83480"/>
    <w:rsid w:val="00F84150"/>
    <w:rsid w:val="00F842D3"/>
    <w:rsid w:val="00F8684A"/>
    <w:rsid w:val="00F91A50"/>
    <w:rsid w:val="00F9248C"/>
    <w:rsid w:val="00F92900"/>
    <w:rsid w:val="00F95E8B"/>
    <w:rsid w:val="00F964F0"/>
    <w:rsid w:val="00F967F9"/>
    <w:rsid w:val="00FA7D1A"/>
    <w:rsid w:val="00FB00C1"/>
    <w:rsid w:val="00FB4872"/>
    <w:rsid w:val="00FB51ED"/>
    <w:rsid w:val="00FB73BA"/>
    <w:rsid w:val="00FC1713"/>
    <w:rsid w:val="00FC2829"/>
    <w:rsid w:val="00FC5E7E"/>
    <w:rsid w:val="00FD28ED"/>
    <w:rsid w:val="00FD2FAA"/>
    <w:rsid w:val="00FD5FCC"/>
    <w:rsid w:val="00FE0B46"/>
    <w:rsid w:val="00FE0B4E"/>
    <w:rsid w:val="00FE3289"/>
    <w:rsid w:val="00FE54A2"/>
    <w:rsid w:val="00FE5B3E"/>
    <w:rsid w:val="00FE6A57"/>
    <w:rsid w:val="00FE6BBC"/>
    <w:rsid w:val="00FE71B2"/>
    <w:rsid w:val="00FF2944"/>
    <w:rsid w:val="00FF4867"/>
    <w:rsid w:val="00FF6A6D"/>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ecimalSymbol w:val="."/>
  <w:listSeparator w:val=","/>
  <w14:docId w14:val="7C4CB27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8303">
      <w:bodyDiv w:val="1"/>
      <w:marLeft w:val="0"/>
      <w:marRight w:val="0"/>
      <w:marTop w:val="0"/>
      <w:marBottom w:val="0"/>
      <w:divBdr>
        <w:top w:val="none" w:sz="0" w:space="0" w:color="auto"/>
        <w:left w:val="none" w:sz="0" w:space="0" w:color="auto"/>
        <w:bottom w:val="none" w:sz="0" w:space="0" w:color="auto"/>
        <w:right w:val="none" w:sz="0" w:space="0" w:color="auto"/>
      </w:divBdr>
    </w:div>
    <w:div w:id="122560718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7</Pages>
  <Words>891</Words>
  <Characters>5082</Characters>
  <Application>Microsoft Macintosh Word</Application>
  <DocSecurity>0</DocSecurity>
  <Lines>42</Lines>
  <Paragraphs>11</Paragraphs>
  <ScaleCrop>false</ScaleCrop>
  <HeadingPairs>
    <vt:vector size="4" baseType="variant">
      <vt:variant>
        <vt:lpstr>标题</vt:lpstr>
      </vt:variant>
      <vt:variant>
        <vt:i4>1</vt:i4>
      </vt:variant>
      <vt:variant>
        <vt:lpstr>Headings</vt:lpstr>
      </vt:variant>
      <vt:variant>
        <vt:i4>18</vt:i4>
      </vt:variant>
    </vt:vector>
  </HeadingPairs>
  <TitlesOfParts>
    <vt:vector size="19" baseType="lpstr">
      <vt:lpstr/>
      <vt:lpstr>Materials and Methods</vt:lpstr>
      <vt:lpstr>Characterization of the GO Scaffolds</vt:lpstr>
      <vt:lpstr>Surface characteristics of the scaffolds were recorded using an FTIR spectrome</vt:lpstr>
      <vt:lpstr/>
      <vt:lpstr>Hemocompatibility Tests of the Scaffolds in vitro</vt:lpstr>
      <vt:lpstr>The hemocompatibility of the nanofibrous membranes was measured through a hem</vt:lpstr>
      <vt:lpstr/>
      <vt:lpstr>Loading Efficiency of NAC on the Scaffolds</vt:lpstr>
      <vt:lpstr>The loading efficiency of NAC on the fiber surface was calculated with the fol</vt:lpstr>
      <vt:lpstr>Drug loading efficiency %=,𝑎𝑐𝑡𝑢𝑎𝑙 𝑑𝑟𝑢𝑔 𝑙𝑜𝑎𝑑𝑖𝑛𝑔%-theoretical dru</vt:lpstr>
      <vt:lpstr>The actual drug loading was expressed as the mass fraction of the entrapped dr</vt:lpstr>
      <vt:lpstr>Actual loading efficiency %=,𝑚𝑎𝑠𝑠 𝑜𝑓 𝑙𝑜𝑎𝑑𝑒𝑑 𝑑𝑟𝑢𝑔-mass of particl</vt:lpstr>
      <vt:lpstr>The theoretical drug loading was the mass ratio of the drug used to the mixtur</vt:lpstr>
      <vt:lpstr>Theoretical loading efficiency %=,𝑚𝑎𝑠𝑠 𝑜𝑓 𝑑𝑟𝑢𝑔 𝑢𝑠𝑒𝑑-mass of ,gelat</vt:lpstr>
      <vt:lpstr/>
      <vt:lpstr>ROS Level Measurement of the NAC-loaded Scaffolds in vitro</vt:lpstr>
      <vt:lpstr>Reactive oxygen species assay kit (Solarbio, China) was used to monitor the in</vt:lpstr>
      <vt:lpstr/>
    </vt:vector>
  </TitlesOfParts>
  <LinksUpToDate>false</LinksUpToDate>
  <CharactersWithSpaces>5962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dc:creator>
  <cp:keywords/>
  <dc:description/>
  <cp:lastModifiedBy>Yu</cp:lastModifiedBy>
  <cp:revision>6</cp:revision>
  <dcterms:created xsi:type="dcterms:W3CDTF">2022-12-26T03:44:00Z</dcterms:created>
  <dcterms:modified xsi:type="dcterms:W3CDTF">2022-12-26T10:43:00Z</dcterms:modified>
</cp:coreProperties>
</file>