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383"/>
        <w:tblW w:w="9175" w:type="dxa"/>
        <w:tblLook w:val="04A0" w:firstRow="1" w:lastRow="0" w:firstColumn="1" w:lastColumn="0" w:noHBand="0" w:noVBand="1"/>
      </w:tblPr>
      <w:tblGrid>
        <w:gridCol w:w="5215"/>
        <w:gridCol w:w="3960"/>
      </w:tblGrid>
      <w:tr w:rsidR="00962438" w:rsidRPr="00BF0226" w14:paraId="2CA8D8E2" w14:textId="77777777" w:rsidTr="002F36A2">
        <w:trPr>
          <w:trHeight w:val="533"/>
        </w:trPr>
        <w:tc>
          <w:tcPr>
            <w:tcW w:w="5215" w:type="dxa"/>
            <w:vAlign w:val="center"/>
          </w:tcPr>
          <w:p w14:paraId="501DA2BA" w14:textId="25CE85AE" w:rsidR="00962438" w:rsidRPr="00BF0226" w:rsidRDefault="00962438" w:rsidP="00BF0226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right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0226">
              <w:rPr>
                <w:rFonts w:ascii="Times New Roman" w:hAnsi="Times New Roman"/>
                <w:b/>
                <w:bCs/>
                <w:sz w:val="24"/>
                <w:szCs w:val="24"/>
              </w:rPr>
              <w:t>Case</w:t>
            </w:r>
          </w:p>
        </w:tc>
        <w:tc>
          <w:tcPr>
            <w:tcW w:w="3960" w:type="dxa"/>
            <w:vAlign w:val="center"/>
          </w:tcPr>
          <w:p w14:paraId="1BF8A399" w14:textId="7C426118" w:rsidR="00962438" w:rsidRPr="00BF0226" w:rsidRDefault="00962438" w:rsidP="00BF0226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right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0226">
              <w:rPr>
                <w:rFonts w:ascii="Times New Roman" w:hAnsi="Times New Roman"/>
                <w:b/>
                <w:bCs/>
                <w:sz w:val="24"/>
                <w:szCs w:val="24"/>
              </w:rPr>
              <w:t>Answer Choices</w:t>
            </w:r>
          </w:p>
        </w:tc>
      </w:tr>
      <w:tr w:rsidR="00962438" w:rsidRPr="00BF0226" w14:paraId="3F63FD01" w14:textId="77777777" w:rsidTr="002F36A2">
        <w:trPr>
          <w:trHeight w:val="888"/>
        </w:trPr>
        <w:tc>
          <w:tcPr>
            <w:tcW w:w="5215" w:type="dxa"/>
            <w:vAlign w:val="center"/>
          </w:tcPr>
          <w:p w14:paraId="649527B2" w14:textId="6E9B08D9" w:rsidR="00962438" w:rsidRPr="00BF0226" w:rsidRDefault="00962438" w:rsidP="00E13395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right="720"/>
              <w:rPr>
                <w:rFonts w:ascii="Times New Roman" w:hAnsi="Times New Roman"/>
                <w:sz w:val="24"/>
                <w:szCs w:val="24"/>
              </w:rPr>
            </w:pPr>
            <w:r w:rsidRPr="00BF0226">
              <w:rPr>
                <w:rFonts w:ascii="Times New Roman" w:hAnsi="Times New Roman"/>
                <w:sz w:val="24"/>
                <w:szCs w:val="24"/>
              </w:rPr>
              <w:t xml:space="preserve">1. Patients should </w:t>
            </w:r>
            <w:r w:rsidRPr="00BF0226">
              <w:rPr>
                <w:rFonts w:ascii="Times New Roman" w:hAnsi="Times New Roman"/>
                <w:sz w:val="24"/>
                <w:szCs w:val="24"/>
              </w:rPr>
              <w:t>receive</w:t>
            </w:r>
            <w:r w:rsidRPr="00BF0226">
              <w:rPr>
                <w:rFonts w:ascii="Times New Roman" w:hAnsi="Times New Roman"/>
                <w:sz w:val="24"/>
                <w:szCs w:val="24"/>
              </w:rPr>
              <w:t xml:space="preserve"> pneumo</w:t>
            </w:r>
            <w:r w:rsidRPr="00BF0226">
              <w:rPr>
                <w:rFonts w:ascii="Times New Roman" w:hAnsi="Times New Roman"/>
                <w:sz w:val="24"/>
                <w:szCs w:val="24"/>
              </w:rPr>
              <w:t>coccal</w:t>
            </w:r>
            <w:r w:rsidRPr="00BF0226">
              <w:rPr>
                <w:rFonts w:ascii="Times New Roman" w:hAnsi="Times New Roman"/>
                <w:sz w:val="24"/>
                <w:szCs w:val="24"/>
              </w:rPr>
              <w:t xml:space="preserve"> vaccine</w:t>
            </w:r>
            <w:r w:rsidRPr="00BF0226">
              <w:rPr>
                <w:rFonts w:ascii="Times New Roman" w:hAnsi="Times New Roman"/>
                <w:sz w:val="24"/>
                <w:szCs w:val="24"/>
              </w:rPr>
              <w:t>s</w:t>
            </w:r>
            <w:r w:rsidRPr="00BF0226">
              <w:rPr>
                <w:rFonts w:ascii="Times New Roman" w:hAnsi="Times New Roman"/>
                <w:sz w:val="24"/>
                <w:szCs w:val="24"/>
              </w:rPr>
              <w:t xml:space="preserve"> every year?</w:t>
            </w:r>
          </w:p>
        </w:tc>
        <w:tc>
          <w:tcPr>
            <w:tcW w:w="3960" w:type="dxa"/>
            <w:vAlign w:val="center"/>
          </w:tcPr>
          <w:p w14:paraId="4920D073" w14:textId="77777777" w:rsidR="00962438" w:rsidRPr="00BF0226" w:rsidRDefault="00962438" w:rsidP="00E13395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720"/>
              <w:rPr>
                <w:rFonts w:ascii="Times New Roman" w:hAnsi="Times New Roman"/>
                <w:sz w:val="24"/>
                <w:szCs w:val="24"/>
              </w:rPr>
            </w:pPr>
            <w:r w:rsidRPr="00BF0226">
              <w:rPr>
                <w:rFonts w:ascii="Times New Roman" w:hAnsi="Times New Roman"/>
                <w:sz w:val="24"/>
                <w:szCs w:val="24"/>
              </w:rPr>
              <w:t>A) True</w:t>
            </w:r>
          </w:p>
          <w:p w14:paraId="0AE99E21" w14:textId="7EEB1D61" w:rsidR="00962438" w:rsidRPr="00BF0226" w:rsidRDefault="00962438" w:rsidP="00E13395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right="720"/>
              <w:rPr>
                <w:rFonts w:ascii="Times New Roman" w:hAnsi="Times New Roman"/>
                <w:sz w:val="24"/>
                <w:szCs w:val="24"/>
              </w:rPr>
            </w:pPr>
            <w:r w:rsidRPr="00BF0226">
              <w:rPr>
                <w:rFonts w:ascii="Times New Roman" w:hAnsi="Times New Roman"/>
                <w:sz w:val="24"/>
                <w:szCs w:val="24"/>
              </w:rPr>
              <w:t>B) False</w:t>
            </w:r>
          </w:p>
        </w:tc>
      </w:tr>
      <w:tr w:rsidR="00962438" w:rsidRPr="00BF0226" w14:paraId="74BC2DA2" w14:textId="77777777" w:rsidTr="002F36A2">
        <w:trPr>
          <w:trHeight w:val="1073"/>
        </w:trPr>
        <w:tc>
          <w:tcPr>
            <w:tcW w:w="5215" w:type="dxa"/>
            <w:vAlign w:val="center"/>
          </w:tcPr>
          <w:p w14:paraId="79EDDEDC" w14:textId="4104F5D6" w:rsidR="00962438" w:rsidRPr="00BF0226" w:rsidRDefault="00962438" w:rsidP="00E13395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right="720"/>
              <w:rPr>
                <w:rFonts w:ascii="Times New Roman" w:hAnsi="Times New Roman"/>
                <w:sz w:val="24"/>
                <w:szCs w:val="24"/>
              </w:rPr>
            </w:pPr>
            <w:r w:rsidRPr="00BF0226">
              <w:rPr>
                <w:rFonts w:ascii="Times New Roman" w:hAnsi="Times New Roman"/>
                <w:sz w:val="24"/>
                <w:szCs w:val="24"/>
              </w:rPr>
              <w:t>2. A 67-year-old healthy male who has never received pneumococcal vaccin</w:t>
            </w:r>
            <w:r w:rsidRPr="00BF0226">
              <w:rPr>
                <w:rFonts w:ascii="Times New Roman" w:hAnsi="Times New Roman"/>
                <w:sz w:val="24"/>
                <w:szCs w:val="24"/>
              </w:rPr>
              <w:t xml:space="preserve">ation </w:t>
            </w:r>
            <w:r w:rsidRPr="00BF0226">
              <w:rPr>
                <w:rFonts w:ascii="Times New Roman" w:hAnsi="Times New Roman"/>
                <w:sz w:val="24"/>
                <w:szCs w:val="24"/>
              </w:rPr>
              <w:t>should receive which of the following?</w:t>
            </w:r>
          </w:p>
        </w:tc>
        <w:tc>
          <w:tcPr>
            <w:tcW w:w="3960" w:type="dxa"/>
            <w:vAlign w:val="center"/>
          </w:tcPr>
          <w:p w14:paraId="358B9369" w14:textId="1CD302C8" w:rsidR="00962438" w:rsidRPr="00BF0226" w:rsidRDefault="00962438" w:rsidP="00E13395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720"/>
              <w:rPr>
                <w:rFonts w:ascii="Times New Roman" w:hAnsi="Times New Roman"/>
                <w:sz w:val="24"/>
                <w:szCs w:val="24"/>
              </w:rPr>
            </w:pPr>
            <w:r w:rsidRPr="00BF0226">
              <w:rPr>
                <w:rFonts w:ascii="Times New Roman" w:hAnsi="Times New Roman"/>
                <w:sz w:val="24"/>
                <w:szCs w:val="24"/>
              </w:rPr>
              <w:t>A) PCV13 or Prevnar 13®</w:t>
            </w:r>
          </w:p>
          <w:p w14:paraId="46A2F5CA" w14:textId="77777777" w:rsidR="00962438" w:rsidRPr="00BF0226" w:rsidRDefault="00962438" w:rsidP="00E13395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right="720"/>
              <w:rPr>
                <w:rFonts w:ascii="Times New Roman" w:hAnsi="Times New Roman"/>
                <w:sz w:val="24"/>
                <w:szCs w:val="24"/>
              </w:rPr>
            </w:pPr>
            <w:r w:rsidRPr="00BF0226">
              <w:rPr>
                <w:rFonts w:ascii="Times New Roman" w:hAnsi="Times New Roman"/>
                <w:sz w:val="24"/>
                <w:szCs w:val="24"/>
              </w:rPr>
              <w:t>B) PPSV23 or Pneumovax®</w:t>
            </w:r>
          </w:p>
        </w:tc>
      </w:tr>
      <w:tr w:rsidR="00962438" w:rsidRPr="00BF0226" w14:paraId="206058F5" w14:textId="77777777" w:rsidTr="002F36A2">
        <w:trPr>
          <w:trHeight w:val="1154"/>
        </w:trPr>
        <w:tc>
          <w:tcPr>
            <w:tcW w:w="5215" w:type="dxa"/>
            <w:vAlign w:val="center"/>
          </w:tcPr>
          <w:p w14:paraId="722F853A" w14:textId="7EEB7782" w:rsidR="00962438" w:rsidRPr="00BF0226" w:rsidRDefault="00962438" w:rsidP="00E13395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right="720"/>
              <w:rPr>
                <w:rFonts w:ascii="Times New Roman" w:hAnsi="Times New Roman"/>
                <w:sz w:val="24"/>
                <w:szCs w:val="24"/>
              </w:rPr>
            </w:pPr>
            <w:r w:rsidRPr="00BF0226">
              <w:rPr>
                <w:rFonts w:ascii="Times New Roman" w:hAnsi="Times New Roman"/>
                <w:sz w:val="24"/>
                <w:szCs w:val="24"/>
              </w:rPr>
              <w:t>3. A 61-year-old healthy male who has never received pneumococcal vaccin</w:t>
            </w:r>
            <w:r w:rsidRPr="00BF0226">
              <w:rPr>
                <w:rFonts w:ascii="Times New Roman" w:hAnsi="Times New Roman"/>
                <w:sz w:val="24"/>
                <w:szCs w:val="24"/>
              </w:rPr>
              <w:t xml:space="preserve">ation </w:t>
            </w:r>
            <w:r w:rsidRPr="00BF0226">
              <w:rPr>
                <w:rFonts w:ascii="Times New Roman" w:hAnsi="Times New Roman"/>
                <w:sz w:val="24"/>
                <w:szCs w:val="24"/>
              </w:rPr>
              <w:t>should receive which pneumococcal vaccine product?</w:t>
            </w:r>
          </w:p>
        </w:tc>
        <w:tc>
          <w:tcPr>
            <w:tcW w:w="3960" w:type="dxa"/>
            <w:vAlign w:val="center"/>
          </w:tcPr>
          <w:p w14:paraId="2416F922" w14:textId="77777777" w:rsidR="00962438" w:rsidRPr="00BF0226" w:rsidRDefault="00962438" w:rsidP="00E13395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720"/>
              <w:rPr>
                <w:rFonts w:ascii="Times New Roman" w:hAnsi="Times New Roman"/>
                <w:sz w:val="24"/>
                <w:szCs w:val="24"/>
              </w:rPr>
            </w:pPr>
            <w:r w:rsidRPr="00BF0226">
              <w:rPr>
                <w:rFonts w:ascii="Times New Roman" w:hAnsi="Times New Roman"/>
                <w:sz w:val="24"/>
                <w:szCs w:val="24"/>
              </w:rPr>
              <w:t xml:space="preserve">A) PCV13 or Prevnar 13® </w:t>
            </w:r>
            <w:r w:rsidRPr="00BF0226">
              <w:rPr>
                <w:rFonts w:ascii="Times New Roman" w:hAnsi="Times New Roman"/>
                <w:sz w:val="24"/>
                <w:szCs w:val="24"/>
              </w:rPr>
              <w:br/>
            </w:r>
            <w:r w:rsidRPr="00BF0226">
              <w:rPr>
                <w:rFonts w:ascii="Times New Roman" w:hAnsi="Times New Roman"/>
                <w:sz w:val="24"/>
                <w:szCs w:val="24"/>
              </w:rPr>
              <w:br/>
              <w:t>B) PPSV23 or Pneumovax®</w:t>
            </w:r>
          </w:p>
        </w:tc>
      </w:tr>
      <w:tr w:rsidR="00962438" w:rsidRPr="00BF0226" w14:paraId="7ACBD124" w14:textId="77777777" w:rsidTr="002F36A2">
        <w:trPr>
          <w:trHeight w:val="1973"/>
        </w:trPr>
        <w:tc>
          <w:tcPr>
            <w:tcW w:w="5215" w:type="dxa"/>
            <w:vAlign w:val="center"/>
          </w:tcPr>
          <w:p w14:paraId="2B416D0C" w14:textId="77777777" w:rsidR="00962438" w:rsidRPr="00BF0226" w:rsidRDefault="00962438" w:rsidP="00E13395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right="720"/>
              <w:rPr>
                <w:rFonts w:ascii="Times New Roman" w:hAnsi="Times New Roman"/>
                <w:sz w:val="24"/>
                <w:szCs w:val="24"/>
              </w:rPr>
            </w:pPr>
            <w:r w:rsidRPr="00BF0226">
              <w:rPr>
                <w:rFonts w:ascii="Times New Roman" w:hAnsi="Times New Roman"/>
                <w:sz w:val="24"/>
                <w:szCs w:val="24"/>
              </w:rPr>
              <w:t>4. A 68-year-old healthy male who received PCV13 or Prevnar 13® at age 65 and PPSV23 or Pneumovax® at age 64 should receive which pneumococcal vaccine product today?</w:t>
            </w:r>
          </w:p>
        </w:tc>
        <w:tc>
          <w:tcPr>
            <w:tcW w:w="3960" w:type="dxa"/>
            <w:vAlign w:val="center"/>
          </w:tcPr>
          <w:p w14:paraId="08012820" w14:textId="3C03C131" w:rsidR="00962438" w:rsidRPr="00BF0226" w:rsidRDefault="00962438" w:rsidP="00E13395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720"/>
              <w:rPr>
                <w:rFonts w:ascii="Times New Roman" w:hAnsi="Times New Roman"/>
                <w:sz w:val="24"/>
                <w:szCs w:val="24"/>
              </w:rPr>
            </w:pPr>
            <w:r w:rsidRPr="00BF0226">
              <w:rPr>
                <w:rFonts w:ascii="Times New Roman" w:hAnsi="Times New Roman"/>
                <w:sz w:val="24"/>
                <w:szCs w:val="24"/>
              </w:rPr>
              <w:t>A) PCV13 or Prevnar 13®</w:t>
            </w:r>
          </w:p>
          <w:p w14:paraId="2F6D0108" w14:textId="77173935" w:rsidR="00962438" w:rsidRPr="00BF0226" w:rsidRDefault="00962438" w:rsidP="00E13395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720"/>
              <w:rPr>
                <w:rFonts w:ascii="Times New Roman" w:hAnsi="Times New Roman"/>
                <w:sz w:val="24"/>
                <w:szCs w:val="24"/>
              </w:rPr>
            </w:pPr>
            <w:r w:rsidRPr="00BF0226">
              <w:rPr>
                <w:rFonts w:ascii="Times New Roman" w:hAnsi="Times New Roman"/>
                <w:sz w:val="24"/>
                <w:szCs w:val="24"/>
              </w:rPr>
              <w:t>B) PPSV23 or Pneumovax®</w:t>
            </w:r>
          </w:p>
          <w:p w14:paraId="03CD6C99" w14:textId="50FAA03D" w:rsidR="00962438" w:rsidRPr="00BF0226" w:rsidRDefault="00962438" w:rsidP="00E13395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left="340" w:right="720" w:hanging="340"/>
              <w:rPr>
                <w:rFonts w:ascii="Times New Roman" w:hAnsi="Times New Roman"/>
                <w:sz w:val="24"/>
                <w:szCs w:val="24"/>
              </w:rPr>
            </w:pPr>
            <w:r w:rsidRPr="00BF0226">
              <w:rPr>
                <w:rFonts w:ascii="Times New Roman" w:hAnsi="Times New Roman"/>
                <w:sz w:val="24"/>
                <w:szCs w:val="24"/>
              </w:rPr>
              <w:t>C) None, he is not yet due for pneumococcal vaccination</w:t>
            </w:r>
          </w:p>
        </w:tc>
      </w:tr>
      <w:tr w:rsidR="00962438" w:rsidRPr="00BF0226" w14:paraId="2073079E" w14:textId="77777777" w:rsidTr="002F36A2">
        <w:trPr>
          <w:trHeight w:val="1797"/>
        </w:trPr>
        <w:tc>
          <w:tcPr>
            <w:tcW w:w="5215" w:type="dxa"/>
            <w:vAlign w:val="center"/>
          </w:tcPr>
          <w:p w14:paraId="78234EAE" w14:textId="77777777" w:rsidR="00962438" w:rsidRPr="00BF0226" w:rsidRDefault="00962438" w:rsidP="00E13395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right="720"/>
              <w:rPr>
                <w:rFonts w:ascii="Times New Roman" w:hAnsi="Times New Roman"/>
                <w:sz w:val="24"/>
                <w:szCs w:val="24"/>
              </w:rPr>
            </w:pPr>
            <w:r w:rsidRPr="00BF0226">
              <w:rPr>
                <w:rFonts w:ascii="Times New Roman" w:hAnsi="Times New Roman"/>
                <w:sz w:val="24"/>
                <w:szCs w:val="24"/>
              </w:rPr>
              <w:t>5. A 65-year-old healthy male who received PCV13 or Prevnar 13® at age 61 and PPSV23 or Pneumovax® at age 62 should receive which pneumococcal vaccine product today?</w:t>
            </w:r>
          </w:p>
        </w:tc>
        <w:tc>
          <w:tcPr>
            <w:tcW w:w="3960" w:type="dxa"/>
            <w:vAlign w:val="center"/>
          </w:tcPr>
          <w:p w14:paraId="7D8E6C1B" w14:textId="39E212E9" w:rsidR="00962438" w:rsidRPr="00BF0226" w:rsidRDefault="00962438" w:rsidP="00E13395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720"/>
              <w:rPr>
                <w:rFonts w:ascii="Times New Roman" w:hAnsi="Times New Roman"/>
                <w:sz w:val="24"/>
                <w:szCs w:val="24"/>
              </w:rPr>
            </w:pPr>
            <w:r w:rsidRPr="00BF0226">
              <w:rPr>
                <w:rFonts w:ascii="Times New Roman" w:hAnsi="Times New Roman"/>
                <w:sz w:val="24"/>
                <w:szCs w:val="24"/>
              </w:rPr>
              <w:t>A) PCV13 or Prevnar 13®</w:t>
            </w:r>
          </w:p>
          <w:p w14:paraId="5BD65499" w14:textId="30FC4AD0" w:rsidR="00962438" w:rsidRPr="00BF0226" w:rsidRDefault="00962438" w:rsidP="00E13395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720"/>
              <w:rPr>
                <w:rFonts w:ascii="Times New Roman" w:hAnsi="Times New Roman"/>
                <w:sz w:val="24"/>
                <w:szCs w:val="24"/>
              </w:rPr>
            </w:pPr>
            <w:r w:rsidRPr="00BF0226">
              <w:rPr>
                <w:rFonts w:ascii="Times New Roman" w:hAnsi="Times New Roman"/>
                <w:sz w:val="24"/>
                <w:szCs w:val="24"/>
              </w:rPr>
              <w:t>B) PPSV23 or Pneumovax®</w:t>
            </w:r>
          </w:p>
          <w:p w14:paraId="4BB2ABBB" w14:textId="7C764D22" w:rsidR="00962438" w:rsidRPr="00BF0226" w:rsidRDefault="00962438" w:rsidP="00E13395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left="340" w:right="720" w:hanging="340"/>
              <w:rPr>
                <w:rFonts w:ascii="Times New Roman" w:hAnsi="Times New Roman"/>
                <w:sz w:val="24"/>
                <w:szCs w:val="24"/>
              </w:rPr>
            </w:pPr>
            <w:r w:rsidRPr="00BF0226">
              <w:rPr>
                <w:rFonts w:ascii="Times New Roman" w:hAnsi="Times New Roman"/>
                <w:sz w:val="24"/>
                <w:szCs w:val="24"/>
              </w:rPr>
              <w:t>C) None, he is not yet due for pneumococcal vaccination</w:t>
            </w:r>
          </w:p>
        </w:tc>
      </w:tr>
    </w:tbl>
    <w:p w14:paraId="4641F766" w14:textId="0D01D769" w:rsidR="00916E87" w:rsidRPr="00665FC5" w:rsidRDefault="00B43891" w:rsidP="00962438">
      <w:pPr>
        <w:pStyle w:val="FreeForm"/>
        <w:spacing w:after="0"/>
        <w:ind w:right="720"/>
        <w:rPr>
          <w:rFonts w:ascii="Times New Roman" w:hAnsi="Times New Roman"/>
          <w:b/>
          <w:bCs/>
          <w:sz w:val="24"/>
          <w:szCs w:val="24"/>
        </w:rPr>
      </w:pPr>
      <w:r w:rsidRPr="00665FC5">
        <w:rPr>
          <w:rFonts w:ascii="Times New Roman" w:hAnsi="Times New Roman"/>
          <w:b/>
          <w:bCs/>
          <w:sz w:val="24"/>
          <w:szCs w:val="24"/>
        </w:rPr>
        <w:t xml:space="preserve">Supplement 1: Pneumococcal Vaccine </w:t>
      </w:r>
      <w:r w:rsidR="00962438" w:rsidRPr="00665FC5">
        <w:rPr>
          <w:rFonts w:ascii="Times New Roman" w:hAnsi="Times New Roman"/>
          <w:b/>
          <w:bCs/>
          <w:sz w:val="24"/>
          <w:szCs w:val="24"/>
        </w:rPr>
        <w:t>c</w:t>
      </w:r>
      <w:r w:rsidR="003164B9" w:rsidRPr="00665FC5">
        <w:rPr>
          <w:rFonts w:ascii="Times New Roman" w:hAnsi="Times New Roman"/>
          <w:b/>
          <w:bCs/>
          <w:sz w:val="24"/>
          <w:szCs w:val="24"/>
        </w:rPr>
        <w:t xml:space="preserve">ases </w:t>
      </w:r>
      <w:r w:rsidR="00962438" w:rsidRPr="00665FC5">
        <w:rPr>
          <w:rFonts w:ascii="Times New Roman" w:hAnsi="Times New Roman"/>
          <w:b/>
          <w:bCs/>
          <w:sz w:val="24"/>
          <w:szCs w:val="24"/>
        </w:rPr>
        <w:t xml:space="preserve">administered to </w:t>
      </w:r>
      <w:r w:rsidRPr="00665FC5">
        <w:rPr>
          <w:rFonts w:ascii="Times New Roman" w:hAnsi="Times New Roman"/>
          <w:b/>
          <w:bCs/>
          <w:sz w:val="24"/>
          <w:szCs w:val="24"/>
        </w:rPr>
        <w:t>nurs</w:t>
      </w:r>
      <w:r w:rsidR="00962438" w:rsidRPr="00665FC5">
        <w:rPr>
          <w:rFonts w:ascii="Times New Roman" w:hAnsi="Times New Roman"/>
          <w:b/>
          <w:bCs/>
          <w:sz w:val="24"/>
          <w:szCs w:val="24"/>
        </w:rPr>
        <w:t>ing staff</w:t>
      </w:r>
    </w:p>
    <w:sectPr w:rsidR="00916E87" w:rsidRPr="00665FC5" w:rsidSect="00BF0226">
      <w:headerReference w:type="default" r:id="rId7"/>
      <w:footerReference w:type="default" r:id="rId8"/>
      <w:pgSz w:w="12240" w:h="15840"/>
      <w:pgMar w:top="1800" w:right="1440" w:bottom="2000" w:left="1440" w:header="1440" w:footer="10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80BB4" w14:textId="77777777" w:rsidR="00410ABA" w:rsidRDefault="00410ABA">
      <w:r>
        <w:separator/>
      </w:r>
    </w:p>
  </w:endnote>
  <w:endnote w:type="continuationSeparator" w:id="0">
    <w:p w14:paraId="70CD480E" w14:textId="77777777" w:rsidR="00410ABA" w:rsidRDefault="00410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2D04" w14:textId="77777777" w:rsidR="00916E87" w:rsidRDefault="00916E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2A2AE" w14:textId="77777777" w:rsidR="00410ABA" w:rsidRDefault="00410ABA">
      <w:r>
        <w:separator/>
      </w:r>
    </w:p>
  </w:footnote>
  <w:footnote w:type="continuationSeparator" w:id="0">
    <w:p w14:paraId="09FDF683" w14:textId="77777777" w:rsidR="00410ABA" w:rsidRDefault="00410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7FE2F" w14:textId="77777777" w:rsidR="00916E87" w:rsidRDefault="00916E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40.6pt;height:340.6pt;visibility:visible" o:bullet="t">
        <v:imagedata r:id="rId1" o:title="bullet_drafting"/>
      </v:shape>
    </w:pict>
  </w:numPicBullet>
  <w:abstractNum w:abstractNumId="0" w15:restartNumberingAfterBreak="0">
    <w:nsid w:val="33AB5F5D"/>
    <w:multiLevelType w:val="hybridMultilevel"/>
    <w:tmpl w:val="85AA699C"/>
    <w:lvl w:ilvl="0" w:tplc="F95E2770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4BB26190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2" w:tplc="493CF4B0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3" w:tplc="8750746E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4" w:tplc="02000BCC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5" w:tplc="D032918A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6" w:tplc="D642416E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7" w:tplc="97E23668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8" w:tplc="90E8A1BA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</w:abstractNum>
  <w:num w:numId="1" w16cid:durableId="1499928972">
    <w:abstractNumId w:val="0"/>
  </w:num>
  <w:num w:numId="2" w16cid:durableId="1323316730">
    <w:abstractNumId w:val="0"/>
    <w:lvlOverride w:ilvl="0">
      <w:lvl w:ilvl="0" w:tplc="F95E2770">
        <w:start w:val="1"/>
        <w:numFmt w:val="bullet"/>
        <w:lvlText w:val="•"/>
        <w:lvlPicBulletId w:val="0"/>
        <w:lvlJc w:val="left"/>
        <w:pPr>
          <w:ind w:left="39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1">
      <w:lvl w:ilvl="1" w:tplc="4BB26190">
        <w:start w:val="1"/>
        <w:numFmt w:val="bullet"/>
        <w:lvlText w:val="•"/>
        <w:lvlPicBulletId w:val="0"/>
        <w:lvlJc w:val="left"/>
        <w:pPr>
          <w:ind w:left="111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2">
      <w:lvl w:ilvl="2" w:tplc="493CF4B0">
        <w:start w:val="1"/>
        <w:numFmt w:val="bullet"/>
        <w:lvlText w:val="•"/>
        <w:lvlPicBulletId w:val="0"/>
        <w:lvlJc w:val="left"/>
        <w:pPr>
          <w:ind w:left="183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3">
      <w:lvl w:ilvl="3" w:tplc="8750746E">
        <w:start w:val="1"/>
        <w:numFmt w:val="bullet"/>
        <w:lvlText w:val="•"/>
        <w:lvlPicBulletId w:val="0"/>
        <w:lvlJc w:val="left"/>
        <w:pPr>
          <w:ind w:left="255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4">
      <w:lvl w:ilvl="4" w:tplc="02000BCC">
        <w:start w:val="1"/>
        <w:numFmt w:val="bullet"/>
        <w:lvlText w:val="•"/>
        <w:lvlPicBulletId w:val="0"/>
        <w:lvlJc w:val="left"/>
        <w:pPr>
          <w:ind w:left="327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5">
      <w:lvl w:ilvl="5" w:tplc="D032918A">
        <w:start w:val="1"/>
        <w:numFmt w:val="bullet"/>
        <w:lvlText w:val="•"/>
        <w:lvlPicBulletId w:val="0"/>
        <w:lvlJc w:val="left"/>
        <w:pPr>
          <w:ind w:left="399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6">
      <w:lvl w:ilvl="6" w:tplc="D642416E">
        <w:start w:val="1"/>
        <w:numFmt w:val="bullet"/>
        <w:lvlText w:val="•"/>
        <w:lvlPicBulletId w:val="0"/>
        <w:lvlJc w:val="left"/>
        <w:pPr>
          <w:ind w:left="471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7">
      <w:lvl w:ilvl="7" w:tplc="97E23668">
        <w:start w:val="1"/>
        <w:numFmt w:val="bullet"/>
        <w:lvlText w:val="•"/>
        <w:lvlPicBulletId w:val="0"/>
        <w:lvlJc w:val="left"/>
        <w:pPr>
          <w:ind w:left="543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8">
      <w:lvl w:ilvl="8" w:tplc="90E8A1BA">
        <w:start w:val="1"/>
        <w:numFmt w:val="bullet"/>
        <w:lvlText w:val="•"/>
        <w:lvlPicBulletId w:val="0"/>
        <w:lvlJc w:val="left"/>
        <w:pPr>
          <w:ind w:left="6156" w:hanging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87"/>
    <w:rsid w:val="000A5518"/>
    <w:rsid w:val="002F36A2"/>
    <w:rsid w:val="003164B9"/>
    <w:rsid w:val="00410ABA"/>
    <w:rsid w:val="00665FC5"/>
    <w:rsid w:val="00916E87"/>
    <w:rsid w:val="00962438"/>
    <w:rsid w:val="00B43891"/>
    <w:rsid w:val="00BF0226"/>
    <w:rsid w:val="00C40CFB"/>
    <w:rsid w:val="00DA033A"/>
    <w:rsid w:val="00DA4244"/>
    <w:rsid w:val="00E13395"/>
    <w:rsid w:val="00F7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99E3E"/>
  <w15:docId w15:val="{03B0110A-730F-462C-8C6E-9B11C538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next w:val="Body2"/>
    <w:uiPriority w:val="9"/>
    <w:unhideWhenUsed/>
    <w:qFormat/>
    <w:pPr>
      <w:tabs>
        <w:tab w:val="left" w:pos="2240"/>
        <w:tab w:val="left" w:pos="7920"/>
      </w:tabs>
      <w:outlineLvl w:val="1"/>
    </w:pPr>
    <w:rPr>
      <w:rFonts w:ascii="Helvetica Neue" w:eastAsia="Helvetica Neue" w:hAnsi="Helvetica Neue" w:cs="Helvetica Neue"/>
      <w:b/>
      <w:bCs/>
      <w:caps/>
      <w:color w:val="00A3D7"/>
      <w:spacing w:val="40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FreeForm">
    <w:name w:val="Free Form"/>
    <w:pPr>
      <w:spacing w:after="240"/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40"/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2">
    <w:name w:val="Body 2"/>
    <w:pPr>
      <w:spacing w:line="288" w:lineRule="auto"/>
    </w:pPr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ame">
    <w:name w:val="Name"/>
    <w:next w:val="Body2"/>
    <w:pPr>
      <w:keepNext/>
      <w:outlineLvl w:val="1"/>
    </w:pPr>
    <w:rPr>
      <w:rFonts w:ascii="Helvetica Neue" w:hAnsi="Helvetica Neue" w:cs="Arial Unicode MS"/>
      <w:b/>
      <w:bCs/>
      <w:color w:val="00A3D7"/>
      <w:spacing w:val="-2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B43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6">
    <w:name w:val="Grid Table 5 Dark Accent 6"/>
    <w:basedOn w:val="TableNormal"/>
    <w:uiPriority w:val="50"/>
    <w:rsid w:val="00B438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DF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62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62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62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62C2" w:themeFill="accent6"/>
      </w:tcPr>
    </w:tblStylePr>
    <w:tblStylePr w:type="band1Vert">
      <w:tblPr/>
      <w:tcPr>
        <w:shd w:val="clear" w:color="auto" w:fill="BCC0E6" w:themeFill="accent6" w:themeFillTint="66"/>
      </w:tcPr>
    </w:tblStylePr>
    <w:tblStylePr w:type="band1Horz">
      <w:tblPr/>
      <w:tcPr>
        <w:shd w:val="clear" w:color="auto" w:fill="BCC0E6" w:themeFill="accent6" w:themeFillTint="66"/>
      </w:tcPr>
    </w:tblStylePr>
  </w:style>
  <w:style w:type="table" w:styleId="GridTable4-Accent6">
    <w:name w:val="Grid Table 4 Accent 6"/>
    <w:basedOn w:val="TableNormal"/>
    <w:uiPriority w:val="49"/>
    <w:rsid w:val="00B43891"/>
    <w:tblPr>
      <w:tblStyleRowBandSize w:val="1"/>
      <w:tblStyleColBandSize w:val="1"/>
      <w:tblBorders>
        <w:top w:val="single" w:sz="4" w:space="0" w:color="9AA0DA" w:themeColor="accent6" w:themeTint="99"/>
        <w:left w:val="single" w:sz="4" w:space="0" w:color="9AA0DA" w:themeColor="accent6" w:themeTint="99"/>
        <w:bottom w:val="single" w:sz="4" w:space="0" w:color="9AA0DA" w:themeColor="accent6" w:themeTint="99"/>
        <w:right w:val="single" w:sz="4" w:space="0" w:color="9AA0DA" w:themeColor="accent6" w:themeTint="99"/>
        <w:insideH w:val="single" w:sz="4" w:space="0" w:color="9AA0DA" w:themeColor="accent6" w:themeTint="99"/>
        <w:insideV w:val="single" w:sz="4" w:space="0" w:color="9AA0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62C2" w:themeColor="accent6"/>
          <w:left w:val="single" w:sz="4" w:space="0" w:color="5862C2" w:themeColor="accent6"/>
          <w:bottom w:val="single" w:sz="4" w:space="0" w:color="5862C2" w:themeColor="accent6"/>
          <w:right w:val="single" w:sz="4" w:space="0" w:color="5862C2" w:themeColor="accent6"/>
          <w:insideH w:val="nil"/>
          <w:insideV w:val="nil"/>
        </w:tcBorders>
        <w:shd w:val="clear" w:color="auto" w:fill="5862C2" w:themeFill="accent6"/>
      </w:tcPr>
    </w:tblStylePr>
    <w:tblStylePr w:type="lastRow">
      <w:rPr>
        <w:b/>
        <w:bCs/>
      </w:rPr>
      <w:tblPr/>
      <w:tcPr>
        <w:tcBorders>
          <w:top w:val="double" w:sz="4" w:space="0" w:color="5862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FF2" w:themeFill="accent6" w:themeFillTint="33"/>
      </w:tcPr>
    </w:tblStylePr>
    <w:tblStylePr w:type="band1Horz">
      <w:tblPr/>
      <w:tcPr>
        <w:shd w:val="clear" w:color="auto" w:fill="DDDFF2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B438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1F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BCE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BCE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BCE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BCEB" w:themeFill="accent1"/>
      </w:tcPr>
    </w:tblStylePr>
    <w:tblStylePr w:type="band1Vert">
      <w:tblPr/>
      <w:tcPr>
        <w:shd w:val="clear" w:color="auto" w:fill="B3E4F7" w:themeFill="accent1" w:themeFillTint="66"/>
      </w:tcPr>
    </w:tblStylePr>
    <w:tblStylePr w:type="band1Horz">
      <w:tblPr/>
      <w:tcPr>
        <w:shd w:val="clear" w:color="auto" w:fill="B3E4F7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B43891"/>
    <w:tblPr>
      <w:tblStyleRowBandSize w:val="1"/>
      <w:tblStyleColBandSize w:val="1"/>
      <w:tblBorders>
        <w:top w:val="single" w:sz="4" w:space="0" w:color="8DD6F3" w:themeColor="accent1" w:themeTint="99"/>
        <w:left w:val="single" w:sz="4" w:space="0" w:color="8DD6F3" w:themeColor="accent1" w:themeTint="99"/>
        <w:bottom w:val="single" w:sz="4" w:space="0" w:color="8DD6F3" w:themeColor="accent1" w:themeTint="99"/>
        <w:right w:val="single" w:sz="4" w:space="0" w:color="8DD6F3" w:themeColor="accent1" w:themeTint="99"/>
        <w:insideH w:val="single" w:sz="4" w:space="0" w:color="8DD6F3" w:themeColor="accent1" w:themeTint="99"/>
        <w:insideV w:val="single" w:sz="4" w:space="0" w:color="8DD6F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BCEB" w:themeColor="accent1"/>
          <w:left w:val="single" w:sz="4" w:space="0" w:color="41BCEB" w:themeColor="accent1"/>
          <w:bottom w:val="single" w:sz="4" w:space="0" w:color="41BCEB" w:themeColor="accent1"/>
          <w:right w:val="single" w:sz="4" w:space="0" w:color="41BCEB" w:themeColor="accent1"/>
          <w:insideH w:val="nil"/>
          <w:insideV w:val="nil"/>
        </w:tcBorders>
        <w:shd w:val="clear" w:color="auto" w:fill="41BCEB" w:themeFill="accent1"/>
      </w:tcPr>
    </w:tblStylePr>
    <w:tblStylePr w:type="lastRow">
      <w:rPr>
        <w:b/>
        <w:bCs/>
      </w:rPr>
      <w:tblPr/>
      <w:tcPr>
        <w:tcBorders>
          <w:top w:val="double" w:sz="4" w:space="0" w:color="41BCE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1FB" w:themeFill="accent1" w:themeFillTint="33"/>
      </w:tcPr>
    </w:tblStylePr>
    <w:tblStylePr w:type="band1Horz">
      <w:tblPr/>
      <w:tcPr>
        <w:shd w:val="clear" w:color="auto" w:fill="D9F1FB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01_Modern_Fun-Resume">
  <a:themeElements>
    <a:clrScheme name="01_Modern_Fun-Resume">
      <a:dk1>
        <a:srgbClr val="000000"/>
      </a:dk1>
      <a:lt1>
        <a:srgbClr val="FFFFFF"/>
      </a:lt1>
      <a:dk2>
        <a:srgbClr val="444444"/>
      </a:dk2>
      <a:lt2>
        <a:srgbClr val="89847F"/>
      </a:lt2>
      <a:accent1>
        <a:srgbClr val="41BCEB"/>
      </a:accent1>
      <a:accent2>
        <a:srgbClr val="85CC82"/>
      </a:accent2>
      <a:accent3>
        <a:srgbClr val="FF9E41"/>
      </a:accent3>
      <a:accent4>
        <a:srgbClr val="FF5545"/>
      </a:accent4>
      <a:accent5>
        <a:srgbClr val="F16CB6"/>
      </a:accent5>
      <a:accent6>
        <a:srgbClr val="5862C2"/>
      </a:accent6>
      <a:hlink>
        <a:srgbClr val="0000FF"/>
      </a:hlink>
      <a:folHlink>
        <a:srgbClr val="FF00FF"/>
      </a:folHlink>
    </a:clrScheme>
    <a:fontScheme name="01_Modern_Fun-Resume">
      <a:majorFont>
        <a:latin typeface="Helvetica Neue"/>
        <a:ea typeface="Helvetica Neue"/>
        <a:cs typeface="Helvetica Neue"/>
      </a:majorFont>
      <a:minorFont>
        <a:latin typeface="Helvetica Neue Light"/>
        <a:ea typeface="Helvetica Neue Light"/>
        <a:cs typeface="Helvetica Neue Light"/>
      </a:minorFont>
    </a:fontScheme>
    <a:fmtScheme name="01_Modern_Fun-Resu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4">
            <a:hueOff val="255805"/>
            <a:lumOff val="-19001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232323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mariem atia</dc:creator>
  <cp:lastModifiedBy>Saleh Alqifari</cp:lastModifiedBy>
  <cp:revision>2</cp:revision>
  <dcterms:created xsi:type="dcterms:W3CDTF">2022-12-25T14:28:00Z</dcterms:created>
  <dcterms:modified xsi:type="dcterms:W3CDTF">2022-12-25T14:28:00Z</dcterms:modified>
</cp:coreProperties>
</file>