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4BF93" w14:textId="77777777" w:rsidR="00ED52E7" w:rsidRPr="00000F70" w:rsidRDefault="00ED52E7" w:rsidP="0077697D">
      <w:pPr>
        <w:spacing w:line="360" w:lineRule="auto"/>
        <w:rPr>
          <w:color w:val="000000"/>
          <w:sz w:val="24"/>
        </w:rPr>
      </w:pPr>
    </w:p>
    <w:p w14:paraId="4086322F" w14:textId="77777777" w:rsidR="0077697D" w:rsidRPr="00000F70" w:rsidRDefault="00730A19" w:rsidP="0077697D">
      <w:pPr>
        <w:spacing w:line="360" w:lineRule="auto"/>
        <w:rPr>
          <w:color w:val="000000"/>
          <w:sz w:val="24"/>
        </w:rPr>
      </w:pPr>
      <w:r w:rsidRPr="00000F70">
        <w:rPr>
          <w:color w:val="000000"/>
          <w:sz w:val="24"/>
        </w:rPr>
        <w:drawing>
          <wp:inline distT="0" distB="0" distL="0" distR="0" wp14:anchorId="03F7430B" wp14:editId="3FD3A190">
            <wp:extent cx="5274310" cy="39941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00F5C" w14:textId="77777777" w:rsidR="0077697D" w:rsidRPr="00000F70" w:rsidRDefault="0077697D" w:rsidP="0077697D">
      <w:pPr>
        <w:spacing w:line="360" w:lineRule="auto"/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</w:pP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Fig</w:t>
      </w:r>
      <w:r w:rsidRPr="00000F70">
        <w:rPr>
          <w:rFonts w:ascii="Arial" w:hAnsi="Arial" w:cs="Arial"/>
          <w:b/>
          <w:bCs/>
          <w:snapToGrid w:val="0"/>
          <w:color w:val="000000"/>
          <w:kern w:val="0"/>
          <w:sz w:val="18"/>
          <w:lang w:bidi="en-US"/>
        </w:rPr>
        <w:t>ure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 xml:space="preserve"> S1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 The depletion effect of ILC2s by anti-CD90.2 was confirmed by flow cytometry. </w:t>
      </w:r>
    </w:p>
    <w:p w14:paraId="6F9A37E7" w14:textId="77777777" w:rsidR="0077697D" w:rsidRPr="00000F70" w:rsidRDefault="0077697D" w:rsidP="0077697D">
      <w:pPr>
        <w:spacing w:line="360" w:lineRule="auto"/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</w:pP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A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and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C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ILC2s in the spleen of anti-CD90.2 group were significantly decreased.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B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and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D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ILC2s in the muscle of anti-CD90.2 group were significantly decreased. Data are expressed as mean ± SEM (n=4-10 in each group).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E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Serum IL-33 level measured by ELISA.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F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) Serum IL-13 level measured by ELISA. 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vertAlign w:val="superscript"/>
          <w:lang w:eastAsia="de-DE" w:bidi="en-US"/>
        </w:rPr>
        <w:t>#</w:t>
      </w:r>
      <w:r w:rsidRPr="00000F70">
        <w:rPr>
          <w:rFonts w:ascii="Arial" w:eastAsia="Times New Roman" w:hAnsi="Arial" w:cs="Arial"/>
          <w:i/>
          <w:iCs/>
          <w:snapToGrid w:val="0"/>
          <w:color w:val="000000"/>
          <w:kern w:val="0"/>
          <w:sz w:val="18"/>
          <w:lang w:eastAsia="de-DE" w:bidi="en-US"/>
        </w:rPr>
        <w:t>P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&lt;0.05 vs. db/db+NaB+PBS group.</w:t>
      </w:r>
    </w:p>
    <w:p w14:paraId="0A5F7FF3" w14:textId="77777777" w:rsidR="0077697D" w:rsidRPr="00000F70" w:rsidRDefault="0077697D" w:rsidP="0077697D">
      <w:pPr>
        <w:spacing w:line="360" w:lineRule="auto"/>
        <w:rPr>
          <w:color w:val="000000"/>
          <w:sz w:val="24"/>
        </w:rPr>
      </w:pPr>
    </w:p>
    <w:p w14:paraId="0CBC3777" w14:textId="77777777" w:rsidR="0077697D" w:rsidRPr="00000F70" w:rsidRDefault="0077697D" w:rsidP="0077697D">
      <w:pPr>
        <w:spacing w:line="360" w:lineRule="auto"/>
        <w:rPr>
          <w:color w:val="000000"/>
          <w:sz w:val="24"/>
        </w:rPr>
      </w:pPr>
    </w:p>
    <w:p w14:paraId="2BA88DD3" w14:textId="77777777" w:rsidR="0077697D" w:rsidRPr="00000F70" w:rsidRDefault="0077697D" w:rsidP="0077697D">
      <w:pPr>
        <w:spacing w:line="360" w:lineRule="auto"/>
        <w:rPr>
          <w:color w:val="000000"/>
          <w:sz w:val="24"/>
        </w:rPr>
      </w:pPr>
    </w:p>
    <w:p w14:paraId="7C5596F7" w14:textId="77777777" w:rsidR="00023219" w:rsidRPr="00000F70" w:rsidRDefault="00023219" w:rsidP="0077697D">
      <w:pPr>
        <w:spacing w:line="360" w:lineRule="auto"/>
        <w:rPr>
          <w:color w:val="000000"/>
          <w:sz w:val="24"/>
        </w:rPr>
      </w:pPr>
      <w:r w:rsidRPr="00000F70">
        <w:rPr>
          <w:rFonts w:hint="eastAsia"/>
          <w:color w:val="000000"/>
          <w:sz w:val="24"/>
        </w:rPr>
        <w:lastRenderedPageBreak/>
        <w:drawing>
          <wp:inline distT="0" distB="0" distL="0" distR="0" wp14:anchorId="34E9DD5E" wp14:editId="0ADE20A4">
            <wp:extent cx="5039868" cy="3349752"/>
            <wp:effectExtent l="0" t="0" r="889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33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6E39" w14:textId="77777777" w:rsidR="0077697D" w:rsidRPr="00000F70" w:rsidRDefault="0077697D" w:rsidP="0077697D">
      <w:pPr>
        <w:spacing w:line="360" w:lineRule="auto"/>
        <w:rPr>
          <w:color w:val="000000"/>
          <w:sz w:val="24"/>
        </w:rPr>
      </w:pPr>
    </w:p>
    <w:p w14:paraId="1ECA8183" w14:textId="77777777" w:rsidR="00730A19" w:rsidRPr="00000F70" w:rsidRDefault="00730A19" w:rsidP="00730A19">
      <w:pPr>
        <w:spacing w:line="360" w:lineRule="auto"/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</w:pP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Fig</w:t>
      </w:r>
      <w:r w:rsidRPr="00000F70">
        <w:rPr>
          <w:rFonts w:ascii="Arial" w:hAnsi="Arial" w:cs="Arial"/>
          <w:b/>
          <w:bCs/>
          <w:snapToGrid w:val="0"/>
          <w:color w:val="000000"/>
          <w:kern w:val="0"/>
          <w:sz w:val="18"/>
          <w:lang w:bidi="en-US"/>
        </w:rPr>
        <w:t>ure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 xml:space="preserve"> S2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 Depletion of ILC2s deteriorated gastrocnemius myofiber atrophy without affecting muscle mass. </w:t>
      </w:r>
    </w:p>
    <w:p w14:paraId="59D73B5B" w14:textId="77777777" w:rsidR="00730A19" w:rsidRPr="00000F70" w:rsidRDefault="00730A19" w:rsidP="00730A19">
      <w:pPr>
        <w:spacing w:line="360" w:lineRule="auto"/>
        <w:rPr>
          <w:color w:val="000000"/>
          <w:sz w:val="24"/>
        </w:rPr>
      </w:pP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A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Gastrocnemius myofibers from the two groups with HE staining.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B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Statistical analysis of cross-sectional area (CSA) of myofiber.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C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Statistical analysis of muscle mass measured by dual energy X-ray absorptiometry (DXA).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D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Statistical analysis of muscle mass index measured by DXA.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E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Protein expression of MuRF 1 and Atrogin 1 in the gastrocnemius of mice in the two groups.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F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and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G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) MuRF 1, Atrogin 1 and tubulin were detected. The histogram showed the grayscale value ratio. 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vertAlign w:val="superscript"/>
          <w:lang w:eastAsia="de-DE" w:bidi="en-US"/>
        </w:rPr>
        <w:t>#</w:t>
      </w:r>
      <w:r w:rsidRPr="00000F70">
        <w:rPr>
          <w:rFonts w:ascii="Arial" w:eastAsia="Times New Roman" w:hAnsi="Arial" w:cs="Arial"/>
          <w:i/>
          <w:iCs/>
          <w:snapToGrid w:val="0"/>
          <w:color w:val="000000"/>
          <w:kern w:val="0"/>
          <w:sz w:val="18"/>
          <w:lang w:eastAsia="de-DE" w:bidi="en-US"/>
        </w:rPr>
        <w:t>P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&lt;0.05 vs. db/db+NaB+PBS group.</w:t>
      </w:r>
      <w:r w:rsidR="00023219"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 The bar represents 50 μm.</w:t>
      </w:r>
    </w:p>
    <w:p w14:paraId="310CF7D0" w14:textId="77777777" w:rsidR="00730A19" w:rsidRPr="00000F70" w:rsidRDefault="00730A19" w:rsidP="0077697D">
      <w:pPr>
        <w:spacing w:line="360" w:lineRule="auto"/>
        <w:rPr>
          <w:color w:val="000000"/>
          <w:sz w:val="24"/>
        </w:rPr>
      </w:pPr>
    </w:p>
    <w:p w14:paraId="598BB3AA" w14:textId="77777777" w:rsidR="00730A19" w:rsidRPr="00000F70" w:rsidRDefault="00730A19" w:rsidP="0077697D">
      <w:pPr>
        <w:spacing w:line="360" w:lineRule="auto"/>
        <w:rPr>
          <w:color w:val="000000"/>
          <w:sz w:val="24"/>
        </w:rPr>
      </w:pPr>
    </w:p>
    <w:p w14:paraId="5F785713" w14:textId="77777777" w:rsidR="00730A19" w:rsidRPr="00000F70" w:rsidRDefault="00125854" w:rsidP="0077697D">
      <w:pPr>
        <w:spacing w:line="360" w:lineRule="auto"/>
        <w:rPr>
          <w:color w:val="000000"/>
          <w:sz w:val="24"/>
        </w:rPr>
      </w:pPr>
      <w:r w:rsidRPr="00000F70">
        <w:rPr>
          <w:color w:val="000000"/>
          <w:sz w:val="24"/>
        </w:rPr>
        <w:lastRenderedPageBreak/>
        <w:drawing>
          <wp:inline distT="0" distB="0" distL="0" distR="0" wp14:anchorId="0696DD9E" wp14:editId="64C0A60D">
            <wp:extent cx="5274310" cy="56318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3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15756" w14:textId="77777777" w:rsidR="00125854" w:rsidRPr="00000F70" w:rsidRDefault="00125854" w:rsidP="0077697D">
      <w:pPr>
        <w:spacing w:line="360" w:lineRule="auto"/>
        <w:rPr>
          <w:color w:val="000000"/>
          <w:sz w:val="24"/>
        </w:rPr>
      </w:pPr>
    </w:p>
    <w:p w14:paraId="7C703323" w14:textId="77777777" w:rsidR="00125854" w:rsidRPr="00000F70" w:rsidRDefault="00125854" w:rsidP="00125854">
      <w:pPr>
        <w:spacing w:line="360" w:lineRule="auto"/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</w:pP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Fig</w:t>
      </w:r>
      <w:r w:rsidRPr="00000F70">
        <w:rPr>
          <w:rFonts w:ascii="Arial" w:hAnsi="Arial" w:cs="Arial"/>
          <w:b/>
          <w:bCs/>
          <w:snapToGrid w:val="0"/>
          <w:color w:val="000000"/>
          <w:kern w:val="0"/>
          <w:sz w:val="18"/>
          <w:lang w:bidi="en-US"/>
        </w:rPr>
        <w:t>ure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 xml:space="preserve"> S3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 Depletion of ILC2s had no effect on IPGTT of db/db mice and aggravated impaired muscle strength and exercise capacity in db/db mice. </w:t>
      </w:r>
    </w:p>
    <w:p w14:paraId="7766CF0E" w14:textId="77777777" w:rsidR="00125854" w:rsidRPr="00000F70" w:rsidRDefault="00125854" w:rsidP="00125854">
      <w:pPr>
        <w:spacing w:line="360" w:lineRule="auto"/>
        <w:rPr>
          <w:color w:val="000000"/>
          <w:sz w:val="24"/>
        </w:rPr>
      </w:pP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A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Statistical analysis of forelimb grip strength.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B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Statistical analysis of time of hanging grip test.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C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Statistical analysis of treadmill exhaustion running distance.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D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Statistical analysis of treadmill exhaustive running time.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E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Intraperitoneal glucose tolerance test (IPGTT) curve.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F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Statistical analysis of area under the curve (AUC).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G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Body weight curve.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H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) Random blood glucose curve. Data are expressed as mean ± SEM (n=10 in each group). 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vertAlign w:val="superscript"/>
          <w:lang w:eastAsia="de-DE" w:bidi="en-US"/>
        </w:rPr>
        <w:t>#</w:t>
      </w:r>
      <w:r w:rsidRPr="00000F70">
        <w:rPr>
          <w:rFonts w:ascii="Arial" w:eastAsia="Times New Roman" w:hAnsi="Arial" w:cs="Arial"/>
          <w:i/>
          <w:iCs/>
          <w:snapToGrid w:val="0"/>
          <w:color w:val="000000"/>
          <w:kern w:val="0"/>
          <w:sz w:val="18"/>
          <w:lang w:eastAsia="de-DE" w:bidi="en-US"/>
        </w:rPr>
        <w:t>P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&lt;0.05 vs. db/db+NaB+PBS group.</w:t>
      </w:r>
    </w:p>
    <w:p w14:paraId="3E224A57" w14:textId="77777777" w:rsidR="00125854" w:rsidRPr="00000F70" w:rsidRDefault="00125854" w:rsidP="0077697D">
      <w:pPr>
        <w:spacing w:line="360" w:lineRule="auto"/>
        <w:rPr>
          <w:color w:val="000000"/>
          <w:sz w:val="24"/>
        </w:rPr>
      </w:pPr>
    </w:p>
    <w:p w14:paraId="448AC7FE" w14:textId="77777777" w:rsidR="00125854" w:rsidRPr="00000F70" w:rsidRDefault="00125854" w:rsidP="0077697D">
      <w:pPr>
        <w:spacing w:line="360" w:lineRule="auto"/>
        <w:rPr>
          <w:color w:val="000000"/>
          <w:sz w:val="24"/>
        </w:rPr>
      </w:pPr>
    </w:p>
    <w:p w14:paraId="1B2733B1" w14:textId="77777777" w:rsidR="00125854" w:rsidRPr="00000F70" w:rsidRDefault="00125854" w:rsidP="0077697D">
      <w:pPr>
        <w:spacing w:line="360" w:lineRule="auto"/>
        <w:rPr>
          <w:color w:val="000000"/>
          <w:sz w:val="24"/>
        </w:rPr>
      </w:pPr>
    </w:p>
    <w:p w14:paraId="49F6CDAA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1C3CCDB9" w14:textId="77777777" w:rsidR="00D3477F" w:rsidRPr="00000F70" w:rsidRDefault="00023219" w:rsidP="0077697D">
      <w:pPr>
        <w:spacing w:line="360" w:lineRule="auto"/>
        <w:rPr>
          <w:color w:val="000000"/>
          <w:sz w:val="24"/>
        </w:rPr>
      </w:pPr>
      <w:r w:rsidRPr="00000F70">
        <w:rPr>
          <w:color w:val="000000"/>
          <w:sz w:val="24"/>
        </w:rPr>
        <w:drawing>
          <wp:inline distT="0" distB="0" distL="0" distR="0" wp14:anchorId="4DAF2EA4" wp14:editId="0236EF17">
            <wp:extent cx="5274310" cy="15151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CF950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7DE55A5C" w14:textId="77777777" w:rsidR="00D3477F" w:rsidRPr="00000F70" w:rsidRDefault="00D3477F" w:rsidP="00D3477F">
      <w:pPr>
        <w:spacing w:line="360" w:lineRule="auto"/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</w:pP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Fig</w:t>
      </w:r>
      <w:r w:rsidRPr="00000F70">
        <w:rPr>
          <w:rFonts w:ascii="Arial" w:hAnsi="Arial" w:cs="Arial"/>
          <w:b/>
          <w:bCs/>
          <w:snapToGrid w:val="0"/>
          <w:color w:val="000000"/>
          <w:kern w:val="0"/>
          <w:sz w:val="18"/>
          <w:lang w:bidi="en-US"/>
        </w:rPr>
        <w:t>ure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 xml:space="preserve"> S4 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Depletion of ILC2s and inhibited skeletal muscle fiber type switching of db/db mice.</w:t>
      </w:r>
    </w:p>
    <w:p w14:paraId="62C875A1" w14:textId="77777777" w:rsidR="00D3477F" w:rsidRPr="00000F70" w:rsidRDefault="00D3477F" w:rsidP="00D3477F">
      <w:pPr>
        <w:spacing w:line="360" w:lineRule="auto"/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</w:pP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A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Immunofluorescence staining of fast-twitch muscle fibers and slow-twitch muscle fibers.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B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The histogram showed the ratio of slow to fast muscle fibers.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C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Protein expression of Slow MyHC and Fast MyHC in the gastrocnemius of mice in the two groups.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D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) Statistical analysis of the ratio of Slow MyHC/Fast MyHC protein expression. Data are expressed as mean ± SEM (n=6 in each group). 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vertAlign w:val="superscript"/>
          <w:lang w:eastAsia="de-DE" w:bidi="en-US"/>
        </w:rPr>
        <w:t>#</w:t>
      </w:r>
      <w:r w:rsidRPr="00000F70">
        <w:rPr>
          <w:rFonts w:ascii="Arial" w:eastAsia="Times New Roman" w:hAnsi="Arial" w:cs="Arial"/>
          <w:i/>
          <w:iCs/>
          <w:snapToGrid w:val="0"/>
          <w:color w:val="000000"/>
          <w:kern w:val="0"/>
          <w:sz w:val="18"/>
          <w:lang w:eastAsia="de-DE" w:bidi="en-US"/>
        </w:rPr>
        <w:t>P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&lt;0.05 vs. db/db+NaB+PBS group.</w:t>
      </w:r>
      <w:r w:rsidR="00023219"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 The bar represents 50 μm.</w:t>
      </w:r>
    </w:p>
    <w:p w14:paraId="3F558538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4EE4861E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2FF9FF65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24C79F02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192BD6FC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41E3516C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48B767D6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3F176125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7EF6B190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5906DB72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771D813F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41F4501D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54B236AF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53E8C2B9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2383034F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7422A7D7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708DE182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  <w:r w:rsidRPr="00000F70">
        <w:rPr>
          <w:color w:val="000000"/>
          <w:sz w:val="24"/>
        </w:rPr>
        <w:drawing>
          <wp:inline distT="0" distB="0" distL="0" distR="0" wp14:anchorId="2E1392A3" wp14:editId="3FED36C1">
            <wp:extent cx="2700528" cy="559308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559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1228E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42674B79" w14:textId="77777777" w:rsidR="00D3477F" w:rsidRPr="00000F70" w:rsidRDefault="00D3477F" w:rsidP="00D3477F">
      <w:pPr>
        <w:spacing w:line="360" w:lineRule="auto"/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</w:pP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Fig</w:t>
      </w:r>
      <w:r w:rsidRPr="00000F70">
        <w:rPr>
          <w:rFonts w:ascii="Arial" w:hAnsi="Arial" w:cs="Arial"/>
          <w:b/>
          <w:bCs/>
          <w:snapToGrid w:val="0"/>
          <w:color w:val="000000"/>
          <w:kern w:val="0"/>
          <w:sz w:val="18"/>
          <w:lang w:bidi="en-US"/>
        </w:rPr>
        <w:t>ure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 xml:space="preserve"> S5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 Depletion of ILC2s reduced slow muscle fiber generation through down-regulation the IL-13/STAT3 pathway.</w:t>
      </w:r>
    </w:p>
    <w:p w14:paraId="0FC7290B" w14:textId="77777777" w:rsidR="00D3477F" w:rsidRPr="00000F70" w:rsidRDefault="00D3477F" w:rsidP="00D3477F">
      <w:pPr>
        <w:spacing w:line="360" w:lineRule="auto"/>
        <w:rPr>
          <w:color w:val="000000"/>
          <w:sz w:val="24"/>
        </w:rPr>
      </w:pP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A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Protein expression of GATA-3 in the gastrocnemius of db/db mice and the histogram showed the grayscale value ratio.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B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) Protein expression of P-STAT3 and STAT3 in the gastrocnemius of db/db mice and the histogram showed the grayscale value ratio of P-STAT3/STAT3. (</w:t>
      </w:r>
      <w:r w:rsidRPr="00000F70">
        <w:rPr>
          <w:rFonts w:ascii="Arial" w:eastAsia="Times New Roman" w:hAnsi="Arial" w:cs="Arial"/>
          <w:b/>
          <w:bCs/>
          <w:snapToGrid w:val="0"/>
          <w:color w:val="000000"/>
          <w:kern w:val="0"/>
          <w:sz w:val="18"/>
          <w:lang w:eastAsia="de-DE" w:bidi="en-US"/>
        </w:rPr>
        <w:t>C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 xml:space="preserve">) Protein expression of PGC-1α in the gastrocnemius of db/db mice and the histogram showed the grayscale value ratio. Data are expressed as mean ± SEM (n=6 in each group). 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vertAlign w:val="superscript"/>
          <w:lang w:eastAsia="de-DE" w:bidi="en-US"/>
        </w:rPr>
        <w:t>#</w:t>
      </w:r>
      <w:r w:rsidRPr="00000F70">
        <w:rPr>
          <w:rFonts w:ascii="Arial" w:eastAsia="Times New Roman" w:hAnsi="Arial" w:cs="Arial"/>
          <w:i/>
          <w:iCs/>
          <w:snapToGrid w:val="0"/>
          <w:color w:val="000000"/>
          <w:kern w:val="0"/>
          <w:sz w:val="18"/>
          <w:lang w:eastAsia="de-DE" w:bidi="en-US"/>
        </w:rPr>
        <w:t>P</w:t>
      </w:r>
      <w:r w:rsidRPr="00000F70">
        <w:rPr>
          <w:rFonts w:ascii="Arial" w:eastAsia="Times New Roman" w:hAnsi="Arial" w:cs="Arial"/>
          <w:snapToGrid w:val="0"/>
          <w:color w:val="000000"/>
          <w:kern w:val="0"/>
          <w:sz w:val="18"/>
          <w:lang w:eastAsia="de-DE" w:bidi="en-US"/>
        </w:rPr>
        <w:t>&lt;0.05 vs. db/db+NaB+PBS group.</w:t>
      </w:r>
    </w:p>
    <w:p w14:paraId="667E346E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12AE4AF6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437E8187" w14:textId="77777777" w:rsidR="00D3477F" w:rsidRPr="00000F70" w:rsidRDefault="00D3477F" w:rsidP="0077697D">
      <w:pPr>
        <w:spacing w:line="360" w:lineRule="auto"/>
        <w:rPr>
          <w:color w:val="000000"/>
          <w:sz w:val="24"/>
        </w:rPr>
      </w:pPr>
    </w:p>
    <w:p w14:paraId="673C00CA" w14:textId="77777777" w:rsidR="0077697D" w:rsidRPr="00000F70" w:rsidRDefault="0077697D" w:rsidP="0077697D">
      <w:pPr>
        <w:spacing w:line="360" w:lineRule="auto"/>
        <w:rPr>
          <w:color w:val="000000"/>
          <w:sz w:val="24"/>
        </w:rPr>
      </w:pPr>
    </w:p>
    <w:sectPr w:rsidR="0077697D" w:rsidRPr="00000F70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E48ACE" w14:textId="77777777" w:rsidR="00643E64" w:rsidRDefault="00643E64" w:rsidP="0077697D">
      <w:r>
        <w:separator/>
      </w:r>
    </w:p>
  </w:endnote>
  <w:endnote w:type="continuationSeparator" w:id="0">
    <w:p w14:paraId="2EED0D8C" w14:textId="77777777" w:rsidR="00643E64" w:rsidRDefault="00643E64" w:rsidP="00776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F8001" w14:textId="081F773E" w:rsidR="00000F70" w:rsidRDefault="00000F7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A2E41B1" wp14:editId="32746167">
              <wp:simplePos x="0" y="0"/>
              <wp:positionH relativeFrom="page">
                <wp:posOffset>0</wp:posOffset>
              </wp:positionH>
              <wp:positionV relativeFrom="page">
                <wp:posOffset>10237470</wp:posOffset>
              </wp:positionV>
              <wp:extent cx="7560310" cy="263525"/>
              <wp:effectExtent l="0" t="0" r="0" b="3175"/>
              <wp:wrapNone/>
              <wp:docPr id="2" name="MSIPCM76c941b4a62680f40db360a3" descr="{&quot;HashCode&quot;:-1348403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3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9E16E80" w14:textId="107EE80D" w:rsidR="00000F70" w:rsidRPr="00000F70" w:rsidRDefault="00000F70" w:rsidP="00000F70">
                          <w:pPr>
                            <w:jc w:val="left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000F70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2E41B1" id="_x0000_t202" coordsize="21600,21600" o:spt="202" path="m,l,21600r21600,l21600,xe">
              <v:stroke joinstyle="miter"/>
              <v:path gradientshapeok="t" o:connecttype="rect"/>
            </v:shapetype>
            <v:shape id="MSIPCM76c941b4a62680f40db360a3" o:spid="_x0000_s1026" type="#_x0000_t202" alt="{&quot;HashCode&quot;:-1348403003,&quot;Height&quot;:841.0,&quot;Width&quot;:595.0,&quot;Placement&quot;:&quot;Footer&quot;,&quot;Index&quot;:&quot;Primary&quot;,&quot;Section&quot;:1,&quot;Top&quot;:0.0,&quot;Left&quot;:0.0}" style="position:absolute;margin-left:0;margin-top:806.1pt;width:595.3pt;height:20.7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DkFwIAACUEAAAOAAAAZHJzL2Uyb0RvYy54bWysU8Fu2zAMvQ/YPwi6L3bSJNuMOEXWIsOA&#10;oC2QDj0rshQbkERNUmJnXz9KdpKh66nYRaZI+pF8fFrcdlqRo3C+AVPS8SinRBgOVWP2Jf35vP70&#10;hRIfmKmYAiNKehKe3i4/fli0thATqEFVwhEEMb5obUnrEGyRZZ7XQjM/AisMBiU4zQJe3T6rHGsR&#10;XatskufzrAVXWQdceI/e+z5IlwlfSsHDo5ReBKJKir2FdLp07uKZLRes2Dtm64YPbbB3dKFZY7Do&#10;BeqeBUYOrvkHSjfcgQcZRhx0BlI2XKQZcJpx/mqabc2sSLMgOd5eaPL/D5Y/HLf2yZHQfYMOFxgJ&#10;aa0vPDrjPJ10On6xU4JxpPB0oU10gXB0fp7N85sxhjjGJvOb2WQWYbLr39b58F2AJtEoqcO1JLbY&#10;ceNDn3pOicUMrBul0mqUIW1JETNPP1wiCK4M1rj2Gq3Q7bphgB1UJ5zLQb9yb/m6weIb5sMTc7hj&#10;7Bd1Gx7xkAqwCAwWJTW432/5Yz5Sj1FKWtRMSf2vA3OCEvXD4FIms2meR5WlGxouGV/H0yledmev&#10;Oeg7QD2O8WlYnsyYG9TZlA70C+p6FcthiBmORUu6O5t3oZcwvgsuVquUhHqyLGzM1vIIHXmMnD53&#10;L8zZgfiAK3uAs6xY8Yr/PrffwOoQQDZpOZHZns6BcNRiWu/wbqLY/76nrOvrXv4BAAD//wMAUEsD&#10;BBQABgAIAAAAIQD/dyzL3wAAAAsBAAAPAAAAZHJzL2Rvd25yZXYueG1sTI/BTsMwEETvSPyDtUjc&#10;qJMgAk3jVFWlIsEBldAPcONtkmKvI9tpw9/jnOC4M6PZN+V6Mppd0PnekoB0kQBDaqzqqRVw+No9&#10;vADzQZKS2hIK+EEP6+r2ppSFslf6xEsdWhZLyBdSQBfCUHDumw6N9As7IEXvZJ2RIZ6u5crJayw3&#10;mmdJknMje4ofOjngtsPmux6NgA2OqX/Tu/Nrf6j37+eP4NR2KcT93bRZAQs4hb8wzPgRHarIdLQj&#10;Kc+0gDgkRDVPswzY7KfLJAd2nLWnx2fgVcn/b6h+AQAA//8DAFBLAQItABQABgAIAAAAIQC2gziS&#10;/gAAAOEBAAATAAAAAAAAAAAAAAAAAAAAAABbQ29udGVudF9UeXBlc10ueG1sUEsBAi0AFAAGAAgA&#10;AAAhADj9If/WAAAAlAEAAAsAAAAAAAAAAAAAAAAALwEAAF9yZWxzLy5yZWxzUEsBAi0AFAAGAAgA&#10;AAAhAGqAYOQXAgAAJQQAAA4AAAAAAAAAAAAAAAAALgIAAGRycy9lMm9Eb2MueG1sUEsBAi0AFAAG&#10;AAgAAAAhAP93LMvfAAAACwEAAA8AAAAAAAAAAAAAAAAAcQQAAGRycy9kb3ducmV2LnhtbFBLBQYA&#10;AAAABAAEAPMAAAB9BQAAAAA=&#10;" o:allowincell="f" filled="f" stroked="f" strokeweight=".5pt">
              <v:fill o:detectmouseclick="t"/>
              <v:textbox inset="20pt,0,,0">
                <w:txbxContent>
                  <w:p w14:paraId="59E16E80" w14:textId="107EE80D" w:rsidR="00000F70" w:rsidRPr="00000F70" w:rsidRDefault="00000F70" w:rsidP="00000F70">
                    <w:pPr>
                      <w:jc w:val="left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000F70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A6528" w14:textId="77777777" w:rsidR="00643E64" w:rsidRDefault="00643E64" w:rsidP="0077697D">
      <w:r>
        <w:separator/>
      </w:r>
    </w:p>
  </w:footnote>
  <w:footnote w:type="continuationSeparator" w:id="0">
    <w:p w14:paraId="6E0AC9B3" w14:textId="77777777" w:rsidR="00643E64" w:rsidRDefault="00643E64" w:rsidP="007769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359"/>
    <w:rsid w:val="00000F70"/>
    <w:rsid w:val="00023219"/>
    <w:rsid w:val="00125854"/>
    <w:rsid w:val="00643E64"/>
    <w:rsid w:val="00730A19"/>
    <w:rsid w:val="0077697D"/>
    <w:rsid w:val="007E335F"/>
    <w:rsid w:val="008C55A4"/>
    <w:rsid w:val="00D16359"/>
    <w:rsid w:val="00D3477F"/>
    <w:rsid w:val="00EC28C6"/>
    <w:rsid w:val="00ED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AC7604"/>
  <w15:chartTrackingRefBased/>
  <w15:docId w15:val="{22A3D3EB-84A1-4F4E-96AB-898C668A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69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7697D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769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7697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432</Words>
  <Characters>2465</Characters>
  <Application>Microsoft Office Word</Application>
  <DocSecurity>0</DocSecurity>
  <Lines>20</Lines>
  <Paragraphs>5</Paragraphs>
  <ScaleCrop>false</ScaleCrop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leee</dc:creator>
  <cp:keywords/>
  <dc:description/>
  <cp:lastModifiedBy>Khanapur, Soumya</cp:lastModifiedBy>
  <cp:revision>3</cp:revision>
  <dcterms:created xsi:type="dcterms:W3CDTF">2023-01-12T21:16:00Z</dcterms:created>
  <dcterms:modified xsi:type="dcterms:W3CDTF">2023-01-12T21:16:00Z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2023-01-12T21:16:59Z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86b8a6ea-8a2c-4f2a-ad44-5e781dd7b7f2</vt:lpwstr>
  </property>
  <property fmtid="{D5CDD505-2E9C-101B-9397-08002B2CF9AE}" pid="8" name="MSIP_Label_2bbab825-a111-45e4-86a1-18cee0005896_ContentBits">
    <vt:lpwstr>2</vt:lpwstr>
  </property>
</Properties>
</file>