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C145" w14:textId="7897385E" w:rsidR="00E320B8" w:rsidRPr="002F112E" w:rsidRDefault="00E320B8" w:rsidP="00E320B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2E">
        <w:rPr>
          <w:rFonts w:ascii="Times New Roman" w:hAnsi="Times New Roman" w:cs="Times New Roman"/>
          <w:b/>
          <w:sz w:val="24"/>
          <w:szCs w:val="24"/>
        </w:rPr>
        <w:t>Supplemental Material</w:t>
      </w:r>
    </w:p>
    <w:p w14:paraId="07B2EFEE" w14:textId="5303DC0A" w:rsidR="00760475" w:rsidRPr="002F112E" w:rsidRDefault="001E55BF" w:rsidP="007837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112E">
        <w:rPr>
          <w:rFonts w:ascii="Times New Roman" w:hAnsi="Times New Roman" w:cs="Times New Roman"/>
          <w:b/>
          <w:sz w:val="24"/>
          <w:szCs w:val="24"/>
        </w:rPr>
        <w:t>Supplemental Material</w:t>
      </w:r>
      <w:r w:rsidR="00E320B8" w:rsidRPr="002F112E">
        <w:rPr>
          <w:rFonts w:ascii="Times New Roman" w:hAnsi="Times New Roman" w:cs="Times New Roman"/>
          <w:b/>
          <w:sz w:val="24"/>
          <w:szCs w:val="24"/>
        </w:rPr>
        <w:t xml:space="preserve"> S1. </w:t>
      </w:r>
      <w:r w:rsidR="00783765" w:rsidRPr="002F112E">
        <w:rPr>
          <w:rFonts w:ascii="Times New Roman" w:hAnsi="Times New Roman" w:cs="Times New Roman"/>
          <w:b/>
          <w:bCs/>
          <w:sz w:val="24"/>
          <w:szCs w:val="24"/>
        </w:rPr>
        <w:t xml:space="preserve">Missing </w:t>
      </w:r>
      <w:r w:rsidR="00731C4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83765" w:rsidRPr="002F112E">
        <w:rPr>
          <w:rFonts w:ascii="Times New Roman" w:hAnsi="Times New Roman" w:cs="Times New Roman"/>
          <w:b/>
          <w:bCs/>
          <w:sz w:val="24"/>
          <w:szCs w:val="24"/>
        </w:rPr>
        <w:t xml:space="preserve">ata </w:t>
      </w:r>
      <w:r w:rsidR="00731C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83765" w:rsidRPr="002F112E">
        <w:rPr>
          <w:rFonts w:ascii="Times New Roman" w:hAnsi="Times New Roman" w:cs="Times New Roman"/>
          <w:b/>
          <w:bCs/>
          <w:sz w:val="24"/>
          <w:szCs w:val="24"/>
        </w:rPr>
        <w:t>nalysis</w:t>
      </w:r>
    </w:p>
    <w:p w14:paraId="5B0FA718" w14:textId="601A8A03" w:rsidR="002F4F4C" w:rsidRPr="002F112E" w:rsidRDefault="00E320B8" w:rsidP="008F557F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112E">
        <w:rPr>
          <w:rFonts w:ascii="Times New Roman" w:hAnsi="Times New Roman" w:cs="Times New Roman"/>
          <w:sz w:val="24"/>
          <w:szCs w:val="24"/>
        </w:rPr>
        <w:t xml:space="preserve">The results of </w:t>
      </w:r>
      <w:r w:rsidR="00D51257">
        <w:rPr>
          <w:rFonts w:ascii="Times New Roman" w:hAnsi="Times New Roman" w:cs="Times New Roman"/>
          <w:sz w:val="24"/>
          <w:szCs w:val="24"/>
        </w:rPr>
        <w:t xml:space="preserve">the </w:t>
      </w:r>
      <w:r w:rsidRPr="002F112E">
        <w:rPr>
          <w:rFonts w:ascii="Times New Roman" w:hAnsi="Times New Roman" w:cs="Times New Roman"/>
          <w:sz w:val="24"/>
          <w:szCs w:val="24"/>
        </w:rPr>
        <w:t>missing data analysis indicated that</w:t>
      </w:r>
      <w:r w:rsidR="003A2460" w:rsidRPr="002F112E">
        <w:rPr>
          <w:rFonts w:ascii="Times New Roman" w:hAnsi="Times New Roman" w:cs="Times New Roman"/>
          <w:sz w:val="24"/>
          <w:szCs w:val="24"/>
        </w:rPr>
        <w:t xml:space="preserve"> adolescents</w:t>
      </w:r>
      <w:r w:rsidR="001B322B" w:rsidRPr="002F112E">
        <w:rPr>
          <w:rFonts w:ascii="Times New Roman" w:hAnsi="Times New Roman" w:cs="Times New Roman"/>
          <w:sz w:val="24"/>
          <w:szCs w:val="24"/>
        </w:rPr>
        <w:t xml:space="preserve"> who remained in the study reported a higher level of</w:t>
      </w:r>
      <w:r w:rsidR="008453DE" w:rsidRPr="002F112E">
        <w:rPr>
          <w:rFonts w:ascii="Times New Roman" w:hAnsi="Times New Roman" w:cs="Times New Roman"/>
          <w:sz w:val="24"/>
          <w:szCs w:val="24"/>
        </w:rPr>
        <w:t xml:space="preserve"> </w:t>
      </w:r>
      <w:r w:rsidR="00D51257">
        <w:rPr>
          <w:rFonts w:ascii="Times New Roman" w:hAnsi="Times New Roman" w:cs="Times New Roman"/>
          <w:sz w:val="24"/>
          <w:szCs w:val="24"/>
        </w:rPr>
        <w:t>demandingness</w:t>
      </w:r>
      <w:r w:rsidR="001B322B" w:rsidRPr="002F112E">
        <w:rPr>
          <w:rFonts w:ascii="Times New Roman" w:hAnsi="Times New Roman" w:cs="Times New Roman"/>
          <w:sz w:val="24"/>
          <w:szCs w:val="24"/>
        </w:rPr>
        <w:t xml:space="preserve"> than those who left the study. However, there were no significant difference </w:t>
      </w:r>
      <w:r w:rsidR="004018EE" w:rsidRPr="002F112E">
        <w:rPr>
          <w:rFonts w:ascii="Times New Roman" w:hAnsi="Times New Roman" w:cs="Times New Roman"/>
          <w:sz w:val="24"/>
          <w:szCs w:val="24"/>
        </w:rPr>
        <w:t xml:space="preserve">between </w:t>
      </w:r>
      <w:r w:rsidR="002F4F4C" w:rsidRPr="002F112E">
        <w:rPr>
          <w:rFonts w:ascii="Times New Roman" w:hAnsi="Times New Roman" w:cs="Times New Roman"/>
          <w:sz w:val="24"/>
          <w:szCs w:val="24"/>
        </w:rPr>
        <w:t>the longitudinally retained and missing individuals on any other studied variables at Time 1.</w:t>
      </w:r>
    </w:p>
    <w:p w14:paraId="64C58438" w14:textId="0E487FC3" w:rsidR="00E320B8" w:rsidRPr="00731C4E" w:rsidRDefault="00E320B8" w:rsidP="0005451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32470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832470">
        <w:rPr>
          <w:rFonts w:ascii="Times New Roman" w:hAnsi="Times New Roman" w:cs="Times New Roman"/>
          <w:b/>
          <w:bCs/>
          <w:sz w:val="24"/>
          <w:szCs w:val="24"/>
        </w:rPr>
        <w:t>able S1</w:t>
      </w:r>
      <w:r w:rsidR="002F4F4C" w:rsidRPr="00832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F4C" w:rsidRPr="00731C4E">
        <w:rPr>
          <w:rFonts w:ascii="Times New Roman" w:hAnsi="Times New Roman" w:cs="Times New Roman"/>
          <w:sz w:val="24"/>
          <w:szCs w:val="24"/>
        </w:rPr>
        <w:t xml:space="preserve">Missing </w:t>
      </w:r>
      <w:r w:rsidR="00731C4E">
        <w:rPr>
          <w:rFonts w:ascii="Times New Roman" w:hAnsi="Times New Roman" w:cs="Times New Roman"/>
          <w:sz w:val="24"/>
          <w:szCs w:val="24"/>
        </w:rPr>
        <w:t>D</w:t>
      </w:r>
      <w:r w:rsidR="002F4F4C" w:rsidRPr="00731C4E">
        <w:rPr>
          <w:rFonts w:ascii="Times New Roman" w:hAnsi="Times New Roman" w:cs="Times New Roman"/>
          <w:sz w:val="24"/>
          <w:szCs w:val="24"/>
        </w:rPr>
        <w:t xml:space="preserve">ata </w:t>
      </w:r>
      <w:r w:rsidR="00731C4E">
        <w:rPr>
          <w:rFonts w:ascii="Times New Roman" w:hAnsi="Times New Roman" w:cs="Times New Roman"/>
          <w:sz w:val="24"/>
          <w:szCs w:val="24"/>
        </w:rPr>
        <w:t>A</w:t>
      </w:r>
      <w:r w:rsidR="002F4F4C" w:rsidRPr="00731C4E">
        <w:rPr>
          <w:rFonts w:ascii="Times New Roman" w:hAnsi="Times New Roman" w:cs="Times New Roman"/>
          <w:sz w:val="24"/>
          <w:szCs w:val="24"/>
        </w:rPr>
        <w:t>nalysis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5"/>
        <w:gridCol w:w="2265"/>
        <w:gridCol w:w="2265"/>
        <w:gridCol w:w="1274"/>
        <w:gridCol w:w="1087"/>
      </w:tblGrid>
      <w:tr w:rsidR="00EA7CF4" w:rsidRPr="002F112E" w14:paraId="44B405F6" w14:textId="7FCA47A9" w:rsidTr="00731C4E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FF2FF33" w14:textId="77777777" w:rsidR="007B4927" w:rsidRPr="002F112E" w:rsidRDefault="007B4927" w:rsidP="004C53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BB0B7A" w14:textId="0F375E63" w:rsidR="007B4927" w:rsidRPr="002F112E" w:rsidRDefault="007D363B" w:rsidP="004C53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B4927" w:rsidRPr="002F112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833EF" w:rsidRPr="002F112E">
              <w:rPr>
                <w:rFonts w:ascii="Times New Roman" w:hAnsi="Times New Roman" w:cs="Times New Roman"/>
                <w:sz w:val="24"/>
                <w:szCs w:val="24"/>
              </w:rPr>
              <w:t>tained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individuals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3E0DB6" w14:textId="14215D3A" w:rsidR="007B4927" w:rsidRPr="002F112E" w:rsidRDefault="007D363B" w:rsidP="004C537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358D2" w:rsidRPr="002F112E">
              <w:rPr>
                <w:rFonts w:ascii="Times New Roman" w:hAnsi="Times New Roman" w:cs="Times New Roman"/>
                <w:sz w:val="24"/>
                <w:szCs w:val="24"/>
              </w:rPr>
              <w:t>issing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individuals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D9D8377" w14:textId="50F90800" w:rsidR="007B4927" w:rsidRPr="002F112E" w:rsidRDefault="007B4927" w:rsidP="004C53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value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0E2C1FCD" w14:textId="6586A10C" w:rsidR="007B4927" w:rsidRPr="002F112E" w:rsidRDefault="007B4927" w:rsidP="004C53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EA7CF4" w:rsidRPr="002F112E" w14:paraId="5C497D4C" w14:textId="4DCCA342" w:rsidTr="00731C4E">
        <w:trPr>
          <w:jc w:val="center"/>
        </w:trPr>
        <w:tc>
          <w:tcPr>
            <w:tcW w:w="2127" w:type="dxa"/>
            <w:tcBorders>
              <w:bottom w:val="nil"/>
            </w:tcBorders>
            <w:vAlign w:val="center"/>
          </w:tcPr>
          <w:p w14:paraId="49558283" w14:textId="3A143F10" w:rsidR="007B4927" w:rsidRPr="002F112E" w:rsidRDefault="00D51257" w:rsidP="00EA7CF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esponsiveness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B2F2FCB" w14:textId="5575FB08" w:rsidR="007B4927" w:rsidRPr="002F112E" w:rsidRDefault="00D51257" w:rsidP="00EA7C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D48B0D7" w14:textId="5B12B5CB" w:rsidR="007B4927" w:rsidRPr="002F112E" w:rsidRDefault="00D51257" w:rsidP="00EA7C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47078D3" w14:textId="4A8E959B" w:rsidR="007B4927" w:rsidRPr="002F112E" w:rsidRDefault="007074A5" w:rsidP="00E3128D">
            <w:pPr>
              <w:tabs>
                <w:tab w:val="decimal" w:pos="420"/>
              </w:tabs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25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D5125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3EA00620" w14:textId="13AC0B83" w:rsidR="007B4927" w:rsidRPr="002F112E" w:rsidRDefault="007074A5" w:rsidP="00CC2C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</w:tr>
      <w:tr w:rsidR="00EA7CF4" w:rsidRPr="002F112E" w14:paraId="1BC2862C" w14:textId="1C17C9BA" w:rsidTr="00731C4E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0A58C4DF" w14:textId="75AC8774" w:rsidR="00B358D2" w:rsidRPr="002F112E" w:rsidRDefault="00D51257" w:rsidP="00EA7CF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emandingness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ACB13C7" w14:textId="721B293F" w:rsidR="00B358D2" w:rsidRPr="002F112E" w:rsidRDefault="00D51257" w:rsidP="00EA7C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57F96E9" w14:textId="1353B05E" w:rsidR="00B358D2" w:rsidRPr="002F112E" w:rsidRDefault="00D51257" w:rsidP="00EA7C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EEC9B3D" w14:textId="21796E70" w:rsidR="00B358D2" w:rsidRPr="002F112E" w:rsidRDefault="007074A5" w:rsidP="00E3128D">
            <w:pPr>
              <w:tabs>
                <w:tab w:val="decimal" w:pos="420"/>
              </w:tabs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7A29EB7" w14:textId="45C7AED0" w:rsidR="00B358D2" w:rsidRPr="002F112E" w:rsidRDefault="007074A5" w:rsidP="00CC2C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</w:tr>
      <w:tr w:rsidR="00EA7CF4" w:rsidRPr="002F112E" w14:paraId="73A0092D" w14:textId="77777777" w:rsidTr="00731C4E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4DE40176" w14:textId="1CFBE1C1" w:rsidR="00B358D2" w:rsidRPr="002F112E" w:rsidRDefault="00D51257" w:rsidP="00EA7CF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utonomy granting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F18FD9C" w14:textId="7DDD4FFD" w:rsidR="00B358D2" w:rsidRPr="002F112E" w:rsidRDefault="00D51257" w:rsidP="00EA7C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CC6192C" w14:textId="555D74F8" w:rsidR="00B358D2" w:rsidRPr="002F112E" w:rsidRDefault="00D51257" w:rsidP="00EA7C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6C07C1D" w14:textId="5B0E29C2" w:rsidR="00B358D2" w:rsidRPr="002F112E" w:rsidRDefault="007074A5" w:rsidP="00E3128D">
            <w:pPr>
              <w:tabs>
                <w:tab w:val="decimal" w:pos="420"/>
              </w:tabs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257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D5125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16610D1" w14:textId="7D045C98" w:rsidR="00B358D2" w:rsidRPr="002F112E" w:rsidRDefault="007074A5" w:rsidP="00CC2C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EA7CF4" w:rsidRPr="002F112E" w14:paraId="2B7BEED5" w14:textId="77777777" w:rsidTr="00731C4E">
        <w:trPr>
          <w:jc w:val="center"/>
        </w:trPr>
        <w:tc>
          <w:tcPr>
            <w:tcW w:w="2127" w:type="dxa"/>
            <w:tcBorders>
              <w:top w:val="nil"/>
            </w:tcBorders>
            <w:vAlign w:val="center"/>
          </w:tcPr>
          <w:p w14:paraId="57392491" w14:textId="7241E26F" w:rsidR="00B358D2" w:rsidRPr="002F112E" w:rsidRDefault="00D51257" w:rsidP="00EA7CF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esilience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463CB2EE" w14:textId="5E3EA5C6" w:rsidR="00B358D2" w:rsidRPr="002F112E" w:rsidRDefault="00D51257" w:rsidP="00EA7C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.62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21A92FA7" w14:textId="5BC01C6A" w:rsidR="00B358D2" w:rsidRPr="002F112E" w:rsidRDefault="00D51257" w:rsidP="00EA7C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.60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7295CF50" w14:textId="404121BA" w:rsidR="00B358D2" w:rsidRPr="002F112E" w:rsidRDefault="00D51257" w:rsidP="00E3128D">
            <w:pPr>
              <w:tabs>
                <w:tab w:val="decimal" w:pos="420"/>
              </w:tabs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783F325C" w14:textId="06901CA3" w:rsidR="00B358D2" w:rsidRPr="002F112E" w:rsidRDefault="007074A5" w:rsidP="00CC2C4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</w:tr>
    </w:tbl>
    <w:p w14:paraId="0133EEE8" w14:textId="77B22891" w:rsidR="00760326" w:rsidRPr="002F112E" w:rsidRDefault="00760326" w:rsidP="00EA7C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112E">
        <w:rPr>
          <w:rFonts w:ascii="Times New Roman" w:hAnsi="Times New Roman" w:cs="Times New Roman"/>
          <w:sz w:val="24"/>
          <w:szCs w:val="24"/>
        </w:rPr>
        <w:br w:type="page"/>
      </w:r>
    </w:p>
    <w:p w14:paraId="2DA6FC17" w14:textId="5A8A6126" w:rsidR="00760326" w:rsidRPr="002F112E" w:rsidRDefault="001E55BF" w:rsidP="001600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F112E">
        <w:rPr>
          <w:rFonts w:ascii="Times New Roman" w:hAnsi="Times New Roman" w:cs="Times New Roman"/>
          <w:b/>
          <w:sz w:val="24"/>
          <w:szCs w:val="24"/>
        </w:rPr>
        <w:lastRenderedPageBreak/>
        <w:t>Supplemental Material</w:t>
      </w:r>
      <w:r w:rsidR="00760326" w:rsidRPr="002F112E">
        <w:rPr>
          <w:rFonts w:ascii="Times New Roman" w:hAnsi="Times New Roman" w:cs="Times New Roman"/>
          <w:b/>
          <w:sz w:val="24"/>
          <w:szCs w:val="24"/>
        </w:rPr>
        <w:t xml:space="preserve"> S2. </w:t>
      </w:r>
      <w:r w:rsidR="00160012" w:rsidRPr="002F112E">
        <w:rPr>
          <w:rFonts w:ascii="Times New Roman" w:hAnsi="Times New Roman" w:cs="Times New Roman"/>
          <w:b/>
          <w:sz w:val="24"/>
          <w:szCs w:val="24"/>
        </w:rPr>
        <w:t xml:space="preserve">Mediation </w:t>
      </w:r>
      <w:r w:rsidR="00731C4E">
        <w:rPr>
          <w:rFonts w:ascii="Times New Roman" w:hAnsi="Times New Roman" w:cs="Times New Roman"/>
          <w:b/>
          <w:sz w:val="24"/>
          <w:szCs w:val="24"/>
        </w:rPr>
        <w:t>A</w:t>
      </w:r>
      <w:r w:rsidR="00160012" w:rsidRPr="002F112E">
        <w:rPr>
          <w:rFonts w:ascii="Times New Roman" w:hAnsi="Times New Roman" w:cs="Times New Roman"/>
          <w:b/>
          <w:sz w:val="24"/>
          <w:szCs w:val="24"/>
        </w:rPr>
        <w:t xml:space="preserve">nalysis of the </w:t>
      </w:r>
      <w:r w:rsidR="00731C4E">
        <w:rPr>
          <w:rFonts w:ascii="Times New Roman" w:hAnsi="Times New Roman" w:cs="Times New Roman"/>
          <w:b/>
          <w:sz w:val="24"/>
          <w:szCs w:val="24"/>
        </w:rPr>
        <w:t>A</w:t>
      </w:r>
      <w:r w:rsidR="00160012" w:rsidRPr="002F112E">
        <w:rPr>
          <w:rFonts w:ascii="Times New Roman" w:hAnsi="Times New Roman" w:cs="Times New Roman"/>
          <w:b/>
          <w:sz w:val="24"/>
          <w:szCs w:val="24"/>
        </w:rPr>
        <w:t xml:space="preserve">lternative </w:t>
      </w:r>
      <w:r w:rsidR="00731C4E">
        <w:rPr>
          <w:rFonts w:ascii="Times New Roman" w:hAnsi="Times New Roman" w:cs="Times New Roman"/>
          <w:b/>
          <w:sz w:val="24"/>
          <w:szCs w:val="24"/>
        </w:rPr>
        <w:t>M</w:t>
      </w:r>
      <w:r w:rsidR="00160012" w:rsidRPr="002F112E">
        <w:rPr>
          <w:rFonts w:ascii="Times New Roman" w:hAnsi="Times New Roman" w:cs="Times New Roman"/>
          <w:b/>
          <w:sz w:val="24"/>
          <w:szCs w:val="24"/>
        </w:rPr>
        <w:t>odel</w:t>
      </w:r>
    </w:p>
    <w:p w14:paraId="3572F467" w14:textId="6C78DD5B" w:rsidR="00C51C24" w:rsidRPr="00731C4E" w:rsidRDefault="00C51C24" w:rsidP="00C51C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F112E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="00731C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1C4E">
        <w:rPr>
          <w:rFonts w:ascii="Times New Roman" w:hAnsi="Times New Roman" w:cs="Times New Roman"/>
          <w:sz w:val="24"/>
          <w:szCs w:val="24"/>
        </w:rPr>
        <w:t xml:space="preserve">The </w:t>
      </w:r>
      <w:r w:rsidR="00731C4E">
        <w:rPr>
          <w:rFonts w:ascii="Times New Roman" w:hAnsi="Times New Roman" w:cs="Times New Roman"/>
          <w:sz w:val="24"/>
          <w:szCs w:val="24"/>
        </w:rPr>
        <w:t>E</w:t>
      </w:r>
      <w:r w:rsidRPr="00731C4E">
        <w:rPr>
          <w:rFonts w:ascii="Times New Roman" w:hAnsi="Times New Roman" w:cs="Times New Roman"/>
          <w:sz w:val="24"/>
          <w:szCs w:val="24"/>
        </w:rPr>
        <w:t xml:space="preserve">ffects of </w:t>
      </w:r>
      <w:r w:rsidR="00731C4E">
        <w:rPr>
          <w:rFonts w:ascii="Times New Roman" w:hAnsi="Times New Roman" w:cs="Times New Roman"/>
          <w:sz w:val="24"/>
          <w:szCs w:val="24"/>
        </w:rPr>
        <w:t>R</w:t>
      </w:r>
      <w:r w:rsidR="007074A5" w:rsidRPr="00731C4E">
        <w:rPr>
          <w:rFonts w:ascii="Times New Roman" w:hAnsi="Times New Roman" w:cs="Times New Roman"/>
          <w:sz w:val="24"/>
          <w:szCs w:val="24"/>
        </w:rPr>
        <w:t>esilience</w:t>
      </w:r>
      <w:r w:rsidRPr="00731C4E">
        <w:rPr>
          <w:rFonts w:ascii="Times New Roman" w:hAnsi="Times New Roman" w:cs="Times New Roman"/>
          <w:sz w:val="24"/>
          <w:szCs w:val="24"/>
        </w:rPr>
        <w:t xml:space="preserve"> on </w:t>
      </w:r>
      <w:r w:rsidR="00731C4E">
        <w:rPr>
          <w:rFonts w:ascii="Times New Roman" w:hAnsi="Times New Roman" w:cs="Times New Roman"/>
          <w:sz w:val="24"/>
          <w:szCs w:val="24"/>
        </w:rPr>
        <w:t>L</w:t>
      </w:r>
      <w:r w:rsidR="007074A5" w:rsidRPr="00731C4E">
        <w:rPr>
          <w:rFonts w:ascii="Times New Roman" w:hAnsi="Times New Roman" w:cs="Times New Roman"/>
          <w:sz w:val="24"/>
          <w:szCs w:val="24"/>
        </w:rPr>
        <w:t xml:space="preserve">ife </w:t>
      </w:r>
      <w:r w:rsidR="00731C4E">
        <w:rPr>
          <w:rFonts w:ascii="Times New Roman" w:hAnsi="Times New Roman" w:cs="Times New Roman"/>
          <w:sz w:val="24"/>
          <w:szCs w:val="24"/>
        </w:rPr>
        <w:t>S</w:t>
      </w:r>
      <w:r w:rsidR="007074A5" w:rsidRPr="00731C4E">
        <w:rPr>
          <w:rFonts w:ascii="Times New Roman" w:hAnsi="Times New Roman" w:cs="Times New Roman"/>
          <w:sz w:val="24"/>
          <w:szCs w:val="24"/>
        </w:rPr>
        <w:t>atisfaction</w:t>
      </w:r>
      <w:r w:rsidRPr="00731C4E">
        <w:rPr>
          <w:rFonts w:ascii="Times New Roman" w:hAnsi="Times New Roman" w:cs="Times New Roman"/>
          <w:sz w:val="24"/>
          <w:szCs w:val="24"/>
        </w:rPr>
        <w:t xml:space="preserve"> via </w:t>
      </w:r>
      <w:r w:rsidR="00731C4E">
        <w:rPr>
          <w:rFonts w:ascii="Times New Roman" w:hAnsi="Times New Roman" w:cs="Times New Roman"/>
          <w:sz w:val="24"/>
          <w:szCs w:val="24"/>
        </w:rPr>
        <w:t>P</w:t>
      </w:r>
      <w:r w:rsidRPr="00731C4E">
        <w:rPr>
          <w:rFonts w:ascii="Times New Roman" w:hAnsi="Times New Roman" w:cs="Times New Roman"/>
          <w:sz w:val="24"/>
          <w:szCs w:val="24"/>
        </w:rPr>
        <w:t>aren</w:t>
      </w:r>
      <w:r w:rsidR="007074A5" w:rsidRPr="00731C4E">
        <w:rPr>
          <w:rFonts w:ascii="Times New Roman" w:hAnsi="Times New Roman" w:cs="Times New Roman"/>
          <w:sz w:val="24"/>
          <w:szCs w:val="24"/>
        </w:rPr>
        <w:t xml:space="preserve">ting </w:t>
      </w:r>
      <w:r w:rsidR="00731C4E">
        <w:rPr>
          <w:rFonts w:ascii="Times New Roman" w:hAnsi="Times New Roman" w:cs="Times New Roman"/>
          <w:sz w:val="24"/>
          <w:szCs w:val="24"/>
        </w:rPr>
        <w:t>P</w:t>
      </w:r>
      <w:r w:rsidR="007074A5" w:rsidRPr="00731C4E">
        <w:rPr>
          <w:rFonts w:ascii="Times New Roman" w:hAnsi="Times New Roman" w:cs="Times New Roman"/>
          <w:sz w:val="24"/>
          <w:szCs w:val="24"/>
        </w:rPr>
        <w:t>ractices</w:t>
      </w:r>
    </w:p>
    <w:tbl>
      <w:tblPr>
        <w:tblStyle w:val="a7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2126"/>
        <w:gridCol w:w="1559"/>
      </w:tblGrid>
      <w:tr w:rsidR="00C51C24" w:rsidRPr="002F112E" w14:paraId="280C5C03" w14:textId="77777777" w:rsidTr="00731C4E">
        <w:trPr>
          <w:jc w:val="center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616DAD4" w14:textId="77777777" w:rsidR="00C51C24" w:rsidRPr="002F112E" w:rsidRDefault="00C51C24" w:rsidP="007C2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ath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5D5AE77" w14:textId="77777777" w:rsidR="00C51C24" w:rsidRPr="002F112E" w:rsidRDefault="00C51C24" w:rsidP="00BC69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Standardized Estimate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92CE97" w14:textId="77777777" w:rsidR="00C51C24" w:rsidRPr="002F112E" w:rsidRDefault="00C51C24" w:rsidP="007C2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</w:tr>
      <w:tr w:rsidR="00C51C24" w:rsidRPr="002F112E" w14:paraId="559736E2" w14:textId="77777777" w:rsidTr="00731C4E">
        <w:trPr>
          <w:jc w:val="center"/>
        </w:trPr>
        <w:tc>
          <w:tcPr>
            <w:tcW w:w="5954" w:type="dxa"/>
            <w:tcBorders>
              <w:bottom w:val="nil"/>
            </w:tcBorders>
            <w:vAlign w:val="center"/>
          </w:tcPr>
          <w:p w14:paraId="7D329AF4" w14:textId="77777777" w:rsidR="00C51C24" w:rsidRPr="002F112E" w:rsidRDefault="00C51C24" w:rsidP="00C51C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irect effect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96F87DE" w14:textId="77777777" w:rsidR="00C51C24" w:rsidRPr="002F112E" w:rsidRDefault="00C51C24" w:rsidP="00C51C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6BC01A0" w14:textId="77777777" w:rsidR="00C51C24" w:rsidRPr="002F112E" w:rsidRDefault="00C51C24" w:rsidP="007C2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4A6" w:rsidRPr="002F112E" w14:paraId="23791F81" w14:textId="77777777" w:rsidTr="00731C4E">
        <w:trPr>
          <w:jc w:val="center"/>
        </w:trPr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25215B30" w14:textId="3DA67691" w:rsidR="004A14A6" w:rsidRPr="002F112E" w:rsidRDefault="00E3128D" w:rsidP="00A74249">
            <w:pPr>
              <w:spacing w:line="48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Resilience</w:t>
            </w:r>
            <w:r w:rsidR="004A14A6"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BB4072C" w14:textId="5B7321AD" w:rsidR="004A14A6" w:rsidRPr="002F112E" w:rsidRDefault="00182FF6" w:rsidP="00984FE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483E872" w14:textId="282BC892" w:rsidR="004A14A6" w:rsidRPr="002F112E" w:rsidRDefault="004A14A6" w:rsidP="007C2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[</w:t>
            </w:r>
            <w:r w:rsidR="00182FF6">
              <w:rPr>
                <w:rFonts w:ascii="Times New Roman" w:hAnsi="Times New Roman" w:cs="Times New Roman"/>
                <w:sz w:val="24"/>
                <w:szCs w:val="24"/>
              </w:rPr>
              <w:t>.31, .58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51C24" w:rsidRPr="002F112E" w14:paraId="0FCC5173" w14:textId="77777777" w:rsidTr="00731C4E">
        <w:trPr>
          <w:jc w:val="center"/>
        </w:trPr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5B7BB4B5" w14:textId="77777777" w:rsidR="00C51C24" w:rsidRPr="002F112E" w:rsidRDefault="00C51C24" w:rsidP="00C51C2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pecific indirect effect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3D070A0" w14:textId="77777777" w:rsidR="00C51C24" w:rsidRPr="002F112E" w:rsidRDefault="00C51C24" w:rsidP="00984FE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E7D810A" w14:textId="77777777" w:rsidR="00C51C24" w:rsidRPr="002F112E" w:rsidRDefault="00C51C24" w:rsidP="007C2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611" w:rsidRPr="002F112E" w14:paraId="65C65352" w14:textId="77777777" w:rsidTr="00731C4E">
        <w:trPr>
          <w:jc w:val="center"/>
        </w:trPr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2C5D6313" w14:textId="01194C24" w:rsidR="00C46611" w:rsidRPr="002F112E" w:rsidRDefault="00E3128D" w:rsidP="00A74249">
            <w:pPr>
              <w:spacing w:line="48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Resilience</w:t>
            </w:r>
            <w:r w:rsidR="00C46611"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Responsiveness</w:t>
            </w:r>
            <w:r w:rsidR="00C46611"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5AE8F85" w14:textId="1A10C555" w:rsidR="00C46611" w:rsidRPr="002F112E" w:rsidRDefault="00182FF6" w:rsidP="00984FE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4C49CF5" w14:textId="08A594E3" w:rsidR="00C46611" w:rsidRPr="002F112E" w:rsidRDefault="00C46611" w:rsidP="007C2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[</w:t>
            </w:r>
            <w:r w:rsidR="00984FE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r w:rsidR="00984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46611" w:rsidRPr="002F112E" w14:paraId="052345BF" w14:textId="77777777" w:rsidTr="00731C4E">
        <w:trPr>
          <w:jc w:val="center"/>
        </w:trPr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04775559" w14:textId="19852969" w:rsidR="00C46611" w:rsidRPr="002F112E" w:rsidRDefault="00E834BA" w:rsidP="00A74249">
            <w:pPr>
              <w:spacing w:line="48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Resilience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182FF6">
              <w:rPr>
                <w:rFonts w:ascii="Times New Roman" w:hAnsi="Times New Roman" w:cs="Times New Roman"/>
                <w:sz w:val="24"/>
                <w:szCs w:val="24"/>
              </w:rPr>
              <w:t>Demanding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ness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111E1AA" w14:textId="6AD05137" w:rsidR="00C46611" w:rsidRPr="002F112E" w:rsidRDefault="005811AA" w:rsidP="00984FE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A0E" w:rsidRPr="002F1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60B28A6" w14:textId="16CA6CFC" w:rsidR="00C46611" w:rsidRPr="002F112E" w:rsidRDefault="00C46611" w:rsidP="007C2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[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  <w:r w:rsidR="00044F27" w:rsidRPr="002F1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F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44F27" w:rsidRPr="002F112E">
              <w:rPr>
                <w:rFonts w:ascii="Times New Roman" w:hAnsi="Times New Roman" w:cs="Times New Roman"/>
                <w:sz w:val="24"/>
                <w:szCs w:val="24"/>
              </w:rPr>
              <w:t>, .0</w:t>
            </w:r>
            <w:r w:rsidR="00984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46611" w:rsidRPr="002F112E" w14:paraId="4408C8B1" w14:textId="77777777" w:rsidTr="00731C4E">
        <w:trPr>
          <w:jc w:val="center"/>
        </w:trPr>
        <w:tc>
          <w:tcPr>
            <w:tcW w:w="5954" w:type="dxa"/>
            <w:tcBorders>
              <w:top w:val="nil"/>
            </w:tcBorders>
            <w:vAlign w:val="center"/>
          </w:tcPr>
          <w:p w14:paraId="776F5973" w14:textId="208C1007" w:rsidR="00C46611" w:rsidRPr="002F112E" w:rsidRDefault="00E834BA" w:rsidP="00A74249">
            <w:pPr>
              <w:spacing w:line="48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Resilience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182FF6">
              <w:rPr>
                <w:rFonts w:ascii="Times New Roman" w:hAnsi="Times New Roman" w:cs="Times New Roman"/>
                <w:sz w:val="24"/>
                <w:szCs w:val="24"/>
              </w:rPr>
              <w:t>Autonomy Granting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Life Satisfaction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5C78B97" w14:textId="019EC3B7" w:rsidR="00C46611" w:rsidRPr="002F112E" w:rsidRDefault="005811AA" w:rsidP="00984FE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2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342C83E" w14:textId="3E3B9713" w:rsidR="00C46611" w:rsidRPr="002F112E" w:rsidRDefault="00C46611" w:rsidP="007C2AE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12E">
              <w:rPr>
                <w:rFonts w:ascii="Times New Roman" w:hAnsi="Times New Roman" w:cs="Times New Roman" w:hint="eastAsia"/>
                <w:sz w:val="24"/>
                <w:szCs w:val="24"/>
              </w:rPr>
              <w:t>[</w:t>
            </w:r>
            <w:r w:rsidR="00984FE8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r w:rsidR="00984F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F112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22EBA7DE" w14:textId="637004C0" w:rsidR="00C51C24" w:rsidRPr="002F112E" w:rsidRDefault="00C51C24" w:rsidP="00C466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51C24" w:rsidRPr="002F112E" w:rsidSect="002F112E">
      <w:headerReference w:type="default" r:id="rId6"/>
      <w:pgSz w:w="11906" w:h="16838" w:code="9"/>
      <w:pgMar w:top="1440" w:right="1440" w:bottom="1440" w:left="1440" w:header="851" w:footer="992" w:gutter="0"/>
      <w:pgNumType w:start="1"/>
      <w:cols w:space="425"/>
      <w:docGrid w:linePitch="314" w:charSpace="42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2FAF" w14:textId="77777777" w:rsidR="00B71DE3" w:rsidRDefault="00B71DE3" w:rsidP="00E320B8">
      <w:r>
        <w:separator/>
      </w:r>
    </w:p>
  </w:endnote>
  <w:endnote w:type="continuationSeparator" w:id="0">
    <w:p w14:paraId="427C8549" w14:textId="77777777" w:rsidR="00B71DE3" w:rsidRDefault="00B71DE3" w:rsidP="00E3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5744" w14:textId="77777777" w:rsidR="00B71DE3" w:rsidRDefault="00B71DE3" w:rsidP="00E320B8">
      <w:r>
        <w:separator/>
      </w:r>
    </w:p>
  </w:footnote>
  <w:footnote w:type="continuationSeparator" w:id="0">
    <w:p w14:paraId="4E272B58" w14:textId="77777777" w:rsidR="00B71DE3" w:rsidRDefault="00B71DE3" w:rsidP="00E3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4AF5" w14:textId="1968F555" w:rsidR="001F5D1B" w:rsidRPr="00496673" w:rsidRDefault="002F112E" w:rsidP="00496673">
    <w:pPr>
      <w:rPr>
        <w:rFonts w:ascii="Times New Roman" w:hAnsi="Times New Roman" w:cs="Times New Roman"/>
        <w:sz w:val="18"/>
        <w:szCs w:val="20"/>
      </w:rPr>
    </w:pPr>
    <w:r w:rsidRPr="00496673">
      <w:rPr>
        <w:rFonts w:ascii="Times New Roman" w:hAnsi="Times New Roman" w:cs="Times New Roman"/>
        <w:sz w:val="18"/>
        <w:szCs w:val="20"/>
      </w:rPr>
      <w:ptab w:relativeTo="margin" w:alignment="right" w:leader="none"/>
    </w:r>
    <w:r w:rsidRPr="00496673">
      <w:rPr>
        <w:rFonts w:ascii="Times New Roman" w:hAnsi="Times New Roman" w:cs="Times New Roman"/>
        <w:sz w:val="18"/>
        <w:szCs w:val="20"/>
      </w:rPr>
      <w:fldChar w:fldCharType="begin"/>
    </w:r>
    <w:r w:rsidRPr="00496673">
      <w:rPr>
        <w:rFonts w:ascii="Times New Roman" w:hAnsi="Times New Roman" w:cs="Times New Roman"/>
        <w:sz w:val="18"/>
        <w:szCs w:val="20"/>
      </w:rPr>
      <w:instrText>PAGE   \* MERGEFORMAT</w:instrText>
    </w:r>
    <w:r w:rsidRPr="00496673">
      <w:rPr>
        <w:rFonts w:ascii="Times New Roman" w:hAnsi="Times New Roman" w:cs="Times New Roman"/>
        <w:sz w:val="18"/>
        <w:szCs w:val="20"/>
      </w:rPr>
      <w:fldChar w:fldCharType="separate"/>
    </w:r>
    <w:r w:rsidRPr="00496673">
      <w:rPr>
        <w:rFonts w:ascii="Times New Roman" w:hAnsi="Times New Roman" w:cs="Times New Roman"/>
        <w:sz w:val="18"/>
        <w:szCs w:val="20"/>
      </w:rPr>
      <w:t>1</w:t>
    </w:r>
    <w:r w:rsidRPr="00496673">
      <w:rPr>
        <w:rFonts w:ascii="Times New Roman" w:hAnsi="Times New Roman" w:cs="Times New Roman"/>
        <w:sz w:val="18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41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52"/>
    <w:rsid w:val="00044F27"/>
    <w:rsid w:val="0005451D"/>
    <w:rsid w:val="000A5D01"/>
    <w:rsid w:val="000C5619"/>
    <w:rsid w:val="000E1D9C"/>
    <w:rsid w:val="00160012"/>
    <w:rsid w:val="00161D15"/>
    <w:rsid w:val="00182FF6"/>
    <w:rsid w:val="001B322B"/>
    <w:rsid w:val="001E55BF"/>
    <w:rsid w:val="001F5D1B"/>
    <w:rsid w:val="00207063"/>
    <w:rsid w:val="0025496F"/>
    <w:rsid w:val="002D2F2C"/>
    <w:rsid w:val="002F112E"/>
    <w:rsid w:val="002F3FCF"/>
    <w:rsid w:val="002F4F4C"/>
    <w:rsid w:val="00301986"/>
    <w:rsid w:val="003A2460"/>
    <w:rsid w:val="003C584B"/>
    <w:rsid w:val="004018EE"/>
    <w:rsid w:val="00410870"/>
    <w:rsid w:val="00444388"/>
    <w:rsid w:val="004629B0"/>
    <w:rsid w:val="004801F7"/>
    <w:rsid w:val="00496673"/>
    <w:rsid w:val="004A14A6"/>
    <w:rsid w:val="004C5378"/>
    <w:rsid w:val="004D69C7"/>
    <w:rsid w:val="00555300"/>
    <w:rsid w:val="005811AA"/>
    <w:rsid w:val="006D3E07"/>
    <w:rsid w:val="00705BD4"/>
    <w:rsid w:val="007074A5"/>
    <w:rsid w:val="00731C4E"/>
    <w:rsid w:val="00760326"/>
    <w:rsid w:val="00760475"/>
    <w:rsid w:val="00783765"/>
    <w:rsid w:val="007B4927"/>
    <w:rsid w:val="007C2AE7"/>
    <w:rsid w:val="007D363B"/>
    <w:rsid w:val="00832470"/>
    <w:rsid w:val="008453DE"/>
    <w:rsid w:val="0089482D"/>
    <w:rsid w:val="008E293F"/>
    <w:rsid w:val="008F557F"/>
    <w:rsid w:val="00905563"/>
    <w:rsid w:val="00984FE8"/>
    <w:rsid w:val="009F4808"/>
    <w:rsid w:val="00A47A0E"/>
    <w:rsid w:val="00A74249"/>
    <w:rsid w:val="00AA2352"/>
    <w:rsid w:val="00B251EC"/>
    <w:rsid w:val="00B358D2"/>
    <w:rsid w:val="00B5647B"/>
    <w:rsid w:val="00B649AE"/>
    <w:rsid w:val="00B71DE3"/>
    <w:rsid w:val="00B74D3B"/>
    <w:rsid w:val="00B86D2D"/>
    <w:rsid w:val="00B95441"/>
    <w:rsid w:val="00BC6900"/>
    <w:rsid w:val="00BE060D"/>
    <w:rsid w:val="00BE38AB"/>
    <w:rsid w:val="00C46611"/>
    <w:rsid w:val="00C51C24"/>
    <w:rsid w:val="00C833EF"/>
    <w:rsid w:val="00C9297D"/>
    <w:rsid w:val="00CC0ABD"/>
    <w:rsid w:val="00CC2C4D"/>
    <w:rsid w:val="00CE69EC"/>
    <w:rsid w:val="00D51257"/>
    <w:rsid w:val="00D67EF0"/>
    <w:rsid w:val="00DA5CEC"/>
    <w:rsid w:val="00E124B5"/>
    <w:rsid w:val="00E3128D"/>
    <w:rsid w:val="00E320B8"/>
    <w:rsid w:val="00E834BA"/>
    <w:rsid w:val="00EA197B"/>
    <w:rsid w:val="00EA7CF4"/>
    <w:rsid w:val="00EC022A"/>
    <w:rsid w:val="00FC7BCD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8AFAD"/>
  <w15:chartTrackingRefBased/>
  <w15:docId w15:val="{10FF6410-4793-49F1-848A-7FC00B31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2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2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20B8"/>
    <w:rPr>
      <w:sz w:val="18"/>
      <w:szCs w:val="18"/>
    </w:rPr>
  </w:style>
  <w:style w:type="table" w:styleId="a7">
    <w:name w:val="Table Grid"/>
    <w:basedOn w:val="a1"/>
    <w:uiPriority w:val="39"/>
    <w:rsid w:val="00E3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18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18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BXW</dc:creator>
  <cp:keywords/>
  <dc:description/>
  <cp:lastModifiedBy>Bi Xinwen</cp:lastModifiedBy>
  <cp:revision>38</cp:revision>
  <cp:lastPrinted>2022-08-17T02:33:00Z</cp:lastPrinted>
  <dcterms:created xsi:type="dcterms:W3CDTF">2020-12-06T00:44:00Z</dcterms:created>
  <dcterms:modified xsi:type="dcterms:W3CDTF">2022-09-30T01:56:00Z</dcterms:modified>
</cp:coreProperties>
</file>