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5E" w:rsidRDefault="00E834C7" w:rsidP="00E834C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E834C7">
        <w:rPr>
          <w:rFonts w:ascii="Times New Roman" w:hAnsi="Times New Roman"/>
          <w:b/>
          <w:color w:val="231F20"/>
          <w:sz w:val="24"/>
          <w:szCs w:val="24"/>
        </w:rPr>
        <w:t>Supplementary Table S1.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E834C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834C7">
        <w:rPr>
          <w:rFonts w:ascii="Times New Roman" w:hAnsi="Times New Roman" w:cs="Times New Roman"/>
          <w:sz w:val="24"/>
          <w:szCs w:val="24"/>
        </w:rPr>
        <w:t>etailed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E834C7">
        <w:rPr>
          <w:rFonts w:ascii="Times New Roman" w:hAnsi="Times New Roman" w:cs="Times New Roman"/>
          <w:sz w:val="24"/>
          <w:szCs w:val="24"/>
        </w:rPr>
        <w:t xml:space="preserve">escription of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834C7">
        <w:rPr>
          <w:rFonts w:ascii="Times New Roman" w:hAnsi="Times New Roman" w:cs="Times New Roman"/>
          <w:sz w:val="24"/>
          <w:szCs w:val="24"/>
        </w:rPr>
        <w:t xml:space="preserve">andidate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834C7">
        <w:rPr>
          <w:rFonts w:ascii="Times New Roman" w:hAnsi="Times New Roman" w:cs="Times New Roman"/>
          <w:sz w:val="24"/>
          <w:szCs w:val="24"/>
        </w:rPr>
        <w:t>redictors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607"/>
      </w:tblGrid>
      <w:tr w:rsidR="00E834C7" w:rsidTr="008A6ACF">
        <w:trPr>
          <w:trHeight w:val="566"/>
        </w:trPr>
        <w:tc>
          <w:tcPr>
            <w:tcW w:w="2689" w:type="dxa"/>
            <w:vAlign w:val="center"/>
          </w:tcPr>
          <w:p w:rsidR="00E834C7" w:rsidRPr="005239F9" w:rsidRDefault="00E834C7" w:rsidP="00E834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9F9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5607" w:type="dxa"/>
            <w:vAlign w:val="center"/>
          </w:tcPr>
          <w:p w:rsidR="00E834C7" w:rsidRPr="005239F9" w:rsidRDefault="00E834C7" w:rsidP="00E834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9F9">
              <w:rPr>
                <w:rFonts w:ascii="Times New Roman" w:hAnsi="Times New Roman" w:cs="Times New Roman"/>
                <w:b/>
                <w:sz w:val="20"/>
                <w:szCs w:val="20"/>
              </w:rPr>
              <w:t>Measurements</w:t>
            </w:r>
          </w:p>
        </w:tc>
      </w:tr>
      <w:tr w:rsidR="00E834C7" w:rsidTr="008A6ACF">
        <w:tc>
          <w:tcPr>
            <w:tcW w:w="2689" w:type="dxa"/>
            <w:vAlign w:val="center"/>
          </w:tcPr>
          <w:p w:rsidR="00E834C7" w:rsidRPr="005239F9" w:rsidRDefault="00FF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 w:rsidR="00E834C7"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ge</w:t>
            </w:r>
          </w:p>
        </w:tc>
        <w:tc>
          <w:tcPr>
            <w:tcW w:w="5607" w:type="dxa"/>
            <w:vAlign w:val="center"/>
          </w:tcPr>
          <w:p w:rsidR="00E834C7" w:rsidRPr="005239F9" w:rsidRDefault="00BF2ABD" w:rsidP="00D43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 at baseline survey: </w:t>
            </w:r>
            <w:r w:rsidR="00D43873" w:rsidRPr="005239F9">
              <w:rPr>
                <w:rFonts w:ascii="Times New Roman" w:hAnsi="Times New Roman" w:cs="Times New Roman"/>
                <w:sz w:val="20"/>
                <w:szCs w:val="20"/>
              </w:rPr>
              <w:t>60-75 years, 75-90 years, ≥90 years</w:t>
            </w:r>
          </w:p>
        </w:tc>
      </w:tr>
      <w:tr w:rsidR="00E834C7" w:rsidTr="008A6ACF">
        <w:tc>
          <w:tcPr>
            <w:tcW w:w="2689" w:type="dxa"/>
            <w:vAlign w:val="center"/>
          </w:tcPr>
          <w:p w:rsidR="00E834C7" w:rsidRPr="005239F9" w:rsidRDefault="00FF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</w:t>
            </w:r>
            <w:r w:rsidR="00E834C7"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ender</w:t>
            </w:r>
          </w:p>
        </w:tc>
        <w:tc>
          <w:tcPr>
            <w:tcW w:w="5607" w:type="dxa"/>
            <w:vAlign w:val="center"/>
          </w:tcPr>
          <w:p w:rsidR="00E834C7" w:rsidRPr="005239F9" w:rsidRDefault="005239F9" w:rsidP="0052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hAnsi="Times New Roman" w:cs="Times New Roman"/>
                <w:sz w:val="20"/>
                <w:szCs w:val="20"/>
              </w:rPr>
              <w:t>male, female</w:t>
            </w:r>
          </w:p>
        </w:tc>
      </w:tr>
      <w:tr w:rsidR="00E834C7" w:rsidTr="008A6ACF">
        <w:tc>
          <w:tcPr>
            <w:tcW w:w="2689" w:type="dxa"/>
            <w:vAlign w:val="center"/>
          </w:tcPr>
          <w:p w:rsidR="00E834C7" w:rsidRPr="005239F9" w:rsidRDefault="00FF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R</w:t>
            </w:r>
            <w:r w:rsidR="00E834C7"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esidence</w:t>
            </w:r>
          </w:p>
        </w:tc>
        <w:tc>
          <w:tcPr>
            <w:tcW w:w="5607" w:type="dxa"/>
            <w:vAlign w:val="center"/>
          </w:tcPr>
          <w:p w:rsidR="00E834C7" w:rsidRPr="005239F9" w:rsidRDefault="00BF2ABD" w:rsidP="00580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Current </w:t>
            </w:r>
            <w:r w:rsidR="00580EF3">
              <w:rPr>
                <w:rFonts w:ascii="Times New Roman" w:hAnsi="Times New Roman" w:cs="Times New Roman"/>
                <w:sz w:val="20"/>
                <w:szCs w:val="20"/>
              </w:rPr>
              <w:t xml:space="preserve">place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residen</w:t>
            </w:r>
            <w:r w:rsidR="00580EF3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239F9" w:rsidRPr="005239F9">
              <w:rPr>
                <w:rFonts w:ascii="Times New Roman" w:hAnsi="Times New Roman" w:cs="Times New Roman"/>
                <w:sz w:val="20"/>
                <w:szCs w:val="20"/>
              </w:rPr>
              <w:t>rural, urban</w:t>
            </w:r>
          </w:p>
        </w:tc>
      </w:tr>
      <w:tr w:rsidR="00E834C7" w:rsidTr="008A6ACF">
        <w:tc>
          <w:tcPr>
            <w:tcW w:w="2689" w:type="dxa"/>
            <w:vAlign w:val="center"/>
          </w:tcPr>
          <w:p w:rsidR="00E834C7" w:rsidRPr="005239F9" w:rsidRDefault="00FF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 w:rsidR="00E834C7"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arital status</w:t>
            </w:r>
          </w:p>
        </w:tc>
        <w:tc>
          <w:tcPr>
            <w:tcW w:w="5607" w:type="dxa"/>
            <w:vAlign w:val="center"/>
          </w:tcPr>
          <w:p w:rsidR="00E834C7" w:rsidRPr="005239F9" w:rsidRDefault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Current marital status: married, others</w:t>
            </w:r>
            <w:r w:rsidR="005239F9" w:rsidRPr="005239F9">
              <w:rPr>
                <w:rFonts w:ascii="Times New Roman" w:hAnsi="Times New Roman" w:cs="Times New Roman"/>
                <w:sz w:val="20"/>
                <w:szCs w:val="20"/>
              </w:rPr>
              <w:t xml:space="preserve"> (including divorced, widowed, etc.)</w:t>
            </w:r>
          </w:p>
        </w:tc>
      </w:tr>
      <w:tr w:rsidR="00E834C7" w:rsidTr="008A6ACF">
        <w:tc>
          <w:tcPr>
            <w:tcW w:w="2689" w:type="dxa"/>
            <w:vAlign w:val="center"/>
          </w:tcPr>
          <w:p w:rsidR="00E834C7" w:rsidRPr="005239F9" w:rsidRDefault="00FF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E</w:t>
            </w:r>
            <w:r w:rsidR="00E834C7"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ducational attainment</w:t>
            </w:r>
          </w:p>
        </w:tc>
        <w:tc>
          <w:tcPr>
            <w:tcW w:w="5607" w:type="dxa"/>
            <w:vAlign w:val="center"/>
          </w:tcPr>
          <w:p w:rsidR="00E834C7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Highest educational attainment: </w:t>
            </w:r>
            <w:r w:rsidR="005239F9" w:rsidRPr="005239F9">
              <w:rPr>
                <w:rFonts w:ascii="Times New Roman" w:hAnsi="Times New Roman" w:cs="Times New Roman"/>
                <w:sz w:val="20"/>
                <w:szCs w:val="20"/>
              </w:rPr>
              <w:t>primary school and below, middle school, high school, above high school</w:t>
            </w:r>
          </w:p>
        </w:tc>
      </w:tr>
      <w:tr w:rsidR="00E834C7" w:rsidTr="008A6ACF">
        <w:tc>
          <w:tcPr>
            <w:tcW w:w="2689" w:type="dxa"/>
            <w:vAlign w:val="center"/>
          </w:tcPr>
          <w:p w:rsidR="00E834C7" w:rsidRPr="005239F9" w:rsidRDefault="00FF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H</w:t>
            </w:r>
            <w:r w:rsidR="00E834C7"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ousehold income per capita</w:t>
            </w:r>
          </w:p>
        </w:tc>
        <w:tc>
          <w:tcPr>
            <w:tcW w:w="5607" w:type="dxa"/>
            <w:vAlign w:val="center"/>
          </w:tcPr>
          <w:p w:rsidR="00E834C7" w:rsidRPr="005239F9" w:rsidRDefault="00580EF3" w:rsidP="00580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Current</w:t>
            </w: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h</w:t>
            </w: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ousehold income per capita</w:t>
            </w:r>
            <w: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</w:t>
            </w:r>
            <w:r w:rsidR="005239F9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&lt;3000 yuan/month, 3000-5000 yuan/month, &gt;5000 yuan/month</w:t>
            </w:r>
          </w:p>
        </w:tc>
      </w:tr>
      <w:tr w:rsidR="00E834C7" w:rsidTr="008A6ACF">
        <w:tc>
          <w:tcPr>
            <w:tcW w:w="2689" w:type="dxa"/>
            <w:vAlign w:val="center"/>
          </w:tcPr>
          <w:p w:rsidR="00E834C7" w:rsidRPr="005239F9" w:rsidRDefault="00FF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H</w:t>
            </w:r>
            <w:r w:rsidR="00E834C7"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ealth insurance</w:t>
            </w:r>
          </w:p>
        </w:tc>
        <w:tc>
          <w:tcPr>
            <w:tcW w:w="5607" w:type="dxa"/>
            <w:vAlign w:val="center"/>
          </w:tcPr>
          <w:p w:rsidR="00E834C7" w:rsidRPr="005239F9" w:rsidRDefault="00580EF3" w:rsidP="00AF3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Current h</w:t>
            </w: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ealth insurance</w:t>
            </w:r>
            <w: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 xml:space="preserve"> enrollment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239F9">
              <w:rPr>
                <w:rFonts w:ascii="Times New Roman" w:hAnsi="Times New Roman" w:cs="Times New Roman"/>
                <w:sz w:val="20"/>
                <w:szCs w:val="20"/>
              </w:rPr>
              <w:t>no (</w:t>
            </w:r>
            <w:r w:rsidR="00AF335D">
              <w:rPr>
                <w:rFonts w:ascii="Times New Roman" w:hAnsi="Times New Roman" w:cs="Times New Roman"/>
                <w:sz w:val="20"/>
                <w:szCs w:val="20"/>
              </w:rPr>
              <w:t xml:space="preserve">had </w:t>
            </w:r>
            <w:r w:rsidR="005239F9">
              <w:rPr>
                <w:rFonts w:ascii="Times New Roman" w:hAnsi="Times New Roman" w:cs="Times New Roman"/>
                <w:sz w:val="20"/>
                <w:szCs w:val="20"/>
              </w:rPr>
              <w:t>no health insurance), yes (h</w:t>
            </w:r>
            <w:r w:rsidR="00AF335D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="005239F9">
              <w:rPr>
                <w:rFonts w:ascii="Times New Roman" w:hAnsi="Times New Roman" w:cs="Times New Roman"/>
                <w:sz w:val="20"/>
                <w:szCs w:val="20"/>
              </w:rPr>
              <w:t xml:space="preserve"> any type of social or commercial health insurance) </w:t>
            </w:r>
          </w:p>
        </w:tc>
      </w:tr>
      <w:tr w:rsidR="00E834C7" w:rsidTr="008A6ACF">
        <w:tc>
          <w:tcPr>
            <w:tcW w:w="2689" w:type="dxa"/>
            <w:vAlign w:val="center"/>
          </w:tcPr>
          <w:p w:rsidR="00E834C7" w:rsidRPr="005239F9" w:rsidRDefault="00FF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S</w:t>
            </w:r>
            <w:r w:rsidR="00E834C7"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moking</w:t>
            </w:r>
          </w:p>
        </w:tc>
        <w:tc>
          <w:tcPr>
            <w:tcW w:w="5607" w:type="dxa"/>
            <w:vAlign w:val="center"/>
          </w:tcPr>
          <w:p w:rsidR="00E834C7" w:rsidRPr="005239F9" w:rsidRDefault="00580EF3" w:rsidP="008A6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A6ACF">
              <w:rPr>
                <w:rFonts w:ascii="Times New Roman" w:hAnsi="Times New Roman" w:cs="Times New Roman"/>
                <w:sz w:val="20"/>
                <w:szCs w:val="20"/>
              </w:rPr>
              <w:t>oes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patient smoke: </w:t>
            </w:r>
            <w:r w:rsidR="00BF2ABD">
              <w:rPr>
                <w:rFonts w:ascii="Times New Roman" w:hAnsi="Times New Roman" w:cs="Times New Roman"/>
                <w:sz w:val="20"/>
                <w:szCs w:val="20"/>
              </w:rPr>
              <w:t>Never, previous, current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Drinking</w:t>
            </w:r>
          </w:p>
        </w:tc>
        <w:tc>
          <w:tcPr>
            <w:tcW w:w="5607" w:type="dxa"/>
            <w:vAlign w:val="center"/>
          </w:tcPr>
          <w:p w:rsidR="00BF2ABD" w:rsidRPr="005239F9" w:rsidRDefault="00580EF3" w:rsidP="008A6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A6ACF">
              <w:rPr>
                <w:rFonts w:ascii="Times New Roman" w:hAnsi="Times New Roman" w:cs="Times New Roman"/>
                <w:sz w:val="20"/>
                <w:szCs w:val="20"/>
              </w:rPr>
              <w:t xml:space="preserve">oes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patient drink (at least once per week): </w:t>
            </w:r>
            <w:r w:rsidR="00BF2ABD">
              <w:rPr>
                <w:rFonts w:ascii="Times New Roman" w:hAnsi="Times New Roman" w:cs="Times New Roman"/>
                <w:sz w:val="20"/>
                <w:szCs w:val="20"/>
              </w:rPr>
              <w:t>Never, previous, current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Nutrition</w:t>
            </w:r>
          </w:p>
        </w:tc>
        <w:tc>
          <w:tcPr>
            <w:tcW w:w="5607" w:type="dxa"/>
            <w:vAlign w:val="center"/>
          </w:tcPr>
          <w:p w:rsidR="00BF2ABD" w:rsidRPr="005239F9" w:rsidRDefault="00580EF3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 is the patient’s nutrition condition: poor, fair, good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Fruit consumption</w:t>
            </w:r>
          </w:p>
        </w:tc>
        <w:tc>
          <w:tcPr>
            <w:tcW w:w="5607" w:type="dxa"/>
            <w:vAlign w:val="center"/>
          </w:tcPr>
          <w:p w:rsidR="00BF2ABD" w:rsidRPr="005239F9" w:rsidRDefault="00580EF3" w:rsidP="00363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 often d</w:t>
            </w:r>
            <w:r w:rsidR="00363778">
              <w:rPr>
                <w:rFonts w:ascii="Times New Roman" w:hAnsi="Times New Roman" w:cs="Times New Roman"/>
                <w:sz w:val="20"/>
                <w:szCs w:val="20"/>
              </w:rPr>
              <w:t>oes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patient eat fruit: &lt;1 time/day, </w:t>
            </w:r>
            <w:r w:rsidRPr="00840DA6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≥</w:t>
            </w:r>
            <w:r w:rsidRPr="00840DA6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 time/day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Vegetable consumption</w:t>
            </w:r>
          </w:p>
        </w:tc>
        <w:tc>
          <w:tcPr>
            <w:tcW w:w="5607" w:type="dxa"/>
            <w:vAlign w:val="center"/>
          </w:tcPr>
          <w:p w:rsidR="00BF2ABD" w:rsidRPr="005239F9" w:rsidRDefault="00580EF3" w:rsidP="00363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 often d</w:t>
            </w:r>
            <w:r w:rsidR="00363778">
              <w:rPr>
                <w:rFonts w:ascii="Times New Roman" w:hAnsi="Times New Roman" w:cs="Times New Roman"/>
                <w:sz w:val="20"/>
                <w:szCs w:val="20"/>
              </w:rPr>
              <w:t>oes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patient eat vegetable: &lt;1 time/day, </w:t>
            </w:r>
            <w:r w:rsidRPr="00840DA6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≥</w:t>
            </w:r>
            <w:r w:rsidRPr="00840DA6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 time/day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Milk consumption</w:t>
            </w:r>
          </w:p>
        </w:tc>
        <w:tc>
          <w:tcPr>
            <w:tcW w:w="5607" w:type="dxa"/>
            <w:vAlign w:val="center"/>
          </w:tcPr>
          <w:p w:rsidR="00BF2ABD" w:rsidRPr="005239F9" w:rsidRDefault="00580EF3" w:rsidP="00363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ow often </w:t>
            </w:r>
            <w:r w:rsidR="00363778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patient drink milk: &lt;1 time/day, </w:t>
            </w:r>
            <w:r w:rsidRPr="00840DA6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≥</w:t>
            </w:r>
            <w:r w:rsidRPr="00840DA6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 time/day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Living arrangement</w:t>
            </w:r>
          </w:p>
        </w:tc>
        <w:tc>
          <w:tcPr>
            <w:tcW w:w="5607" w:type="dxa"/>
            <w:vAlign w:val="center"/>
          </w:tcPr>
          <w:p w:rsidR="00BF2ABD" w:rsidRPr="005239F9" w:rsidRDefault="00D80CCA" w:rsidP="00D80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 is the patient’s living arrangement:</w:t>
            </w:r>
            <w:r>
              <w:t xml:space="preserve"> </w:t>
            </w:r>
            <w:r w:rsidRPr="00D80CCA">
              <w:rPr>
                <w:rFonts w:ascii="Times New Roman" w:hAnsi="Times New Roman" w:cs="Times New Roman"/>
                <w:sz w:val="20"/>
                <w:szCs w:val="20"/>
              </w:rPr>
              <w:t>living with others, living alone, living in the nursing homes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Social isolation</w:t>
            </w:r>
          </w:p>
        </w:tc>
        <w:tc>
          <w:tcPr>
            <w:tcW w:w="5607" w:type="dxa"/>
            <w:vAlign w:val="center"/>
          </w:tcPr>
          <w:p w:rsidR="00BF2ABD" w:rsidRPr="005239F9" w:rsidRDefault="00D80CCA" w:rsidP="00027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Measured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using the</w:t>
            </w:r>
            <w:r w:rsidRPr="00D80CCA">
              <w:rPr>
                <w:rFonts w:ascii="Times New Roman" w:hAnsi="Times New Roman" w:cs="Times New Roman"/>
                <w:sz w:val="20"/>
                <w:szCs w:val="20"/>
              </w:rPr>
              <w:t xml:space="preserve"> Lubben Social Network Scale-6 (LSNS-6)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scale. A total score of </w:t>
            </w:r>
            <w:r w:rsidRPr="00D80CCA">
              <w:rPr>
                <w:rFonts w:ascii="Times New Roman" w:hAnsi="Times New Roman" w:cs="Times New Roman" w:hint="eastAsia"/>
                <w:sz w:val="20"/>
                <w:szCs w:val="20"/>
              </w:rPr>
              <w:t>≤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was considered as social isolation</w:t>
            </w:r>
            <w:r w:rsidR="0002791D">
              <w:rPr>
                <w:rFonts w:ascii="Times New Roman" w:hAnsi="Times New Roman" w:cs="Times New Roman"/>
                <w:sz w:val="20"/>
                <w:szCs w:val="20"/>
              </w:rPr>
              <w:t xml:space="preserve"> (coded as “yes”)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or otherwise no social isolation</w:t>
            </w:r>
            <w:r w:rsidR="0002791D">
              <w:rPr>
                <w:rFonts w:ascii="Times New Roman" w:hAnsi="Times New Roman" w:cs="Times New Roman"/>
                <w:sz w:val="20"/>
                <w:szCs w:val="20"/>
              </w:rPr>
              <w:t xml:space="preserve"> (coded as “no”)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Sleep problem</w:t>
            </w:r>
          </w:p>
        </w:tc>
        <w:tc>
          <w:tcPr>
            <w:tcW w:w="5607" w:type="dxa"/>
            <w:vAlign w:val="center"/>
          </w:tcPr>
          <w:p w:rsidR="00BF2ABD" w:rsidRPr="005239F9" w:rsidRDefault="00612F84" w:rsidP="001C0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363778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patient have sleep problems:</w:t>
            </w:r>
            <w:r w:rsidR="001C035B">
              <w:rPr>
                <w:rFonts w:ascii="Times New Roman" w:hAnsi="Times New Roman" w:cs="Times New Roman"/>
                <w:sz w:val="20"/>
                <w:szCs w:val="20"/>
              </w:rPr>
              <w:t xml:space="preserve"> no, yes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Body mass index (</w:t>
            </w: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BMI</w:t>
            </w:r>
            <w:r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</w:t>
            </w:r>
          </w:p>
        </w:tc>
        <w:tc>
          <w:tcPr>
            <w:tcW w:w="5607" w:type="dxa"/>
            <w:vAlign w:val="center"/>
          </w:tcPr>
          <w:p w:rsidR="00BF2ABD" w:rsidRPr="005239F9" w:rsidRDefault="00256053" w:rsidP="003D7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</w:t>
            </w:r>
            <w:r w:rsidR="003D78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D7842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kg/m</w:t>
            </w:r>
            <w:r w:rsidR="003D7842" w:rsidRPr="00831978">
              <w:rPr>
                <w:rFonts w:ascii="Times New Roman" w:hAnsi="Times New Roman"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="003D7842" w:rsidRPr="003D7842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)</w:t>
            </w:r>
            <w:r w:rsidR="003D7842">
              <w:rPr>
                <w:rFonts w:ascii="Times New Roman" w:hAnsi="Times New Roman" w:cs="Times New Roman"/>
                <w:sz w:val="20"/>
                <w:szCs w:val="20"/>
              </w:rPr>
              <w:t xml:space="preserve"> was calculated based on height and weight, and categorized into underweight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</w:t>
            </w:r>
            <w:r w:rsidR="003D7842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&lt;18.5</w:t>
            </w:r>
            <w:r w:rsidR="003D7842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, </w:t>
            </w:r>
            <w:r w:rsidR="003D7842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normal (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18.5-24</w:t>
            </w:r>
            <w:r w:rsidR="003D7842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, </w:t>
            </w:r>
            <w:r w:rsidR="003D7842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overweight or obese (</w:t>
            </w:r>
            <w:r w:rsidRPr="00840DA6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4</w:t>
            </w:r>
            <w:r w:rsidR="003D7842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).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Life satisfaction</w:t>
            </w:r>
          </w:p>
        </w:tc>
        <w:tc>
          <w:tcPr>
            <w:tcW w:w="5607" w:type="dxa"/>
            <w:vAlign w:val="center"/>
          </w:tcPr>
          <w:p w:rsidR="00BF2ABD" w:rsidRPr="005239F9" w:rsidRDefault="009C0F0E" w:rsidP="00363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 satisfied</w:t>
            </w:r>
            <w:r w:rsidR="00363778">
              <w:rPr>
                <w:rFonts w:ascii="Times New Roman" w:hAnsi="Times New Roman" w:cs="Times New Roman"/>
                <w:sz w:val="20"/>
                <w:szCs w:val="20"/>
              </w:rPr>
              <w:t xml:space="preserve"> is the patient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 current life: poor, fair, good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Frailty</w:t>
            </w:r>
          </w:p>
        </w:tc>
        <w:tc>
          <w:tcPr>
            <w:tcW w:w="5607" w:type="dxa"/>
            <w:vAlign w:val="center"/>
          </w:tcPr>
          <w:p w:rsidR="00BF2ABD" w:rsidRPr="005239F9" w:rsidRDefault="00672B78" w:rsidP="00B91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Frailty was assessed</w:t>
            </w:r>
            <w:r w:rsidR="009C0F0E">
              <w:rPr>
                <w:rFonts w:ascii="Times New Roman" w:hAnsi="Times New Roman" w:cs="Times New Roman"/>
                <w:sz w:val="20"/>
                <w:szCs w:val="20"/>
              </w:rPr>
              <w:t xml:space="preserve"> using the </w:t>
            </w:r>
            <w:r w:rsidR="009C0F0E" w:rsidRPr="009C0F0E">
              <w:rPr>
                <w:rFonts w:ascii="Times New Roman" w:hAnsi="Times New Roman" w:cs="Times New Roman"/>
                <w:sz w:val="20"/>
                <w:szCs w:val="20"/>
              </w:rPr>
              <w:t>care partner-derived frailty</w:t>
            </w:r>
            <w:r w:rsidR="009C0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0F0E" w:rsidRPr="009C0F0E">
              <w:rPr>
                <w:rFonts w:ascii="Times New Roman" w:hAnsi="Times New Roman" w:cs="Times New Roman"/>
                <w:sz w:val="20"/>
                <w:szCs w:val="20"/>
              </w:rPr>
              <w:t>index based upon comprehensive geriatric</w:t>
            </w:r>
            <w:r w:rsidR="009C0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0F0E" w:rsidRPr="009C0F0E">
              <w:rPr>
                <w:rFonts w:ascii="Times New Roman" w:hAnsi="Times New Roman" w:cs="Times New Roman"/>
                <w:sz w:val="20"/>
                <w:szCs w:val="20"/>
              </w:rPr>
              <w:t xml:space="preserve">assessment </w:t>
            </w:r>
            <w:r w:rsidR="009C0F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C0F0E" w:rsidRPr="009C0F0E">
              <w:rPr>
                <w:rFonts w:ascii="Times New Roman" w:hAnsi="Times New Roman" w:cs="Times New Roman"/>
                <w:sz w:val="20"/>
                <w:szCs w:val="20"/>
              </w:rPr>
              <w:t>CP-FI-CGA</w:t>
            </w:r>
            <w:r w:rsidR="009C0F0E">
              <w:rPr>
                <w:rFonts w:ascii="Times New Roman" w:hAnsi="Times New Roman" w:cs="Times New Roman"/>
                <w:sz w:val="20"/>
                <w:szCs w:val="20"/>
              </w:rPr>
              <w:t>) scale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which was previously validated in emergency setting and completed by the caregiver of patient</w:t>
            </w:r>
            <w:r w:rsidR="009C0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73DFA">
              <w:rPr>
                <w:rFonts w:ascii="Times New Roman" w:hAnsi="Times New Roman" w:cs="Times New Roman"/>
                <w:sz w:val="20"/>
                <w:szCs w:val="20"/>
              </w:rPr>
              <w:t>We constructed the frailty index (</w:t>
            </w:r>
            <w:r w:rsidR="00A73DFA" w:rsidRPr="00672B78">
              <w:rPr>
                <w:rFonts w:ascii="Times New Roman" w:hAnsi="Times New Roman" w:cs="Times New Roman"/>
                <w:sz w:val="20"/>
                <w:szCs w:val="20"/>
              </w:rPr>
              <w:t>FI</w:t>
            </w:r>
            <w:r w:rsidR="00A73DFA">
              <w:rPr>
                <w:rFonts w:ascii="Times New Roman" w:hAnsi="Times New Roman" w:cs="Times New Roman"/>
                <w:sz w:val="20"/>
                <w:szCs w:val="20"/>
              </w:rPr>
              <w:t>) following the established studies, which wa</w:t>
            </w:r>
            <w:r w:rsidRPr="00672B78">
              <w:rPr>
                <w:rFonts w:ascii="Times New Roman" w:hAnsi="Times New Roman" w:cs="Times New Roman"/>
                <w:sz w:val="20"/>
                <w:szCs w:val="20"/>
              </w:rPr>
              <w:t>s the proportion of deficits present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2B78">
              <w:rPr>
                <w:rFonts w:ascii="Times New Roman" w:hAnsi="Times New Roman" w:cs="Times New Roman"/>
                <w:sz w:val="20"/>
                <w:szCs w:val="20"/>
              </w:rPr>
              <w:t xml:space="preserve">an individual out of a possible 44 </w:t>
            </w:r>
            <w:r w:rsidR="00B9164A">
              <w:rPr>
                <w:rStyle w:val="fontstyle01"/>
              </w:rPr>
              <w:t>health deficits covering chronic disease conditions, hearing or vision impairment, activities of daily living, psychological functions, and other health-related dimensions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9164A">
              <w:rPr>
                <w:rStyle w:val="fontstyle01"/>
              </w:rPr>
              <w:t>Each deficit was treated as a dichotomous or ordinal variable, measured on a scale between 0 and 1 to denote the increasing severity of health deficits.</w:t>
            </w:r>
            <w:r w:rsidR="00B9164A">
              <w:t xml:space="preserve"> </w:t>
            </w:r>
            <w:r w:rsidR="00B9164A">
              <w:rPr>
                <w:rStyle w:val="fontstyle01"/>
              </w:rPr>
              <w:lastRenderedPageBreak/>
              <w:t>We then quantified the overall level of frailty for a given participant by summing up all values of the 44 deficits, and divided the total frailty score by 44 to obtain frailty index</w:t>
            </w:r>
            <w:r w:rsidR="003C30F8">
              <w:rPr>
                <w:rStyle w:val="fontstyle01"/>
              </w:rPr>
              <w:t xml:space="preserve"> (which ranges between 0~1)</w:t>
            </w:r>
            <w:r w:rsidR="00B9164A">
              <w:rPr>
                <w:rStyle w:val="fontstyle01"/>
              </w:rPr>
              <w:t>.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35420E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lastRenderedPageBreak/>
              <w:t>Polypharma</w:t>
            </w:r>
            <w:bookmarkStart w:id="0" w:name="_GoBack"/>
            <w:bookmarkEnd w:id="0"/>
            <w:r w:rsidR="00BF2ABD"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cy</w:t>
            </w:r>
          </w:p>
        </w:tc>
        <w:tc>
          <w:tcPr>
            <w:tcW w:w="5607" w:type="dxa"/>
            <w:vAlign w:val="center"/>
          </w:tcPr>
          <w:p w:rsidR="00BF2ABD" w:rsidRPr="005239F9" w:rsidRDefault="00AA1754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63778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patient currently </w:t>
            </w:r>
            <w:r w:rsidRPr="00AA1754">
              <w:rPr>
                <w:rFonts w:ascii="Times New Roman" w:hAnsi="Times New Roman" w:cs="Times New Roman"/>
                <w:sz w:val="20"/>
                <w:szCs w:val="20"/>
              </w:rPr>
              <w:t>take five or more prescription medications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no, yes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Comorbidity</w:t>
            </w:r>
          </w:p>
        </w:tc>
        <w:tc>
          <w:tcPr>
            <w:tcW w:w="5607" w:type="dxa"/>
            <w:vAlign w:val="center"/>
          </w:tcPr>
          <w:p w:rsidR="00BF2ABD" w:rsidRPr="005239F9" w:rsidRDefault="00AA1754" w:rsidP="00AA1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oes the patient currently have five or more </w:t>
            </w:r>
            <w:r w:rsidRPr="00AA1754">
              <w:rPr>
                <w:rFonts w:ascii="Times New Roman" w:hAnsi="Times New Roman" w:cs="Times New Roman"/>
                <w:sz w:val="20"/>
                <w:szCs w:val="20"/>
              </w:rPr>
              <w:t>chronic non-communicable diseases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no, yes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Hypertension</w:t>
            </w:r>
          </w:p>
        </w:tc>
        <w:tc>
          <w:tcPr>
            <w:tcW w:w="5607" w:type="dxa"/>
            <w:vAlign w:val="center"/>
          </w:tcPr>
          <w:p w:rsidR="00BF2ABD" w:rsidRPr="005239F9" w:rsidRDefault="00AA1754" w:rsidP="00AA1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patient have hypertension: no, yes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eastAsia="宋体" w:hAnsi="Times New Roman" w:cs="Times New Roman"/>
                <w:color w:val="231F20"/>
                <w:sz w:val="20"/>
                <w:szCs w:val="20"/>
              </w:rPr>
              <w:t>Diabetes</w:t>
            </w:r>
          </w:p>
        </w:tc>
        <w:tc>
          <w:tcPr>
            <w:tcW w:w="5607" w:type="dxa"/>
            <w:vAlign w:val="center"/>
          </w:tcPr>
          <w:p w:rsidR="00BF2ABD" w:rsidRPr="005239F9" w:rsidRDefault="00AA1754" w:rsidP="00AA1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patient have diabetes: no, yes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Stroke</w:t>
            </w:r>
          </w:p>
        </w:tc>
        <w:tc>
          <w:tcPr>
            <w:tcW w:w="5607" w:type="dxa"/>
            <w:vAlign w:val="center"/>
          </w:tcPr>
          <w:p w:rsidR="00BF2ABD" w:rsidRPr="005239F9" w:rsidRDefault="00AA1754" w:rsidP="00AA1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patient have stroke: no, yes</w:t>
            </w:r>
          </w:p>
        </w:tc>
      </w:tr>
      <w:tr w:rsidR="00BF2ABD" w:rsidTr="008A6ACF">
        <w:tc>
          <w:tcPr>
            <w:tcW w:w="2689" w:type="dxa"/>
            <w:vAlign w:val="center"/>
          </w:tcPr>
          <w:p w:rsidR="00BF2ABD" w:rsidRPr="005239F9" w:rsidRDefault="00BF2ABD" w:rsidP="00BF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9F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ADL limitation</w:t>
            </w:r>
          </w:p>
        </w:tc>
        <w:tc>
          <w:tcPr>
            <w:tcW w:w="5607" w:type="dxa"/>
            <w:vAlign w:val="center"/>
          </w:tcPr>
          <w:p w:rsidR="00BF2ABD" w:rsidRPr="005239F9" w:rsidRDefault="00AA1754" w:rsidP="00712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Measured using the </w:t>
            </w:r>
            <w:r w:rsidRPr="00AA1754">
              <w:rPr>
                <w:rFonts w:ascii="Times New Roman" w:hAnsi="Times New Roman" w:cs="Times New Roman"/>
                <w:sz w:val="20"/>
                <w:szCs w:val="20"/>
              </w:rPr>
              <w:t>Activity of Daily Living</w:t>
            </w:r>
            <w:r w:rsidR="00712210">
              <w:rPr>
                <w:rFonts w:ascii="Times New Roman" w:hAnsi="Times New Roman" w:cs="Times New Roman"/>
                <w:sz w:val="20"/>
                <w:szCs w:val="20"/>
              </w:rPr>
              <w:t xml:space="preserve"> (ADL)</w:t>
            </w:r>
            <w:r w:rsidRPr="00AA1754">
              <w:rPr>
                <w:rFonts w:ascii="Times New Roman" w:hAnsi="Times New Roman" w:cs="Times New Roman"/>
                <w:sz w:val="20"/>
                <w:szCs w:val="20"/>
              </w:rPr>
              <w:t xml:space="preserve"> Scale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which included six items (namely, </w:t>
            </w:r>
            <w:r w:rsidRPr="00AA1754">
              <w:rPr>
                <w:rFonts w:ascii="Times New Roman" w:hAnsi="Times New Roman" w:cs="Times New Roman"/>
                <w:sz w:val="20"/>
                <w:szCs w:val="20"/>
              </w:rPr>
              <w:t>bathing, dressing, feeding oneself, using the toilet, getting in or out of bed and controlling urination and defecation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2210" w:rsidRPr="00712210">
              <w:rPr>
                <w:rFonts w:ascii="Times New Roman" w:hAnsi="Times New Roman" w:cs="Times New Roman"/>
                <w:sz w:val="20"/>
                <w:szCs w:val="20"/>
              </w:rPr>
              <w:t xml:space="preserve"> AD</w:t>
            </w:r>
            <w:r w:rsidR="00712210">
              <w:rPr>
                <w:rFonts w:ascii="Times New Roman" w:hAnsi="Times New Roman" w:cs="Times New Roman"/>
                <w:sz w:val="20"/>
                <w:szCs w:val="20"/>
              </w:rPr>
              <w:t>L limitation</w:t>
            </w:r>
            <w:r w:rsidR="00712210" w:rsidRPr="00712210">
              <w:rPr>
                <w:rFonts w:ascii="Times New Roman" w:hAnsi="Times New Roman" w:cs="Times New Roman"/>
                <w:sz w:val="20"/>
                <w:szCs w:val="20"/>
              </w:rPr>
              <w:t xml:space="preserve"> was defined if the </w:t>
            </w:r>
            <w:r w:rsidR="00712210">
              <w:rPr>
                <w:rFonts w:ascii="Times New Roman" w:hAnsi="Times New Roman" w:cs="Times New Roman"/>
                <w:sz w:val="20"/>
                <w:szCs w:val="20"/>
              </w:rPr>
              <w:t>patient</w:t>
            </w:r>
            <w:r w:rsidR="00712210" w:rsidRPr="00712210">
              <w:rPr>
                <w:rFonts w:ascii="Times New Roman" w:hAnsi="Times New Roman" w:cs="Times New Roman"/>
                <w:sz w:val="20"/>
                <w:szCs w:val="20"/>
              </w:rPr>
              <w:t xml:space="preserve"> had difficulty in at least 1 of the previously described ADL activities</w:t>
            </w:r>
            <w:r w:rsidR="00F244CB">
              <w:rPr>
                <w:rFonts w:ascii="Times New Roman" w:hAnsi="Times New Roman" w:cs="Times New Roman"/>
                <w:sz w:val="20"/>
                <w:szCs w:val="20"/>
              </w:rPr>
              <w:t xml:space="preserve"> (coded as “yes”), or otherwise “no”</w:t>
            </w:r>
            <w:r w:rsidR="00712210" w:rsidRPr="007122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239F9" w:rsidRPr="00E834C7" w:rsidRDefault="005239F9">
      <w:pPr>
        <w:rPr>
          <w:rFonts w:ascii="Times New Roman" w:hAnsi="Times New Roman" w:cs="Times New Roman"/>
          <w:sz w:val="24"/>
          <w:szCs w:val="24"/>
        </w:rPr>
      </w:pPr>
    </w:p>
    <w:sectPr w:rsidR="005239F9" w:rsidRPr="00E83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50D" w:rsidRDefault="00C8550D" w:rsidP="00E834C7">
      <w:r>
        <w:separator/>
      </w:r>
    </w:p>
  </w:endnote>
  <w:endnote w:type="continuationSeparator" w:id="0">
    <w:p w:rsidR="00C8550D" w:rsidRDefault="00C8550D" w:rsidP="00E8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50D" w:rsidRDefault="00C8550D" w:rsidP="00E834C7">
      <w:r>
        <w:separator/>
      </w:r>
    </w:p>
  </w:footnote>
  <w:footnote w:type="continuationSeparator" w:id="0">
    <w:p w:rsidR="00C8550D" w:rsidRDefault="00C8550D" w:rsidP="00E83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13"/>
    <w:rsid w:val="0002791D"/>
    <w:rsid w:val="001B3F5E"/>
    <w:rsid w:val="001C035B"/>
    <w:rsid w:val="00256053"/>
    <w:rsid w:val="002C4A4C"/>
    <w:rsid w:val="0035420E"/>
    <w:rsid w:val="00363778"/>
    <w:rsid w:val="003C30F8"/>
    <w:rsid w:val="003D7842"/>
    <w:rsid w:val="005239F9"/>
    <w:rsid w:val="00580EF3"/>
    <w:rsid w:val="00612F84"/>
    <w:rsid w:val="00663D3A"/>
    <w:rsid w:val="00672B78"/>
    <w:rsid w:val="00712210"/>
    <w:rsid w:val="00716313"/>
    <w:rsid w:val="008A6ACF"/>
    <w:rsid w:val="009C0F0E"/>
    <w:rsid w:val="009D3B69"/>
    <w:rsid w:val="00A73DFA"/>
    <w:rsid w:val="00AA1754"/>
    <w:rsid w:val="00AF335D"/>
    <w:rsid w:val="00B9164A"/>
    <w:rsid w:val="00BF2ABD"/>
    <w:rsid w:val="00C8550D"/>
    <w:rsid w:val="00CA77FC"/>
    <w:rsid w:val="00D43873"/>
    <w:rsid w:val="00D80CCA"/>
    <w:rsid w:val="00DF4F60"/>
    <w:rsid w:val="00E834C7"/>
    <w:rsid w:val="00EF3003"/>
    <w:rsid w:val="00F244CB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5ADC9"/>
  <w15:chartTrackingRefBased/>
  <w15:docId w15:val="{34B2F1E4-270B-4384-A95C-9762E981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4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4C7"/>
    <w:rPr>
      <w:sz w:val="18"/>
      <w:szCs w:val="18"/>
    </w:rPr>
  </w:style>
  <w:style w:type="table" w:styleId="a7">
    <w:name w:val="Table Grid"/>
    <w:basedOn w:val="a1"/>
    <w:uiPriority w:val="39"/>
    <w:rsid w:val="00E83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9164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Fan</dc:creator>
  <cp:keywords/>
  <dc:description/>
  <cp:lastModifiedBy>Keira Fan</cp:lastModifiedBy>
  <cp:revision>31</cp:revision>
  <dcterms:created xsi:type="dcterms:W3CDTF">2022-06-24T10:02:00Z</dcterms:created>
  <dcterms:modified xsi:type="dcterms:W3CDTF">2022-09-29T04:27:00Z</dcterms:modified>
</cp:coreProperties>
</file>