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301" w:rsidRPr="004F16E9" w:rsidRDefault="00D61301" w:rsidP="00D61301">
      <w:pPr>
        <w:pBdr>
          <w:bottom w:val="single" w:sz="4" w:space="1" w:color="auto"/>
        </w:pBdr>
        <w:rPr>
          <w:rFonts w:ascii="Arial" w:hAnsi="Arial" w:cs="Arial"/>
          <w:b/>
          <w:sz w:val="20"/>
          <w:szCs w:val="20"/>
        </w:rPr>
      </w:pPr>
      <w:r w:rsidRPr="004F16E9">
        <w:rPr>
          <w:rFonts w:ascii="Arial" w:hAnsi="Arial" w:cs="Arial"/>
          <w:b/>
          <w:sz w:val="20"/>
          <w:szCs w:val="20"/>
        </w:rPr>
        <w:t xml:space="preserve">Appendix </w:t>
      </w:r>
      <w:r>
        <w:rPr>
          <w:rFonts w:ascii="Arial" w:hAnsi="Arial" w:cs="Arial"/>
          <w:b/>
          <w:sz w:val="20"/>
          <w:szCs w:val="20"/>
        </w:rPr>
        <w:t>1</w:t>
      </w:r>
      <w:r w:rsidRPr="004F16E9">
        <w:rPr>
          <w:rFonts w:ascii="Arial" w:hAnsi="Arial" w:cs="Arial"/>
          <w:b/>
          <w:sz w:val="20"/>
          <w:szCs w:val="20"/>
        </w:rPr>
        <w:t>. Summary of feedback and revisions</w:t>
      </w:r>
      <w:r w:rsidR="00F83228">
        <w:rPr>
          <w:rFonts w:ascii="Arial" w:hAnsi="Arial" w:cs="Arial"/>
          <w:b/>
          <w:sz w:val="20"/>
          <w:szCs w:val="20"/>
        </w:rPr>
        <w:t xml:space="preserve"> to the preliminary list of attributes and levels</w:t>
      </w:r>
      <w:bookmarkStart w:id="0" w:name="_GoBack"/>
      <w:bookmarkEnd w:id="0"/>
      <w:r w:rsidRPr="004F16E9">
        <w:rPr>
          <w:rFonts w:ascii="Arial" w:hAnsi="Arial" w:cs="Arial"/>
          <w:b/>
          <w:sz w:val="20"/>
          <w:szCs w:val="20"/>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3879"/>
        <w:gridCol w:w="3542"/>
      </w:tblGrid>
      <w:tr w:rsidR="00D61301" w:rsidRPr="004F16E9" w:rsidTr="0011198A">
        <w:tc>
          <w:tcPr>
            <w:tcW w:w="1928" w:type="dxa"/>
            <w:tcBorders>
              <w:bottom w:val="single" w:sz="4" w:space="0" w:color="auto"/>
            </w:tcBorders>
          </w:tcPr>
          <w:p w:rsidR="00D61301" w:rsidRPr="004F16E9" w:rsidRDefault="00D61301" w:rsidP="0011198A">
            <w:pPr>
              <w:rPr>
                <w:rFonts w:ascii="Arial" w:hAnsi="Arial" w:cs="Arial"/>
                <w:b/>
                <w:sz w:val="20"/>
                <w:szCs w:val="20"/>
              </w:rPr>
            </w:pPr>
            <w:r w:rsidRPr="004F16E9">
              <w:rPr>
                <w:rFonts w:ascii="Arial" w:hAnsi="Arial" w:cs="Arial"/>
                <w:b/>
                <w:sz w:val="20"/>
                <w:szCs w:val="20"/>
              </w:rPr>
              <w:t>Category</w:t>
            </w:r>
          </w:p>
          <w:p w:rsidR="00D61301" w:rsidRPr="004F16E9" w:rsidRDefault="00D61301" w:rsidP="0011198A">
            <w:pPr>
              <w:rPr>
                <w:rFonts w:ascii="Arial" w:hAnsi="Arial" w:cs="Arial"/>
                <w:b/>
                <w:sz w:val="20"/>
                <w:szCs w:val="20"/>
              </w:rPr>
            </w:pPr>
          </w:p>
        </w:tc>
        <w:tc>
          <w:tcPr>
            <w:tcW w:w="3879" w:type="dxa"/>
            <w:tcBorders>
              <w:bottom w:val="single" w:sz="4" w:space="0" w:color="auto"/>
            </w:tcBorders>
          </w:tcPr>
          <w:p w:rsidR="00D61301" w:rsidRPr="004F16E9" w:rsidRDefault="00D61301" w:rsidP="0011198A">
            <w:pPr>
              <w:rPr>
                <w:rFonts w:ascii="Arial" w:hAnsi="Arial" w:cs="Arial"/>
                <w:b/>
                <w:sz w:val="20"/>
                <w:szCs w:val="20"/>
              </w:rPr>
            </w:pPr>
            <w:r w:rsidRPr="004F16E9">
              <w:rPr>
                <w:rFonts w:ascii="Arial" w:hAnsi="Arial" w:cs="Arial"/>
                <w:b/>
                <w:sz w:val="20"/>
                <w:szCs w:val="20"/>
              </w:rPr>
              <w:t>Participant Feedback and Experience</w:t>
            </w:r>
          </w:p>
        </w:tc>
        <w:tc>
          <w:tcPr>
            <w:tcW w:w="3543" w:type="dxa"/>
            <w:tcBorders>
              <w:bottom w:val="single" w:sz="4" w:space="0" w:color="auto"/>
            </w:tcBorders>
          </w:tcPr>
          <w:p w:rsidR="00D61301" w:rsidRPr="004F16E9" w:rsidRDefault="00D61301" w:rsidP="0011198A">
            <w:pPr>
              <w:rPr>
                <w:rFonts w:ascii="Arial" w:hAnsi="Arial" w:cs="Arial"/>
                <w:b/>
                <w:sz w:val="20"/>
                <w:szCs w:val="20"/>
              </w:rPr>
            </w:pPr>
            <w:r w:rsidRPr="004F16E9">
              <w:rPr>
                <w:rFonts w:ascii="Arial" w:hAnsi="Arial" w:cs="Arial"/>
                <w:b/>
                <w:sz w:val="20"/>
                <w:szCs w:val="20"/>
              </w:rPr>
              <w:t>Revisions Made</w:t>
            </w:r>
          </w:p>
        </w:tc>
      </w:tr>
      <w:tr w:rsidR="00D61301" w:rsidRPr="004F16E9" w:rsidTr="0011198A">
        <w:tc>
          <w:tcPr>
            <w:tcW w:w="1928" w:type="dxa"/>
            <w:vMerge w:val="restart"/>
            <w:tcBorders>
              <w:top w:val="single" w:sz="4" w:space="0" w:color="auto"/>
            </w:tcBorders>
          </w:tcPr>
          <w:p w:rsidR="00D61301" w:rsidRPr="004F16E9" w:rsidRDefault="00D61301" w:rsidP="0011198A">
            <w:pPr>
              <w:rPr>
                <w:rFonts w:ascii="Arial" w:hAnsi="Arial" w:cs="Arial"/>
                <w:b/>
                <w:sz w:val="20"/>
                <w:szCs w:val="20"/>
              </w:rPr>
            </w:pPr>
          </w:p>
          <w:p w:rsidR="00D61301" w:rsidRPr="004F16E9" w:rsidRDefault="00D61301" w:rsidP="0011198A">
            <w:pPr>
              <w:rPr>
                <w:rFonts w:ascii="Arial" w:hAnsi="Arial" w:cs="Arial"/>
                <w:b/>
                <w:sz w:val="20"/>
                <w:szCs w:val="20"/>
              </w:rPr>
            </w:pPr>
            <w:r w:rsidRPr="004F16E9">
              <w:rPr>
                <w:rFonts w:ascii="Arial" w:hAnsi="Arial" w:cs="Arial"/>
                <w:b/>
                <w:sz w:val="20"/>
                <w:szCs w:val="20"/>
              </w:rPr>
              <w:t>Framing of the task</w:t>
            </w: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bCs/>
                <w:i/>
                <w:color w:val="000000" w:themeColor="text1"/>
                <w:sz w:val="20"/>
                <w:szCs w:val="20"/>
              </w:rPr>
            </w:pPr>
          </w:p>
          <w:p w:rsidR="00D61301" w:rsidRPr="004F16E9" w:rsidRDefault="00D61301" w:rsidP="0011198A">
            <w:pPr>
              <w:spacing w:line="259" w:lineRule="auto"/>
              <w:rPr>
                <w:rFonts w:ascii="Arial" w:hAnsi="Arial" w:cs="Arial"/>
                <w:bCs/>
                <w:i/>
                <w:color w:val="000000" w:themeColor="text1"/>
                <w:sz w:val="20"/>
                <w:szCs w:val="20"/>
              </w:rPr>
            </w:pPr>
          </w:p>
          <w:p w:rsidR="00D61301" w:rsidRPr="004F16E9" w:rsidRDefault="00D61301" w:rsidP="0011198A">
            <w:pPr>
              <w:spacing w:line="259" w:lineRule="auto"/>
              <w:rPr>
                <w:rFonts w:ascii="Arial" w:hAnsi="Arial" w:cs="Arial"/>
                <w:b/>
                <w:bCs/>
                <w:i/>
                <w:color w:val="000000" w:themeColor="text1"/>
                <w:sz w:val="20"/>
                <w:szCs w:val="20"/>
              </w:rPr>
            </w:pPr>
            <w:r w:rsidRPr="004F16E9">
              <w:rPr>
                <w:rFonts w:ascii="Arial" w:hAnsi="Arial" w:cs="Arial"/>
                <w:bCs/>
                <w:i/>
                <w:color w:val="000000" w:themeColor="text1"/>
                <w:sz w:val="20"/>
                <w:szCs w:val="20"/>
              </w:rPr>
              <w:t>Hypothetical</w:t>
            </w:r>
            <w:r w:rsidRPr="004F16E9">
              <w:rPr>
                <w:rFonts w:ascii="Arial" w:hAnsi="Arial" w:cs="Arial"/>
                <w:b/>
                <w:bCs/>
                <w:i/>
                <w:color w:val="000000" w:themeColor="text1"/>
                <w:sz w:val="20"/>
                <w:szCs w:val="20"/>
              </w:rPr>
              <w:t xml:space="preserve"> </w:t>
            </w:r>
            <w:r w:rsidRPr="004F16E9">
              <w:rPr>
                <w:rFonts w:ascii="Arial" w:hAnsi="Arial" w:cs="Arial"/>
                <w:bCs/>
                <w:i/>
                <w:color w:val="000000" w:themeColor="text1"/>
                <w:sz w:val="20"/>
                <w:szCs w:val="20"/>
              </w:rPr>
              <w:t xml:space="preserve">Framing: </w:t>
            </w:r>
            <w:r w:rsidRPr="004F16E9">
              <w:rPr>
                <w:rFonts w:ascii="Arial" w:hAnsi="Arial" w:cs="Arial"/>
                <w:color w:val="000000" w:themeColor="text1"/>
                <w:sz w:val="20"/>
                <w:szCs w:val="20"/>
              </w:rPr>
              <w:t xml:space="preserve">Clients often based their responses on their current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care.</w:t>
            </w:r>
          </w:p>
          <w:p w:rsidR="00D61301" w:rsidRPr="004F16E9" w:rsidRDefault="00D61301" w:rsidP="0011198A">
            <w:pPr>
              <w:spacing w:line="259" w:lineRule="auto"/>
              <w:rPr>
                <w:rFonts w:ascii="Arial" w:hAnsi="Arial" w:cs="Arial"/>
                <w:color w:val="000000" w:themeColor="text1"/>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Interviewers to reiterate verbally that some choices may not reflect their current care and to consider how they would want an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site to be set up from a blank slate based on their wants.</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bCs/>
                <w:i/>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bCs/>
                <w:i/>
                <w:color w:val="000000" w:themeColor="text1"/>
                <w:sz w:val="20"/>
                <w:szCs w:val="20"/>
              </w:rPr>
              <w:t xml:space="preserve">Want Framing: </w:t>
            </w:r>
            <w:r w:rsidRPr="004F16E9">
              <w:rPr>
                <w:rFonts w:ascii="Arial" w:hAnsi="Arial" w:cs="Arial"/>
                <w:color w:val="000000" w:themeColor="text1"/>
                <w:sz w:val="20"/>
                <w:szCs w:val="20"/>
              </w:rPr>
              <w:t>Clients were inconsistent in how they framed the tasks. They all understood most/least wanted, but some said aloud “most/least important, most/least care about, most/least need”. This was done ununiformly (there are no particular questions that prompted different framing).</w:t>
            </w:r>
          </w:p>
          <w:p w:rsidR="00D61301" w:rsidRPr="004F16E9" w:rsidRDefault="00D61301" w:rsidP="0011198A">
            <w:pPr>
              <w:spacing w:line="259" w:lineRule="auto"/>
              <w:rPr>
                <w:rFonts w:ascii="Arial" w:hAnsi="Arial" w:cs="Arial"/>
                <w:bCs/>
                <w:i/>
                <w:color w:val="000000" w:themeColor="text1"/>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An interviewer note was added that reinforces that participants should choose based on what they </w:t>
            </w:r>
            <w:r w:rsidRPr="004F16E9">
              <w:rPr>
                <w:rFonts w:ascii="Arial" w:hAnsi="Arial" w:cs="Arial"/>
                <w:b/>
                <w:color w:val="000000" w:themeColor="text1"/>
                <w:sz w:val="20"/>
                <w:szCs w:val="20"/>
                <w:u w:val="single"/>
              </w:rPr>
              <w:t>want</w:t>
            </w:r>
            <w:r w:rsidRPr="004F16E9">
              <w:rPr>
                <w:rFonts w:ascii="Arial" w:hAnsi="Arial" w:cs="Arial"/>
                <w:color w:val="000000" w:themeColor="text1"/>
                <w:sz w:val="20"/>
                <w:szCs w:val="20"/>
              </w:rPr>
              <w:t xml:space="preserve"> most or least</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bCs/>
                <w:i/>
                <w:color w:val="000000" w:themeColor="text1"/>
                <w:sz w:val="20"/>
                <w:szCs w:val="20"/>
              </w:rPr>
            </w:pPr>
          </w:p>
          <w:p w:rsidR="00D61301" w:rsidRPr="004F16E9" w:rsidRDefault="00D61301" w:rsidP="0011198A">
            <w:pPr>
              <w:spacing w:line="259" w:lineRule="auto"/>
              <w:rPr>
                <w:rFonts w:ascii="Arial" w:hAnsi="Arial" w:cs="Arial"/>
                <w:bCs/>
                <w:i/>
                <w:color w:val="000000" w:themeColor="text1"/>
                <w:sz w:val="20"/>
                <w:szCs w:val="20"/>
              </w:rPr>
            </w:pPr>
            <w:r w:rsidRPr="004F16E9">
              <w:rPr>
                <w:rFonts w:ascii="Arial" w:hAnsi="Arial" w:cs="Arial"/>
                <w:bCs/>
                <w:i/>
                <w:color w:val="000000" w:themeColor="text1"/>
                <w:sz w:val="20"/>
                <w:szCs w:val="20"/>
              </w:rPr>
              <w:t xml:space="preserve">Timing Framing: </w:t>
            </w:r>
            <w:r w:rsidRPr="004F16E9">
              <w:rPr>
                <w:rFonts w:ascii="Arial" w:hAnsi="Arial" w:cs="Arial"/>
                <w:color w:val="000000" w:themeColor="text1"/>
                <w:sz w:val="20"/>
                <w:szCs w:val="20"/>
              </w:rPr>
              <w:t>Clients had questions about time and positionality when selecting their choices.</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spacing w:before="120" w:after="120"/>
              <w:rPr>
                <w:rFonts w:ascii="Arial" w:hAnsi="Arial" w:cs="Arial"/>
                <w:color w:val="000000" w:themeColor="text1"/>
                <w:sz w:val="20"/>
                <w:szCs w:val="20"/>
              </w:rPr>
            </w:pPr>
            <w:r w:rsidRPr="004F16E9">
              <w:rPr>
                <w:rFonts w:ascii="Arial" w:hAnsi="Arial" w:cs="Arial"/>
                <w:color w:val="000000" w:themeColor="text1"/>
                <w:sz w:val="20"/>
                <w:szCs w:val="20"/>
              </w:rPr>
              <w:t xml:space="preserve">Re-wrote the slide instructions more clearly and created an interviewer prompt to emphasize that choices should be made based on clients’ </w:t>
            </w:r>
            <w:r w:rsidRPr="004F16E9">
              <w:rPr>
                <w:rFonts w:ascii="Arial" w:hAnsi="Arial" w:cs="Arial"/>
                <w:b/>
                <w:bCs/>
                <w:color w:val="000000" w:themeColor="text1"/>
                <w:sz w:val="20"/>
                <w:szCs w:val="20"/>
                <w:u w:val="single"/>
              </w:rPr>
              <w:t>current</w:t>
            </w:r>
            <w:r w:rsidRPr="004F16E9">
              <w:rPr>
                <w:rFonts w:ascii="Arial" w:hAnsi="Arial" w:cs="Arial"/>
                <w:color w:val="000000" w:themeColor="text1"/>
                <w:sz w:val="20"/>
                <w:szCs w:val="20"/>
              </w:rPr>
              <w:t xml:space="preserve"> needs and preferences. </w:t>
            </w:r>
          </w:p>
        </w:tc>
      </w:tr>
      <w:tr w:rsidR="00D61301" w:rsidRPr="004F16E9" w:rsidTr="0011198A">
        <w:tc>
          <w:tcPr>
            <w:tcW w:w="1928" w:type="dxa"/>
            <w:vMerge/>
            <w:tcBorders>
              <w:bottom w:val="single" w:sz="4" w:space="0" w:color="auto"/>
            </w:tcBorders>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bCs/>
                <w:i/>
                <w:color w:val="000000" w:themeColor="text1"/>
                <w:sz w:val="20"/>
                <w:szCs w:val="20"/>
              </w:rPr>
            </w:pPr>
          </w:p>
          <w:p w:rsidR="00D61301" w:rsidRPr="004F16E9" w:rsidRDefault="00D61301" w:rsidP="0011198A">
            <w:pPr>
              <w:spacing w:line="259" w:lineRule="auto"/>
              <w:rPr>
                <w:rFonts w:ascii="Arial" w:hAnsi="Arial" w:cs="Arial"/>
                <w:bCs/>
                <w:i/>
                <w:color w:val="000000" w:themeColor="text1"/>
                <w:sz w:val="20"/>
                <w:szCs w:val="20"/>
              </w:rPr>
            </w:pPr>
            <w:r w:rsidRPr="004F16E9">
              <w:rPr>
                <w:rFonts w:ascii="Arial" w:hAnsi="Arial" w:cs="Arial"/>
                <w:bCs/>
                <w:i/>
                <w:color w:val="000000" w:themeColor="text1"/>
                <w:sz w:val="20"/>
                <w:szCs w:val="20"/>
              </w:rPr>
              <w:t xml:space="preserve">Current vs. Former </w:t>
            </w:r>
            <w:proofErr w:type="spellStart"/>
            <w:r w:rsidRPr="004F16E9">
              <w:rPr>
                <w:rFonts w:ascii="Arial" w:hAnsi="Arial" w:cs="Arial"/>
                <w:bCs/>
                <w:i/>
                <w:color w:val="000000" w:themeColor="text1"/>
                <w:sz w:val="20"/>
                <w:szCs w:val="20"/>
              </w:rPr>
              <w:t>iOAT</w:t>
            </w:r>
            <w:proofErr w:type="spellEnd"/>
            <w:r w:rsidRPr="004F16E9">
              <w:rPr>
                <w:rFonts w:ascii="Arial" w:hAnsi="Arial" w:cs="Arial"/>
                <w:bCs/>
                <w:i/>
                <w:color w:val="000000" w:themeColor="text1"/>
                <w:sz w:val="20"/>
                <w:szCs w:val="20"/>
              </w:rPr>
              <w:t xml:space="preserve"> Client Framing: </w:t>
            </w:r>
            <w:r w:rsidRPr="004F16E9">
              <w:rPr>
                <w:rFonts w:ascii="Arial" w:hAnsi="Arial" w:cs="Arial"/>
                <w:bCs/>
                <w:color w:val="000000" w:themeColor="text1"/>
                <w:sz w:val="20"/>
                <w:szCs w:val="20"/>
              </w:rPr>
              <w:t>F</w:t>
            </w:r>
            <w:r w:rsidRPr="004F16E9">
              <w:rPr>
                <w:rFonts w:ascii="Arial" w:hAnsi="Arial" w:cs="Arial"/>
                <w:color w:val="000000" w:themeColor="text1"/>
                <w:sz w:val="20"/>
                <w:szCs w:val="20"/>
              </w:rPr>
              <w:t xml:space="preserve">ormer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clients felt confused by the framing “continue with this care” since they are no longer receiving this treatment. Some tried to think retrospectively about what they would have wanted most/least.</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Task framing was revised to account for both groups of participants: </w:t>
            </w:r>
            <w:r w:rsidRPr="004F16E9">
              <w:rPr>
                <w:rFonts w:ascii="Arial" w:hAnsi="Arial" w:cs="Arial"/>
                <w:i/>
                <w:color w:val="000000" w:themeColor="text1"/>
                <w:sz w:val="20"/>
                <w:szCs w:val="20"/>
              </w:rPr>
              <w:t>“</w:t>
            </w:r>
            <w:r w:rsidRPr="004F16E9">
              <w:rPr>
                <w:rFonts w:ascii="Arial" w:eastAsia="Calibri" w:hAnsi="Arial" w:cs="Arial"/>
                <w:i/>
                <w:iCs/>
                <w:sz w:val="20"/>
                <w:szCs w:val="20"/>
              </w:rPr>
              <w:t xml:space="preserve">Within the options listed below, which is the most wanted/least wanted for you </w:t>
            </w:r>
            <w:r w:rsidRPr="004F16E9">
              <w:rPr>
                <w:rFonts w:ascii="Arial" w:eastAsia="Times New Roman" w:hAnsi="Arial" w:cs="Arial"/>
                <w:i/>
                <w:iCs/>
                <w:sz w:val="20"/>
                <w:szCs w:val="20"/>
              </w:rPr>
              <w:t xml:space="preserve">to continue with </w:t>
            </w:r>
            <w:proofErr w:type="spellStart"/>
            <w:r w:rsidRPr="004F16E9">
              <w:rPr>
                <w:rFonts w:ascii="Arial" w:eastAsia="Calibri" w:hAnsi="Arial" w:cs="Arial"/>
                <w:i/>
                <w:iCs/>
                <w:sz w:val="20"/>
                <w:szCs w:val="20"/>
              </w:rPr>
              <w:t>iOAT</w:t>
            </w:r>
            <w:proofErr w:type="spellEnd"/>
            <w:r w:rsidRPr="004F16E9">
              <w:rPr>
                <w:rFonts w:ascii="Arial" w:eastAsia="Calibri" w:hAnsi="Arial" w:cs="Arial"/>
                <w:i/>
                <w:iCs/>
                <w:sz w:val="20"/>
                <w:szCs w:val="20"/>
              </w:rPr>
              <w:t xml:space="preserve"> or for you to try it again</w:t>
            </w:r>
            <w:r w:rsidRPr="004F16E9">
              <w:rPr>
                <w:rFonts w:ascii="Arial" w:eastAsia="Calibri" w:hAnsi="Arial" w:cs="Arial"/>
                <w:i/>
                <w:sz w:val="20"/>
                <w:szCs w:val="20"/>
              </w:rPr>
              <w:t>?”</w:t>
            </w:r>
          </w:p>
        </w:tc>
      </w:tr>
      <w:tr w:rsidR="00D61301" w:rsidRPr="004F16E9" w:rsidTr="0011198A">
        <w:tc>
          <w:tcPr>
            <w:tcW w:w="1928" w:type="dxa"/>
            <w:vMerge w:val="restart"/>
            <w:tcBorders>
              <w:top w:val="single" w:sz="4" w:space="0" w:color="auto"/>
            </w:tcBorders>
          </w:tcPr>
          <w:p w:rsidR="00D61301" w:rsidRPr="004F16E9" w:rsidRDefault="00D61301" w:rsidP="0011198A">
            <w:pPr>
              <w:rPr>
                <w:rFonts w:ascii="Arial" w:hAnsi="Arial" w:cs="Arial"/>
                <w:b/>
                <w:sz w:val="20"/>
                <w:szCs w:val="20"/>
              </w:rPr>
            </w:pPr>
          </w:p>
          <w:p w:rsidR="00D61301" w:rsidRPr="004F16E9" w:rsidRDefault="00D61301" w:rsidP="0011198A">
            <w:pPr>
              <w:rPr>
                <w:rFonts w:ascii="Arial" w:hAnsi="Arial" w:cs="Arial"/>
                <w:b/>
                <w:sz w:val="20"/>
                <w:szCs w:val="20"/>
              </w:rPr>
            </w:pPr>
            <w:r w:rsidRPr="004F16E9">
              <w:rPr>
                <w:rFonts w:ascii="Arial" w:hAnsi="Arial" w:cs="Arial"/>
                <w:b/>
                <w:sz w:val="20"/>
                <w:szCs w:val="20"/>
              </w:rPr>
              <w:t>Accessibility</w:t>
            </w: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bCs/>
                <w:i/>
                <w:color w:val="000000" w:themeColor="text1"/>
                <w:sz w:val="20"/>
                <w:szCs w:val="20"/>
              </w:rPr>
            </w:pPr>
          </w:p>
          <w:p w:rsidR="00D61301" w:rsidRPr="004F16E9" w:rsidRDefault="00D61301" w:rsidP="0011198A">
            <w:pPr>
              <w:spacing w:line="259" w:lineRule="auto"/>
              <w:rPr>
                <w:rFonts w:ascii="Arial" w:hAnsi="Arial" w:cs="Arial"/>
                <w:i/>
                <w:color w:val="000000" w:themeColor="text1"/>
                <w:sz w:val="20"/>
                <w:szCs w:val="20"/>
              </w:rPr>
            </w:pPr>
            <w:r w:rsidRPr="004F16E9">
              <w:rPr>
                <w:rFonts w:ascii="Arial" w:hAnsi="Arial" w:cs="Arial"/>
                <w:bCs/>
                <w:i/>
                <w:color w:val="000000" w:themeColor="text1"/>
                <w:sz w:val="20"/>
                <w:szCs w:val="20"/>
              </w:rPr>
              <w:t>Visual Accessibility</w:t>
            </w:r>
            <w:r w:rsidRPr="004F16E9">
              <w:rPr>
                <w:rFonts w:ascii="Arial" w:hAnsi="Arial" w:cs="Arial"/>
                <w:i/>
                <w:color w:val="000000" w:themeColor="text1"/>
                <w:sz w:val="20"/>
                <w:szCs w:val="20"/>
              </w:rPr>
              <w:t xml:space="preserve">: </w:t>
            </w:r>
            <w:r w:rsidRPr="004F16E9">
              <w:rPr>
                <w:rFonts w:ascii="Arial" w:hAnsi="Arial" w:cs="Arial"/>
                <w:color w:val="000000" w:themeColor="text1"/>
                <w:sz w:val="20"/>
                <w:szCs w:val="20"/>
              </w:rPr>
              <w:t>Participants had challenges reading white text on coloured background, and the screen size was difficult for some participants to view.</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The relevant slides were changed to white background with dark text. We added an interviewer note to offer to hook the laptop up to a monitor with a bigger screen.</w:t>
            </w:r>
          </w:p>
          <w:p w:rsidR="00D61301" w:rsidRPr="004F16E9" w:rsidRDefault="00D61301" w:rsidP="0011198A">
            <w:pPr>
              <w:spacing w:line="259" w:lineRule="auto"/>
              <w:rPr>
                <w:rFonts w:ascii="Arial" w:hAnsi="Arial" w:cs="Arial"/>
                <w:color w:val="000000" w:themeColor="text1"/>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pStyle w:val="ListParagraph"/>
              <w:spacing w:line="259" w:lineRule="auto"/>
              <w:ind w:left="0"/>
              <w:jc w:val="left"/>
              <w:rPr>
                <w:rFonts w:ascii="Arial" w:hAnsi="Arial" w:cs="Arial"/>
                <w:bCs/>
                <w:i/>
                <w:color w:val="000000" w:themeColor="text1"/>
              </w:rPr>
            </w:pPr>
          </w:p>
          <w:p w:rsidR="00D61301" w:rsidRPr="004F16E9" w:rsidRDefault="00D61301" w:rsidP="0011198A">
            <w:pPr>
              <w:pStyle w:val="ListParagraph"/>
              <w:spacing w:line="259" w:lineRule="auto"/>
              <w:ind w:left="0"/>
              <w:jc w:val="left"/>
              <w:rPr>
                <w:rFonts w:ascii="Arial" w:hAnsi="Arial" w:cs="Arial"/>
                <w:bCs/>
                <w:i/>
                <w:color w:val="000000" w:themeColor="text1"/>
              </w:rPr>
            </w:pPr>
            <w:r w:rsidRPr="004F16E9">
              <w:rPr>
                <w:rFonts w:ascii="Arial" w:hAnsi="Arial" w:cs="Arial"/>
                <w:bCs/>
                <w:i/>
                <w:color w:val="000000" w:themeColor="text1"/>
              </w:rPr>
              <w:t xml:space="preserve">Literacy: </w:t>
            </w:r>
            <w:r w:rsidRPr="004F16E9">
              <w:rPr>
                <w:rFonts w:ascii="Arial" w:hAnsi="Arial" w:cs="Arial"/>
                <w:bCs/>
                <w:color w:val="000000" w:themeColor="text1"/>
              </w:rPr>
              <w:t>Some clients had computer literacy c</w:t>
            </w:r>
            <w:r w:rsidRPr="004F16E9">
              <w:rPr>
                <w:rFonts w:ascii="Arial" w:hAnsi="Arial" w:cs="Arial"/>
                <w:color w:val="000000" w:themeColor="text1"/>
              </w:rPr>
              <w:t>hallenges clicking desired options with the mouse, and challenges with reading/comprehending content heavy slides (educational materials).</w:t>
            </w:r>
          </w:p>
        </w:tc>
        <w:tc>
          <w:tcPr>
            <w:tcW w:w="3543"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 xml:space="preserve">Added interviewer note to offer to do the clicking for the participant. Added interviewer note to verbalize the attribute and levels overview slides and check-in on participants’ understanding of each before starting the survey. </w:t>
            </w:r>
          </w:p>
          <w:p w:rsidR="00D61301" w:rsidRPr="004F16E9" w:rsidRDefault="00D61301" w:rsidP="0011198A">
            <w:pPr>
              <w:rPr>
                <w:rFonts w:ascii="Arial" w:hAnsi="Arial" w:cs="Arial"/>
                <w:b/>
                <w:sz w:val="20"/>
                <w:szCs w:val="20"/>
              </w:rPr>
            </w:pPr>
          </w:p>
        </w:tc>
      </w:tr>
      <w:tr w:rsidR="00D61301" w:rsidRPr="004F16E9" w:rsidTr="0011198A">
        <w:tc>
          <w:tcPr>
            <w:tcW w:w="1928" w:type="dxa"/>
            <w:vMerge/>
            <w:tcBorders>
              <w:bottom w:val="single" w:sz="4" w:space="0" w:color="auto"/>
            </w:tcBorders>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bCs/>
                <w:color w:val="000000" w:themeColor="text1"/>
                <w:sz w:val="20"/>
                <w:szCs w:val="20"/>
              </w:rPr>
            </w:pPr>
          </w:p>
          <w:p w:rsidR="00D61301" w:rsidRPr="004F16E9" w:rsidRDefault="00D61301" w:rsidP="0011198A">
            <w:pPr>
              <w:spacing w:line="259" w:lineRule="auto"/>
              <w:rPr>
                <w:rFonts w:ascii="Arial" w:hAnsi="Arial" w:cs="Arial"/>
                <w:bCs/>
                <w:i/>
                <w:color w:val="000000" w:themeColor="text1"/>
                <w:sz w:val="20"/>
                <w:szCs w:val="20"/>
              </w:rPr>
            </w:pPr>
            <w:r w:rsidRPr="004F16E9">
              <w:rPr>
                <w:rFonts w:ascii="Arial" w:hAnsi="Arial" w:cs="Arial"/>
                <w:bCs/>
                <w:i/>
                <w:color w:val="000000" w:themeColor="text1"/>
                <w:sz w:val="20"/>
                <w:szCs w:val="20"/>
              </w:rPr>
              <w:t xml:space="preserve">Language Accessibility: </w:t>
            </w:r>
            <w:r w:rsidRPr="004F16E9">
              <w:rPr>
                <w:rFonts w:ascii="Arial" w:hAnsi="Arial" w:cs="Arial"/>
                <w:bCs/>
                <w:color w:val="000000" w:themeColor="text1"/>
                <w:sz w:val="20"/>
                <w:szCs w:val="20"/>
              </w:rPr>
              <w:t>Clients were confused by the word “</w:t>
            </w:r>
            <w:proofErr w:type="spellStart"/>
            <w:r w:rsidRPr="004F16E9">
              <w:rPr>
                <w:rFonts w:ascii="Arial" w:hAnsi="Arial" w:cs="Arial"/>
                <w:color w:val="000000" w:themeColor="text1"/>
                <w:sz w:val="20"/>
                <w:szCs w:val="20"/>
              </w:rPr>
              <w:t>iMeds</w:t>
            </w:r>
            <w:proofErr w:type="spellEnd"/>
            <w:r w:rsidRPr="004F16E9">
              <w:rPr>
                <w:rFonts w:ascii="Arial" w:hAnsi="Arial" w:cs="Arial"/>
                <w:color w:val="000000" w:themeColor="text1"/>
                <w:sz w:val="20"/>
                <w:szCs w:val="20"/>
              </w:rPr>
              <w:t>” and disliked the titles “Attributes” and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Delivery”.</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w:t>
            </w:r>
            <w:proofErr w:type="spellStart"/>
            <w:r w:rsidRPr="004F16E9">
              <w:rPr>
                <w:rFonts w:ascii="Arial" w:hAnsi="Arial" w:cs="Arial"/>
                <w:color w:val="000000" w:themeColor="text1"/>
                <w:sz w:val="20"/>
                <w:szCs w:val="20"/>
              </w:rPr>
              <w:t>iMeds</w:t>
            </w:r>
            <w:proofErr w:type="spellEnd"/>
            <w:r w:rsidRPr="004F16E9">
              <w:rPr>
                <w:rFonts w:ascii="Arial" w:hAnsi="Arial" w:cs="Arial"/>
                <w:color w:val="000000" w:themeColor="text1"/>
                <w:sz w:val="20"/>
                <w:szCs w:val="20"/>
              </w:rPr>
              <w:t>” was changed to “injectable medication”. “Attributes” was changed to “categories”.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delivery” was changed to “how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could be offered”.</w:t>
            </w:r>
          </w:p>
          <w:p w:rsidR="00D61301" w:rsidRPr="004F16E9" w:rsidRDefault="00D61301" w:rsidP="0011198A">
            <w:pPr>
              <w:spacing w:line="259" w:lineRule="auto"/>
              <w:rPr>
                <w:rFonts w:ascii="Arial" w:hAnsi="Arial" w:cs="Arial"/>
                <w:color w:val="000000" w:themeColor="text1"/>
                <w:sz w:val="20"/>
                <w:szCs w:val="20"/>
              </w:rPr>
            </w:pPr>
          </w:p>
        </w:tc>
      </w:tr>
      <w:tr w:rsidR="00D61301" w:rsidRPr="004F16E9" w:rsidTr="0011198A">
        <w:tc>
          <w:tcPr>
            <w:tcW w:w="1928" w:type="dxa"/>
            <w:vMerge w:val="restart"/>
            <w:tcBorders>
              <w:top w:val="single" w:sz="4" w:space="0" w:color="auto"/>
            </w:tcBorders>
          </w:tcPr>
          <w:p w:rsidR="00D61301" w:rsidRPr="004F16E9" w:rsidRDefault="00D61301" w:rsidP="0011198A">
            <w:pPr>
              <w:rPr>
                <w:rFonts w:ascii="Arial" w:hAnsi="Arial" w:cs="Arial"/>
                <w:b/>
                <w:sz w:val="20"/>
                <w:szCs w:val="20"/>
              </w:rPr>
            </w:pPr>
          </w:p>
          <w:p w:rsidR="00D61301" w:rsidRPr="004F16E9" w:rsidRDefault="00D61301" w:rsidP="0011198A">
            <w:pPr>
              <w:rPr>
                <w:rFonts w:ascii="Arial" w:hAnsi="Arial" w:cs="Arial"/>
                <w:b/>
                <w:sz w:val="20"/>
                <w:szCs w:val="20"/>
              </w:rPr>
            </w:pPr>
            <w:r w:rsidRPr="004F16E9">
              <w:rPr>
                <w:rFonts w:ascii="Arial" w:hAnsi="Arial" w:cs="Arial"/>
                <w:b/>
                <w:sz w:val="20"/>
                <w:szCs w:val="20"/>
              </w:rPr>
              <w:t>Conceptualization of attributes and levels</w:t>
            </w: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Some confusion about level 7.3. One client suggested focusing on being “in and out” and the transaction speed. One client was unsure what “low barrier” meant.</w:t>
            </w:r>
          </w:p>
          <w:p w:rsidR="00D61301" w:rsidRPr="004F16E9" w:rsidRDefault="00D61301" w:rsidP="0011198A">
            <w:pPr>
              <w:spacing w:line="259" w:lineRule="auto"/>
              <w:rPr>
                <w:rFonts w:ascii="Arial" w:hAnsi="Arial" w:cs="Arial"/>
                <w:color w:val="538135" w:themeColor="accent6" w:themeShade="BF"/>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sz w:val="20"/>
                <w:szCs w:val="20"/>
              </w:rPr>
            </w:pPr>
            <w:r w:rsidRPr="004F16E9">
              <w:rPr>
                <w:rFonts w:ascii="Arial" w:hAnsi="Arial" w:cs="Arial"/>
                <w:color w:val="000000" w:themeColor="text1"/>
                <w:sz w:val="20"/>
                <w:szCs w:val="20"/>
              </w:rPr>
              <w:t xml:space="preserve">The level was revised to, “the site’s priority is to provide easy access to </w:t>
            </w:r>
            <w:proofErr w:type="spellStart"/>
            <w:r w:rsidRPr="004F16E9">
              <w:rPr>
                <w:rFonts w:ascii="Arial" w:hAnsi="Arial" w:cs="Arial"/>
                <w:color w:val="000000" w:themeColor="text1"/>
                <w:sz w:val="20"/>
                <w:szCs w:val="20"/>
              </w:rPr>
              <w:t>iMeds</w:t>
            </w:r>
            <w:proofErr w:type="spellEnd"/>
            <w:r w:rsidRPr="004F16E9">
              <w:rPr>
                <w:rFonts w:ascii="Arial" w:hAnsi="Arial" w:cs="Arial"/>
                <w:color w:val="000000" w:themeColor="text1"/>
                <w:sz w:val="20"/>
                <w:szCs w:val="20"/>
              </w:rPr>
              <w:t>”</w:t>
            </w:r>
            <w:r w:rsidRPr="004F16E9">
              <w:rPr>
                <w:rFonts w:ascii="Arial" w:hAnsi="Arial" w:cs="Arial"/>
                <w:sz w:val="20"/>
                <w:szCs w:val="20"/>
              </w:rPr>
              <w:t>.</w:t>
            </w: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Shorten “listens to my input”.</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Level 1.3 and 2.3 were changed to “listens to me”.</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Some uncertainty about level 5.2 (where the medication is being taken).</w:t>
            </w: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Level was revised to, “I come to take my </w:t>
            </w:r>
            <w:proofErr w:type="spellStart"/>
            <w:r w:rsidRPr="004F16E9">
              <w:rPr>
                <w:rFonts w:ascii="Arial" w:hAnsi="Arial" w:cs="Arial"/>
                <w:color w:val="000000" w:themeColor="text1"/>
                <w:sz w:val="20"/>
                <w:szCs w:val="20"/>
              </w:rPr>
              <w:t>iMeds</w:t>
            </w:r>
            <w:proofErr w:type="spellEnd"/>
            <w:r w:rsidRPr="004F16E9">
              <w:rPr>
                <w:rFonts w:ascii="Arial" w:hAnsi="Arial" w:cs="Arial"/>
                <w:color w:val="000000" w:themeColor="text1"/>
                <w:sz w:val="20"/>
                <w:szCs w:val="20"/>
              </w:rPr>
              <w:t xml:space="preserve"> </w:t>
            </w:r>
            <w:r w:rsidRPr="004F16E9">
              <w:rPr>
                <w:rFonts w:ascii="Arial" w:hAnsi="Arial" w:cs="Arial"/>
                <w:color w:val="000000" w:themeColor="text1"/>
                <w:sz w:val="20"/>
                <w:szCs w:val="20"/>
                <w:u w:val="single"/>
              </w:rPr>
              <w:t>onsite</w:t>
            </w:r>
            <w:r w:rsidRPr="004F16E9">
              <w:rPr>
                <w:rFonts w:ascii="Arial" w:hAnsi="Arial" w:cs="Arial"/>
                <w:color w:val="000000" w:themeColor="text1"/>
                <w:sz w:val="20"/>
                <w:szCs w:val="20"/>
              </w:rPr>
              <w:t xml:space="preserve"> on my own schedule and leave when I see fit”. This clarifies meds are still being taken onsite.</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 xml:space="preserve">Level 4.3 is too wordy. Remove definition of place, which is intuitive. </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Removed definition of place in level 4.3</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Clarify the meaning of “at my own site” in level 3.2 to ensure clients know it doesn’t mean at home.</w:t>
            </w: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 xml:space="preserve"> </w:t>
            </w: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Level 3.2 rephrased to, “I only receive and inject my medication at one site”.</w:t>
            </w: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On level 2.1, a client commented that while they want to decide, they want to do so with their doctor’s knowledge and educated experience.  They suggested adding, “with the clinical advice from my doctor”.</w:t>
            </w: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The client’s comment captures what is meant by option 2.3. In order to emphasize this, 2.3 was revised to, “Together, the prescriber and I decide my </w:t>
            </w:r>
            <w:proofErr w:type="spellStart"/>
            <w:r w:rsidRPr="004F16E9">
              <w:rPr>
                <w:rFonts w:ascii="Arial" w:hAnsi="Arial" w:cs="Arial"/>
                <w:color w:val="000000" w:themeColor="text1"/>
                <w:sz w:val="20"/>
                <w:szCs w:val="20"/>
              </w:rPr>
              <w:t>iMeds</w:t>
            </w:r>
            <w:proofErr w:type="spellEnd"/>
            <w:r w:rsidRPr="004F16E9">
              <w:rPr>
                <w:rFonts w:ascii="Arial" w:hAnsi="Arial" w:cs="Arial"/>
                <w:color w:val="000000" w:themeColor="text1"/>
                <w:sz w:val="20"/>
                <w:szCs w:val="20"/>
              </w:rPr>
              <w:t xml:space="preserve"> dose including after missed doses,” and 2.1 was revised to, “I ultimately decide the dose of my injectable medications”.</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Client suggested we add an item about specific injection times offered at the site.</w:t>
            </w:r>
          </w:p>
          <w:p w:rsidR="00D61301" w:rsidRPr="004F16E9" w:rsidRDefault="00D61301" w:rsidP="0011198A">
            <w:pPr>
              <w:rPr>
                <w:rFonts w:ascii="Arial" w:hAnsi="Arial" w:cs="Arial"/>
                <w:sz w:val="20"/>
                <w:szCs w:val="20"/>
              </w:rPr>
            </w:pPr>
          </w:p>
          <w:p w:rsidR="00D61301" w:rsidRPr="004F16E9" w:rsidRDefault="00D61301" w:rsidP="0011198A">
            <w:pPr>
              <w:rPr>
                <w:rFonts w:ascii="Arial" w:hAnsi="Arial" w:cs="Arial"/>
                <w:sz w:val="20"/>
                <w:szCs w:val="20"/>
              </w:rPr>
            </w:pPr>
          </w:p>
          <w:p w:rsidR="00D61301" w:rsidRPr="004F16E9" w:rsidRDefault="00D61301" w:rsidP="0011198A">
            <w:pPr>
              <w:jc w:val="center"/>
              <w:rPr>
                <w:rFonts w:ascii="Arial" w:hAnsi="Arial" w:cs="Arial"/>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This is captured in level 5.2. Interviewer note was added to encourage participants to connect the levels to their main concerns while reviewing educational materials prior to starting the survey.</w:t>
            </w:r>
          </w:p>
          <w:p w:rsidR="00D61301" w:rsidRPr="004F16E9" w:rsidRDefault="00D61301" w:rsidP="0011198A">
            <w:pPr>
              <w:rPr>
                <w:rFonts w:ascii="Arial" w:hAnsi="Arial" w:cs="Arial"/>
                <w:b/>
                <w:sz w:val="20"/>
                <w:szCs w:val="20"/>
              </w:rPr>
            </w:pPr>
            <w:r w:rsidRPr="004F16E9">
              <w:rPr>
                <w:rFonts w:ascii="Arial" w:hAnsi="Arial" w:cs="Arial"/>
                <w:b/>
                <w:sz w:val="20"/>
                <w:szCs w:val="20"/>
              </w:rPr>
              <w:t xml:space="preserve"> </w:t>
            </w:r>
          </w:p>
        </w:tc>
      </w:tr>
      <w:tr w:rsidR="00D61301" w:rsidRPr="004F16E9" w:rsidTr="0011198A">
        <w:tc>
          <w:tcPr>
            <w:tcW w:w="1928" w:type="dxa"/>
            <w:tcBorders>
              <w:bottom w:val="single" w:sz="4" w:space="0" w:color="auto"/>
            </w:tcBorders>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Client suggested we add an item about community care/support.</w:t>
            </w:r>
          </w:p>
          <w:p w:rsidR="00D61301" w:rsidRPr="004F16E9" w:rsidRDefault="00D61301" w:rsidP="0011198A">
            <w:pPr>
              <w:rPr>
                <w:rFonts w:ascii="Arial" w:hAnsi="Arial" w:cs="Arial"/>
                <w:color w:val="000000" w:themeColor="text1"/>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We were unable to add new items at this stage. Interviewer note was added to reiterate to clients that they share additional ideas in an open text box at the end of the survey. </w:t>
            </w:r>
          </w:p>
          <w:p w:rsidR="00D61301" w:rsidRPr="004F16E9" w:rsidRDefault="00D61301" w:rsidP="0011198A">
            <w:pPr>
              <w:rPr>
                <w:rFonts w:ascii="Arial" w:hAnsi="Arial" w:cs="Arial"/>
                <w:color w:val="000000" w:themeColor="text1"/>
                <w:sz w:val="20"/>
                <w:szCs w:val="20"/>
              </w:rPr>
            </w:pPr>
          </w:p>
        </w:tc>
      </w:tr>
      <w:tr w:rsidR="00D61301" w:rsidRPr="004F16E9" w:rsidTr="0011198A">
        <w:tc>
          <w:tcPr>
            <w:tcW w:w="1928" w:type="dxa"/>
            <w:vMerge w:val="restart"/>
            <w:tcBorders>
              <w:top w:val="single" w:sz="4" w:space="0" w:color="auto"/>
            </w:tcBorders>
          </w:tcPr>
          <w:p w:rsidR="00D61301" w:rsidRPr="004F16E9" w:rsidRDefault="00D61301" w:rsidP="0011198A">
            <w:pPr>
              <w:rPr>
                <w:rFonts w:ascii="Arial" w:hAnsi="Arial" w:cs="Arial"/>
                <w:b/>
                <w:sz w:val="20"/>
                <w:szCs w:val="20"/>
              </w:rPr>
            </w:pPr>
          </w:p>
          <w:p w:rsidR="00D61301" w:rsidRPr="004F16E9" w:rsidRDefault="00D61301" w:rsidP="0011198A">
            <w:pPr>
              <w:rPr>
                <w:rFonts w:ascii="Arial" w:hAnsi="Arial" w:cs="Arial"/>
                <w:b/>
                <w:sz w:val="20"/>
                <w:szCs w:val="20"/>
              </w:rPr>
            </w:pPr>
            <w:r w:rsidRPr="004F16E9">
              <w:rPr>
                <w:rFonts w:ascii="Arial" w:hAnsi="Arial" w:cs="Arial"/>
                <w:b/>
                <w:sz w:val="20"/>
                <w:szCs w:val="20"/>
              </w:rPr>
              <w:t>Formatting</w:t>
            </w: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Participants gravitated towards clicking the thumbs up to select their preference rather than the option box. </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 xml:space="preserve">Thumbs up were made clickable so that clients could select their choice by clicking the icon. </w:t>
            </w: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 xml:space="preserve">Several clients complained about the survey’s repetitiveness, which reduced their engagement. </w:t>
            </w:r>
          </w:p>
        </w:tc>
        <w:tc>
          <w:tcPr>
            <w:tcW w:w="3543"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Pr>
                <w:rFonts w:ascii="Arial" w:hAnsi="Arial" w:cs="Arial"/>
                <w:color w:val="000000" w:themeColor="text1"/>
                <w:sz w:val="20"/>
                <w:szCs w:val="20"/>
              </w:rPr>
              <w:t>L</w:t>
            </w:r>
            <w:r w:rsidRPr="004F16E9">
              <w:rPr>
                <w:rFonts w:ascii="Arial" w:hAnsi="Arial" w:cs="Arial"/>
                <w:color w:val="000000" w:themeColor="text1"/>
                <w:sz w:val="20"/>
                <w:szCs w:val="20"/>
              </w:rPr>
              <w:t>evels will be shuffled so that they appear more distinct from one another.  Interviewers to advise clients from the outset that the survey may seem repetitive and clarify the reasoning.</w:t>
            </w:r>
          </w:p>
          <w:p w:rsidR="00D61301" w:rsidRPr="004F16E9" w:rsidRDefault="00D61301" w:rsidP="0011198A">
            <w:pPr>
              <w:spacing w:line="259" w:lineRule="auto"/>
              <w:rPr>
                <w:rFonts w:ascii="Arial" w:hAnsi="Arial" w:cs="Arial"/>
                <w:color w:val="000000" w:themeColor="text1"/>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Clients commented about the length of the survey, such as “Are we getting close yet?”</w:t>
            </w: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  </w:t>
            </w: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Merged choice of most and least wanted items into one question rather than two to shorten the survey. </w:t>
            </w: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 xml:space="preserve"> </w:t>
            </w: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 xml:space="preserve">Clients were often unsure how to engage with the ice cream example on slide four. </w:t>
            </w: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Language was revised to make it clearer that no choice needs to be made yet. </w:t>
            </w: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List of levels was revised to a row (vs. a column) to make it more distinct from the task.</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Differing formatting of question 1 from all subsequent questions caused confusion </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 xml:space="preserve">Question 1 formatting was changed to align with formatting of tasks 2-18. </w:t>
            </w: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After most/least wanted choices were merged to one question, some clients would forget to select both their most and least wanted options before advancing.</w:t>
            </w:r>
          </w:p>
          <w:p w:rsidR="00D61301" w:rsidRPr="004F16E9" w:rsidRDefault="00D61301" w:rsidP="0011198A">
            <w:pPr>
              <w:rPr>
                <w:rFonts w:ascii="Arial" w:hAnsi="Arial" w:cs="Arial"/>
                <w:b/>
                <w:sz w:val="20"/>
                <w:szCs w:val="20"/>
              </w:rPr>
            </w:pP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b/>
                <w:sz w:val="20"/>
                <w:szCs w:val="20"/>
              </w:rPr>
            </w:pPr>
            <w:r w:rsidRPr="004F16E9">
              <w:rPr>
                <w:rFonts w:ascii="Arial" w:hAnsi="Arial" w:cs="Arial"/>
                <w:color w:val="000000" w:themeColor="text1"/>
                <w:sz w:val="20"/>
                <w:szCs w:val="20"/>
              </w:rPr>
              <w:t>Program the submit button in the online version to be inactive until both a most and least wanted choice have been selected.</w:t>
            </w:r>
          </w:p>
        </w:tc>
      </w:tr>
      <w:tr w:rsidR="00D61301" w:rsidRPr="004F16E9" w:rsidTr="0011198A">
        <w:tc>
          <w:tcPr>
            <w:tcW w:w="1928" w:type="dxa"/>
            <w:vMerge/>
            <w:tcBorders>
              <w:bottom w:val="single" w:sz="4" w:space="0" w:color="auto"/>
            </w:tcBorders>
          </w:tcPr>
          <w:p w:rsidR="00D61301" w:rsidRPr="004F16E9" w:rsidRDefault="00D61301" w:rsidP="0011198A">
            <w:pPr>
              <w:rPr>
                <w:rFonts w:ascii="Arial" w:hAnsi="Arial" w:cs="Arial"/>
                <w:b/>
                <w:sz w:val="20"/>
                <w:szCs w:val="20"/>
              </w:rPr>
            </w:pPr>
          </w:p>
        </w:tc>
        <w:tc>
          <w:tcPr>
            <w:tcW w:w="3879"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Some clients accidentally selected the wrong option or would want to change their answer. </w:t>
            </w: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 </w:t>
            </w:r>
          </w:p>
        </w:tc>
        <w:tc>
          <w:tcPr>
            <w:tcW w:w="3543" w:type="dxa"/>
            <w:tcBorders>
              <w:top w:val="single" w:sz="4" w:space="0" w:color="auto"/>
              <w:bottom w:val="single" w:sz="4" w:space="0" w:color="auto"/>
            </w:tcBorders>
          </w:tcPr>
          <w:p w:rsidR="00D61301" w:rsidRPr="004F16E9" w:rsidRDefault="00D61301" w:rsidP="0011198A">
            <w:pPr>
              <w:rPr>
                <w:rFonts w:ascii="Arial" w:hAnsi="Arial" w:cs="Arial"/>
                <w:color w:val="000000" w:themeColor="text1"/>
                <w:sz w:val="20"/>
                <w:szCs w:val="20"/>
              </w:rPr>
            </w:pPr>
          </w:p>
          <w:p w:rsidR="00D61301" w:rsidRPr="004F16E9" w:rsidRDefault="00D61301" w:rsidP="0011198A">
            <w:pPr>
              <w:rPr>
                <w:rFonts w:ascii="Arial" w:hAnsi="Arial" w:cs="Arial"/>
                <w:color w:val="000000" w:themeColor="text1"/>
                <w:sz w:val="20"/>
                <w:szCs w:val="20"/>
              </w:rPr>
            </w:pPr>
            <w:r w:rsidRPr="004F16E9">
              <w:rPr>
                <w:rFonts w:ascii="Arial" w:hAnsi="Arial" w:cs="Arial"/>
                <w:color w:val="000000" w:themeColor="text1"/>
                <w:sz w:val="20"/>
                <w:szCs w:val="20"/>
              </w:rPr>
              <w:t xml:space="preserve">Program the online survey to enable clients to go back and change their responses. </w:t>
            </w:r>
          </w:p>
          <w:p w:rsidR="00D61301" w:rsidRPr="004F16E9" w:rsidRDefault="00D61301" w:rsidP="0011198A">
            <w:pPr>
              <w:rPr>
                <w:rFonts w:ascii="Arial" w:hAnsi="Arial" w:cs="Arial"/>
                <w:b/>
                <w:sz w:val="20"/>
                <w:szCs w:val="20"/>
              </w:rPr>
            </w:pPr>
          </w:p>
        </w:tc>
      </w:tr>
      <w:tr w:rsidR="00D61301" w:rsidRPr="004F16E9" w:rsidTr="0011198A">
        <w:tc>
          <w:tcPr>
            <w:tcW w:w="1928" w:type="dxa"/>
            <w:vMerge w:val="restart"/>
            <w:tcBorders>
              <w:top w:val="single" w:sz="4" w:space="0" w:color="auto"/>
            </w:tcBorders>
          </w:tcPr>
          <w:p w:rsidR="00D61301" w:rsidRPr="004F16E9" w:rsidRDefault="00D61301" w:rsidP="0011198A">
            <w:pPr>
              <w:rPr>
                <w:rFonts w:ascii="Arial" w:hAnsi="Arial" w:cs="Arial"/>
                <w:b/>
                <w:sz w:val="20"/>
                <w:szCs w:val="20"/>
              </w:rPr>
            </w:pPr>
          </w:p>
          <w:p w:rsidR="00D61301" w:rsidRPr="004F16E9" w:rsidRDefault="00D61301" w:rsidP="0011198A">
            <w:pPr>
              <w:rPr>
                <w:rFonts w:ascii="Arial" w:hAnsi="Arial" w:cs="Arial"/>
                <w:b/>
                <w:sz w:val="20"/>
                <w:szCs w:val="20"/>
              </w:rPr>
            </w:pPr>
            <w:r w:rsidRPr="004F16E9">
              <w:rPr>
                <w:rFonts w:ascii="Arial" w:hAnsi="Arial" w:cs="Arial"/>
                <w:b/>
                <w:sz w:val="20"/>
                <w:szCs w:val="20"/>
              </w:rPr>
              <w:t>Behaviour predicting questions</w:t>
            </w:r>
          </w:p>
        </w:tc>
        <w:tc>
          <w:tcPr>
            <w:tcW w:w="3879" w:type="dxa"/>
            <w:tcBorders>
              <w:top w:val="single" w:sz="4" w:space="0" w:color="auto"/>
              <w:bottom w:val="single" w:sz="4" w:space="0" w:color="auto"/>
            </w:tcBorders>
          </w:tcPr>
          <w:p w:rsidR="00D61301" w:rsidRPr="004F16E9" w:rsidRDefault="00D61301" w:rsidP="0011198A">
            <w:pPr>
              <w:pStyle w:val="ListParagraph"/>
              <w:spacing w:line="259" w:lineRule="auto"/>
              <w:ind w:left="0"/>
              <w:jc w:val="left"/>
              <w:rPr>
                <w:rFonts w:ascii="Arial" w:hAnsi="Arial" w:cs="Arial"/>
                <w:bCs/>
                <w:i/>
                <w:color w:val="000000" w:themeColor="text1"/>
              </w:rPr>
            </w:pPr>
          </w:p>
          <w:p w:rsidR="00D61301" w:rsidRPr="004F16E9" w:rsidRDefault="00D61301" w:rsidP="0011198A">
            <w:pPr>
              <w:pStyle w:val="ListParagraph"/>
              <w:spacing w:line="259" w:lineRule="auto"/>
              <w:ind w:left="0"/>
              <w:jc w:val="left"/>
              <w:rPr>
                <w:rFonts w:ascii="Arial" w:hAnsi="Arial" w:cs="Arial"/>
                <w:b/>
                <w:bCs/>
                <w:color w:val="000000" w:themeColor="text1"/>
              </w:rPr>
            </w:pPr>
            <w:r w:rsidRPr="004F16E9">
              <w:rPr>
                <w:rFonts w:ascii="Arial" w:hAnsi="Arial" w:cs="Arial"/>
                <w:bCs/>
                <w:i/>
                <w:color w:val="000000" w:themeColor="text1"/>
              </w:rPr>
              <w:t>Least/Most Wanted Top Choices:</w:t>
            </w:r>
            <w:r w:rsidRPr="004F16E9">
              <w:rPr>
                <w:rFonts w:ascii="Arial" w:hAnsi="Arial" w:cs="Arial"/>
                <w:b/>
                <w:bCs/>
                <w:color w:val="000000" w:themeColor="text1"/>
              </w:rPr>
              <w:t xml:space="preserve"> </w:t>
            </w:r>
            <w:r w:rsidRPr="004F16E9">
              <w:rPr>
                <w:rFonts w:ascii="Arial" w:hAnsi="Arial" w:cs="Arial"/>
                <w:color w:val="000000" w:themeColor="text1"/>
              </w:rPr>
              <w:t xml:space="preserve">Confusion about how the options were generated for this question. Confusion </w:t>
            </w:r>
            <w:r w:rsidRPr="004F16E9">
              <w:rPr>
                <w:rFonts w:ascii="Arial" w:hAnsi="Arial" w:cs="Arial"/>
                <w:color w:val="000000" w:themeColor="text1"/>
              </w:rPr>
              <w:lastRenderedPageBreak/>
              <w:t xml:space="preserve">around framing of these questions for former </w:t>
            </w:r>
            <w:proofErr w:type="spellStart"/>
            <w:r w:rsidRPr="004F16E9">
              <w:rPr>
                <w:rFonts w:ascii="Arial" w:hAnsi="Arial" w:cs="Arial"/>
                <w:color w:val="000000" w:themeColor="text1"/>
              </w:rPr>
              <w:t>iOAT</w:t>
            </w:r>
            <w:proofErr w:type="spellEnd"/>
            <w:r w:rsidRPr="004F16E9">
              <w:rPr>
                <w:rFonts w:ascii="Arial" w:hAnsi="Arial" w:cs="Arial"/>
                <w:color w:val="000000" w:themeColor="text1"/>
              </w:rPr>
              <w:t xml:space="preserve"> clients. Issues around framing of negative behavioural outcome for current </w:t>
            </w:r>
            <w:proofErr w:type="spellStart"/>
            <w:r w:rsidRPr="004F16E9">
              <w:rPr>
                <w:rFonts w:ascii="Arial" w:hAnsi="Arial" w:cs="Arial"/>
                <w:color w:val="000000" w:themeColor="text1"/>
              </w:rPr>
              <w:t>iOAT</w:t>
            </w:r>
            <w:proofErr w:type="spellEnd"/>
            <w:r w:rsidRPr="004F16E9">
              <w:rPr>
                <w:rFonts w:ascii="Arial" w:hAnsi="Arial" w:cs="Arial"/>
                <w:color w:val="000000" w:themeColor="text1"/>
              </w:rPr>
              <w:t xml:space="preserve"> clients; not only cessation of </w:t>
            </w:r>
            <w:proofErr w:type="spellStart"/>
            <w:r w:rsidRPr="004F16E9">
              <w:rPr>
                <w:rFonts w:ascii="Arial" w:hAnsi="Arial" w:cs="Arial"/>
                <w:color w:val="000000" w:themeColor="text1"/>
              </w:rPr>
              <w:t>iOAT</w:t>
            </w:r>
            <w:proofErr w:type="spellEnd"/>
            <w:r w:rsidRPr="004F16E9">
              <w:rPr>
                <w:rFonts w:ascii="Arial" w:hAnsi="Arial" w:cs="Arial"/>
                <w:color w:val="000000" w:themeColor="text1"/>
              </w:rPr>
              <w:t xml:space="preserve"> but reduction in daily engagement</w:t>
            </w:r>
          </w:p>
        </w:tc>
        <w:tc>
          <w:tcPr>
            <w:tcW w:w="3543" w:type="dxa"/>
            <w:tcBorders>
              <w:top w:val="single" w:sz="4" w:space="0" w:color="auto"/>
              <w:bottom w:val="single" w:sz="4" w:space="0" w:color="auto"/>
            </w:tcBorders>
          </w:tcPr>
          <w:p w:rsidR="00D61301" w:rsidRPr="004F16E9" w:rsidRDefault="00D61301" w:rsidP="0011198A">
            <w:pPr>
              <w:spacing w:line="259" w:lineRule="auto"/>
              <w:rPr>
                <w:rFonts w:ascii="Arial" w:hAnsi="Arial" w:cs="Arial"/>
                <w:color w:val="000000" w:themeColor="text1"/>
                <w:sz w:val="20"/>
                <w:szCs w:val="20"/>
              </w:rPr>
            </w:pP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t>Question stem revised to clarify, “These are the top most/least wanted items”.</w:t>
            </w:r>
          </w:p>
          <w:p w:rsidR="00D61301" w:rsidRPr="004F16E9" w:rsidRDefault="00D61301" w:rsidP="0011198A">
            <w:pPr>
              <w:spacing w:line="259" w:lineRule="auto"/>
              <w:rPr>
                <w:rFonts w:ascii="Arial" w:hAnsi="Arial" w:cs="Arial"/>
                <w:color w:val="000000" w:themeColor="text1"/>
                <w:sz w:val="20"/>
                <w:szCs w:val="20"/>
              </w:rPr>
            </w:pPr>
            <w:r w:rsidRPr="004F16E9">
              <w:rPr>
                <w:rFonts w:ascii="Arial" w:hAnsi="Arial" w:cs="Arial"/>
                <w:color w:val="000000" w:themeColor="text1"/>
                <w:sz w:val="20"/>
                <w:szCs w:val="20"/>
              </w:rPr>
              <w:lastRenderedPageBreak/>
              <w:t xml:space="preserve">Phrasing was revised for former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clients to, “Are any of these keeping you from trying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again?” and, “Would any of these need to be present for you to try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again?” Phrasing was revised for current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clients to “Would any of these items stop you from continuing with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daily?” and, “Do any of these items have to be present for you to continue with </w:t>
            </w:r>
            <w:proofErr w:type="spellStart"/>
            <w:r w:rsidRPr="004F16E9">
              <w:rPr>
                <w:rFonts w:ascii="Arial" w:hAnsi="Arial" w:cs="Arial"/>
                <w:color w:val="000000" w:themeColor="text1"/>
                <w:sz w:val="20"/>
                <w:szCs w:val="20"/>
              </w:rPr>
              <w:t>iOAT</w:t>
            </w:r>
            <w:proofErr w:type="spellEnd"/>
            <w:r w:rsidRPr="004F16E9">
              <w:rPr>
                <w:rFonts w:ascii="Arial" w:hAnsi="Arial" w:cs="Arial"/>
                <w:color w:val="000000" w:themeColor="text1"/>
                <w:sz w:val="20"/>
                <w:szCs w:val="20"/>
              </w:rPr>
              <w:t xml:space="preserve"> daily?”</w:t>
            </w:r>
          </w:p>
          <w:p w:rsidR="00D61301" w:rsidRPr="004F16E9" w:rsidRDefault="00D61301" w:rsidP="0011198A">
            <w:pPr>
              <w:rPr>
                <w:rFonts w:ascii="Arial" w:hAnsi="Arial" w:cs="Arial"/>
                <w:b/>
                <w:sz w:val="20"/>
                <w:szCs w:val="20"/>
              </w:rPr>
            </w:pPr>
          </w:p>
        </w:tc>
      </w:tr>
      <w:tr w:rsidR="00D61301" w:rsidRPr="004F16E9" w:rsidTr="0011198A">
        <w:tc>
          <w:tcPr>
            <w:tcW w:w="1928" w:type="dxa"/>
            <w:vMerge/>
          </w:tcPr>
          <w:p w:rsidR="00D61301" w:rsidRPr="004F16E9" w:rsidRDefault="00D61301" w:rsidP="0011198A">
            <w:pPr>
              <w:rPr>
                <w:rFonts w:ascii="Arial" w:hAnsi="Arial" w:cs="Arial"/>
                <w:b/>
                <w:sz w:val="20"/>
                <w:szCs w:val="20"/>
              </w:rPr>
            </w:pPr>
          </w:p>
        </w:tc>
        <w:tc>
          <w:tcPr>
            <w:tcW w:w="3879" w:type="dxa"/>
            <w:tcBorders>
              <w:top w:val="single" w:sz="4" w:space="0" w:color="auto"/>
            </w:tcBorders>
          </w:tcPr>
          <w:p w:rsidR="00D61301" w:rsidRPr="004F16E9" w:rsidRDefault="00D61301" w:rsidP="0011198A">
            <w:pPr>
              <w:pStyle w:val="ListParagraph"/>
              <w:spacing w:line="259" w:lineRule="auto"/>
              <w:ind w:left="0"/>
              <w:jc w:val="left"/>
              <w:rPr>
                <w:rFonts w:ascii="Arial" w:hAnsi="Arial" w:cs="Arial"/>
                <w:b/>
                <w:bCs/>
                <w:color w:val="000000" w:themeColor="text1"/>
              </w:rPr>
            </w:pPr>
          </w:p>
          <w:p w:rsidR="00D61301" w:rsidRPr="004F16E9" w:rsidRDefault="00D61301" w:rsidP="0011198A">
            <w:pPr>
              <w:pStyle w:val="ListParagraph"/>
              <w:spacing w:line="259" w:lineRule="auto"/>
              <w:ind w:left="0"/>
              <w:jc w:val="left"/>
              <w:rPr>
                <w:rFonts w:ascii="Arial" w:hAnsi="Arial" w:cs="Arial"/>
                <w:b/>
                <w:bCs/>
                <w:color w:val="000000" w:themeColor="text1"/>
              </w:rPr>
            </w:pPr>
            <w:r w:rsidRPr="004F16E9">
              <w:rPr>
                <w:rFonts w:ascii="Arial" w:hAnsi="Arial" w:cs="Arial"/>
                <w:bCs/>
                <w:i/>
                <w:color w:val="000000" w:themeColor="text1"/>
              </w:rPr>
              <w:t>Selected Individual Levels:</w:t>
            </w:r>
            <w:r w:rsidRPr="004F16E9">
              <w:rPr>
                <w:rFonts w:ascii="Arial" w:hAnsi="Arial" w:cs="Arial"/>
                <w:b/>
                <w:bCs/>
                <w:color w:val="000000" w:themeColor="text1"/>
              </w:rPr>
              <w:t xml:space="preserve"> </w:t>
            </w:r>
            <w:r w:rsidRPr="004F16E9">
              <w:rPr>
                <w:rFonts w:ascii="Arial" w:hAnsi="Arial" w:cs="Arial"/>
                <w:color w:val="000000" w:themeColor="text1"/>
              </w:rPr>
              <w:t xml:space="preserve">Specify the types of medications/formulations that would impact engagement in </w:t>
            </w:r>
            <w:proofErr w:type="spellStart"/>
            <w:r w:rsidRPr="004F16E9">
              <w:rPr>
                <w:rFonts w:ascii="Arial" w:hAnsi="Arial" w:cs="Arial"/>
                <w:color w:val="000000" w:themeColor="text1"/>
              </w:rPr>
              <w:t>iOAT</w:t>
            </w:r>
            <w:proofErr w:type="spellEnd"/>
            <w:r w:rsidRPr="004F16E9">
              <w:rPr>
                <w:rFonts w:ascii="Arial" w:hAnsi="Arial" w:cs="Arial"/>
                <w:color w:val="000000" w:themeColor="text1"/>
              </w:rPr>
              <w:t>.</w:t>
            </w:r>
          </w:p>
        </w:tc>
        <w:tc>
          <w:tcPr>
            <w:tcW w:w="3543" w:type="dxa"/>
            <w:tcBorders>
              <w:top w:val="single" w:sz="4" w:space="0" w:color="auto"/>
            </w:tcBorders>
          </w:tcPr>
          <w:p w:rsidR="00D61301" w:rsidRPr="004F16E9" w:rsidRDefault="00D61301" w:rsidP="0011198A">
            <w:pPr>
              <w:pStyle w:val="NoSpacing"/>
              <w:jc w:val="left"/>
              <w:rPr>
                <w:rFonts w:ascii="Arial" w:hAnsi="Arial" w:cs="Arial"/>
              </w:rPr>
            </w:pPr>
          </w:p>
          <w:p w:rsidR="00D61301" w:rsidRPr="004F16E9" w:rsidRDefault="00D61301" w:rsidP="0011198A">
            <w:pPr>
              <w:pStyle w:val="NoSpacing"/>
              <w:jc w:val="left"/>
              <w:rPr>
                <w:rFonts w:ascii="Arial" w:hAnsi="Arial" w:cs="Arial"/>
              </w:rPr>
            </w:pPr>
            <w:r w:rsidRPr="004F16E9">
              <w:rPr>
                <w:rFonts w:ascii="Arial" w:hAnsi="Arial" w:cs="Arial"/>
              </w:rPr>
              <w:t xml:space="preserve">Question was reframed to prompt participants to select the type(s) of injectable medications and formulations that would stop them from trying </w:t>
            </w:r>
            <w:proofErr w:type="spellStart"/>
            <w:r w:rsidRPr="004F16E9">
              <w:rPr>
                <w:rFonts w:ascii="Arial" w:hAnsi="Arial" w:cs="Arial"/>
              </w:rPr>
              <w:t>iOAT</w:t>
            </w:r>
            <w:proofErr w:type="spellEnd"/>
            <w:r w:rsidRPr="004F16E9">
              <w:rPr>
                <w:rFonts w:ascii="Arial" w:hAnsi="Arial" w:cs="Arial"/>
              </w:rPr>
              <w:t xml:space="preserve"> again/continuing daily (if at all). A second question was added to prompt participants to select the type(s) of injectable medications and formulations that would need to be present for them to try </w:t>
            </w:r>
            <w:proofErr w:type="spellStart"/>
            <w:r w:rsidRPr="004F16E9">
              <w:rPr>
                <w:rFonts w:ascii="Arial" w:hAnsi="Arial" w:cs="Arial"/>
              </w:rPr>
              <w:t>iOAT</w:t>
            </w:r>
            <w:proofErr w:type="spellEnd"/>
            <w:r w:rsidRPr="004F16E9">
              <w:rPr>
                <w:rFonts w:ascii="Arial" w:hAnsi="Arial" w:cs="Arial"/>
              </w:rPr>
              <w:t xml:space="preserve"> again/continue daily</w:t>
            </w:r>
          </w:p>
        </w:tc>
      </w:tr>
    </w:tbl>
    <w:p w:rsidR="007233A2" w:rsidRDefault="007233A2"/>
    <w:sectPr w:rsidR="007233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01"/>
    <w:rsid w:val="007233A2"/>
    <w:rsid w:val="00D61301"/>
    <w:rsid w:val="00F832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7F9E"/>
  <w15:chartTrackingRefBased/>
  <w15:docId w15:val="{D75D112E-0078-4C5C-9526-D5A9ACC1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301"/>
    <w:pPr>
      <w:spacing w:line="256" w:lineRule="auto"/>
    </w:pPr>
    <w:rPr>
      <w:rFonts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61301"/>
    <w:rPr>
      <w:rFonts w:eastAsiaTheme="minorEastAsia" w:cs="Times New Roman"/>
      <w:sz w:val="20"/>
      <w:szCs w:val="20"/>
    </w:rPr>
  </w:style>
  <w:style w:type="paragraph" w:styleId="NoSpacing">
    <w:name w:val="No Spacing"/>
    <w:basedOn w:val="Normal"/>
    <w:link w:val="NoSpacingChar"/>
    <w:uiPriority w:val="1"/>
    <w:qFormat/>
    <w:rsid w:val="00D61301"/>
    <w:pPr>
      <w:spacing w:after="0" w:line="240" w:lineRule="auto"/>
      <w:jc w:val="both"/>
    </w:pPr>
    <w:rPr>
      <w:rFonts w:eastAsiaTheme="minorEastAsia"/>
      <w:sz w:val="20"/>
      <w:szCs w:val="20"/>
    </w:rPr>
  </w:style>
  <w:style w:type="paragraph" w:styleId="ListParagraph">
    <w:name w:val="List Paragraph"/>
    <w:basedOn w:val="Normal"/>
    <w:uiPriority w:val="34"/>
    <w:qFormat/>
    <w:rsid w:val="00D61301"/>
    <w:pPr>
      <w:spacing w:after="200" w:line="276" w:lineRule="auto"/>
      <w:ind w:left="720"/>
      <w:contextualSpacing/>
      <w:jc w:val="both"/>
    </w:pPr>
    <w:rPr>
      <w:rFonts w:eastAsiaTheme="minorEastAsia"/>
      <w:sz w:val="20"/>
      <w:szCs w:val="20"/>
    </w:rPr>
  </w:style>
  <w:style w:type="table" w:styleId="TableGrid">
    <w:name w:val="Table Grid"/>
    <w:basedOn w:val="TableNormal"/>
    <w:uiPriority w:val="39"/>
    <w:rsid w:val="00D61301"/>
    <w:pPr>
      <w:spacing w:after="0" w:line="240" w:lineRule="auto"/>
    </w:pPr>
    <w:rPr>
      <w:rFonts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Dobischok</dc:creator>
  <cp:keywords/>
  <dc:description/>
  <cp:lastModifiedBy>Sophia Dobischok</cp:lastModifiedBy>
  <cp:revision>2</cp:revision>
  <dcterms:created xsi:type="dcterms:W3CDTF">2022-09-22T16:33:00Z</dcterms:created>
  <dcterms:modified xsi:type="dcterms:W3CDTF">2022-09-22T16:43:00Z</dcterms:modified>
</cp:coreProperties>
</file>