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C25F0" w14:textId="6CEE6DA6" w:rsidR="00780F62" w:rsidRPr="002A2F05" w:rsidRDefault="001A7695" w:rsidP="0032610B">
      <w:pPr>
        <w:pStyle w:val="Heading1"/>
      </w:pPr>
      <w:r>
        <w:t>Supplementary t</w:t>
      </w:r>
      <w:r w:rsidR="0032610B" w:rsidRPr="002A2F05">
        <w:t>ables</w:t>
      </w:r>
    </w:p>
    <w:p w14:paraId="48665692" w14:textId="5063C6A8" w:rsidR="007B105F" w:rsidRPr="002A2F05" w:rsidRDefault="007B105F" w:rsidP="00EE0017">
      <w:pPr>
        <w:widowControl w:val="0"/>
        <w:rPr>
          <w:rFonts w:cs="Arial"/>
        </w:rPr>
      </w:pPr>
      <w:r w:rsidRPr="002A2F05">
        <w:rPr>
          <w:rFonts w:cs="Arial"/>
          <w:b/>
          <w:bCs/>
        </w:rPr>
        <w:t>Supplementary Table 1</w:t>
      </w:r>
      <w:r w:rsidR="003260E0" w:rsidRPr="002A2F05">
        <w:rPr>
          <w:rFonts w:cs="Arial"/>
          <w:b/>
          <w:bCs/>
        </w:rPr>
        <w:t>.</w:t>
      </w:r>
      <w:r w:rsidR="00DE3B3F" w:rsidRPr="002A2F05">
        <w:rPr>
          <w:rFonts w:cs="Arial"/>
          <w:b/>
          <w:bCs/>
        </w:rPr>
        <w:t xml:space="preserve"> </w:t>
      </w:r>
      <w:r w:rsidR="00B14FA3" w:rsidRPr="002A2F05">
        <w:rPr>
          <w:rFonts w:cs="Arial"/>
        </w:rPr>
        <w:t>Description of nine Markov health states</w:t>
      </w:r>
    </w:p>
    <w:tbl>
      <w:tblPr>
        <w:tblStyle w:val="TableTheme"/>
        <w:tblW w:w="5000" w:type="pct"/>
        <w:tblLook w:val="04A0" w:firstRow="1" w:lastRow="0" w:firstColumn="1" w:lastColumn="0" w:noHBand="0" w:noVBand="1"/>
      </w:tblPr>
      <w:tblGrid>
        <w:gridCol w:w="2156"/>
        <w:gridCol w:w="6474"/>
      </w:tblGrid>
      <w:tr w:rsidR="00E86BA1" w:rsidRPr="002A2F05" w14:paraId="3EE88166" w14:textId="77777777" w:rsidTr="003260E0">
        <w:tc>
          <w:tcPr>
            <w:tcW w:w="1249" w:type="pct"/>
            <w:shd w:val="clear" w:color="auto" w:fill="808080" w:themeFill="background1" w:themeFillShade="80"/>
          </w:tcPr>
          <w:p w14:paraId="59F59950" w14:textId="77777777" w:rsidR="00E86BA1" w:rsidRPr="002A2F05" w:rsidRDefault="00E86BA1" w:rsidP="003260E0">
            <w:pPr>
              <w:snapToGrid w:val="0"/>
              <w:spacing w:before="40" w:after="40" w:line="240" w:lineRule="auto"/>
              <w:rPr>
                <w:b/>
                <w:color w:val="FFFFFF" w:themeColor="background1"/>
                <w:sz w:val="18"/>
                <w:szCs w:val="18"/>
              </w:rPr>
            </w:pPr>
            <w:r w:rsidRPr="002A2F05">
              <w:rPr>
                <w:b/>
                <w:color w:val="FFFFFF" w:themeColor="background1"/>
                <w:sz w:val="18"/>
                <w:szCs w:val="18"/>
              </w:rPr>
              <w:t>CKD stage</w:t>
            </w:r>
          </w:p>
        </w:tc>
        <w:tc>
          <w:tcPr>
            <w:tcW w:w="3751" w:type="pct"/>
            <w:shd w:val="clear" w:color="auto" w:fill="808080" w:themeFill="background1" w:themeFillShade="80"/>
          </w:tcPr>
          <w:p w14:paraId="3E07738B" w14:textId="3B5491AA" w:rsidR="00E86BA1" w:rsidRPr="002A2F05" w:rsidRDefault="00B14FA3" w:rsidP="003260E0">
            <w:pPr>
              <w:snapToGrid w:val="0"/>
              <w:spacing w:before="40" w:after="40" w:line="240" w:lineRule="auto"/>
              <w:rPr>
                <w:b/>
                <w:color w:val="FFFFFF" w:themeColor="background1"/>
                <w:sz w:val="18"/>
                <w:szCs w:val="18"/>
              </w:rPr>
            </w:pPr>
            <w:r w:rsidRPr="002A2F05">
              <w:rPr>
                <w:b/>
                <w:color w:val="FFFFFF" w:themeColor="background1"/>
                <w:sz w:val="18"/>
                <w:szCs w:val="18"/>
              </w:rPr>
              <w:t>Description</w:t>
            </w:r>
          </w:p>
        </w:tc>
      </w:tr>
      <w:tr w:rsidR="00E86BA1" w:rsidRPr="002A2F05" w14:paraId="7D432712" w14:textId="77777777" w:rsidTr="003260E0">
        <w:trPr>
          <w:trHeight w:val="319"/>
        </w:trPr>
        <w:tc>
          <w:tcPr>
            <w:tcW w:w="1249" w:type="pct"/>
          </w:tcPr>
          <w:p w14:paraId="78B90117" w14:textId="6FEF0A4C" w:rsidR="00E86BA1" w:rsidRPr="002A2F05" w:rsidRDefault="00E86BA1" w:rsidP="003260E0">
            <w:pPr>
              <w:pStyle w:val="Tablebulletlevel1"/>
              <w:numPr>
                <w:ilvl w:val="0"/>
                <w:numId w:val="0"/>
              </w:numPr>
              <w:ind w:left="144" w:hanging="144"/>
            </w:pPr>
            <w:r w:rsidRPr="002A2F05">
              <w:t>CKD 1</w:t>
            </w:r>
          </w:p>
        </w:tc>
        <w:tc>
          <w:tcPr>
            <w:tcW w:w="3751" w:type="pct"/>
            <w:vAlign w:val="center"/>
          </w:tcPr>
          <w:p w14:paraId="6C6BC3CB" w14:textId="2C53571B" w:rsidR="00E86BA1" w:rsidRPr="002A2F05" w:rsidRDefault="00310E7A" w:rsidP="00310E7A">
            <w:pPr>
              <w:spacing w:before="40" w:after="40" w:line="240" w:lineRule="exact"/>
              <w:rPr>
                <w:rFonts w:ascii="Helvetica" w:hAnsi="Helvetica" w:cs="Helvetica"/>
                <w:sz w:val="18"/>
                <w:szCs w:val="18"/>
              </w:rPr>
            </w:pPr>
            <w:r w:rsidRPr="002A2F05">
              <w:rPr>
                <w:rFonts w:ascii="Helvetica" w:hAnsi="Helvetica" w:cs="Helvetica"/>
                <w:sz w:val="18"/>
                <w:szCs w:val="18"/>
              </w:rPr>
              <w:t>Defined as patients who have eGFR ≥ 90 mL/min per 1.73 m</w:t>
            </w:r>
            <w:r w:rsidRPr="002A2F05">
              <w:rPr>
                <w:rFonts w:ascii="Helvetica" w:hAnsi="Helvetica" w:cs="Helvetica"/>
                <w:sz w:val="18"/>
                <w:szCs w:val="18"/>
                <w:vertAlign w:val="superscript"/>
              </w:rPr>
              <w:t>2</w:t>
            </w:r>
            <w:r w:rsidRPr="002A2F05">
              <w:rPr>
                <w:rFonts w:ascii="Helvetica" w:hAnsi="Helvetica" w:cs="Helvetica"/>
                <w:sz w:val="18"/>
                <w:szCs w:val="18"/>
              </w:rPr>
              <w:t>.</w:t>
            </w:r>
            <w:r w:rsidRPr="002A2F05">
              <w:rPr>
                <w:rFonts w:ascii="Helvetica" w:hAnsi="Helvetica" w:cs="Helvetica"/>
                <w:sz w:val="18"/>
                <w:szCs w:val="18"/>
                <w:vertAlign w:val="superscript"/>
              </w:rPr>
              <w:t xml:space="preserve"> 2;</w:t>
            </w:r>
            <w:r w:rsidRPr="002A2F05">
              <w:rPr>
                <w:rFonts w:ascii="Helvetica" w:hAnsi="Helvetica" w:cs="Helvetica"/>
                <w:sz w:val="18"/>
                <w:szCs w:val="18"/>
              </w:rPr>
              <w:fldChar w:fldCharType="begin"/>
            </w:r>
            <w:r w:rsidR="00BC31E6">
              <w:rPr>
                <w:rFonts w:ascii="Helvetica" w:hAnsi="Helvetica" w:cs="Helvetica"/>
                <w:sz w:val="18"/>
                <w:szCs w:val="18"/>
              </w:rPr>
              <w:instrText xml:space="preserve"> ADDIN ZOTERO_ITEM CSL_CITATION {"citationID":"E13IxUMU","properties":{"formattedCitation":"\\super 52\\nosupersub{}","plainCitation":"52","noteIndex":0},"citationItems":[{"id":6296,"uris":["http://zotero.org/groups/2828856/items/AKBEBCS3"],"itemData":{"id":6296,"type":"webpage","title":"CKD Stages | The Renal Association","URL":"https://renal.org/health-professionals/information-resources/uk-eckd-guide/ckd-stages","author":[{"family":"UK Kidney Association","given":""}],"accessed":{"date-parts":[["2021",6,25]]},"issued":{"date-parts":[["2021",6,25]]}}}],"schema":"https://github.com/citation-style-language/schema/raw/master/csl-citation.json"} </w:instrText>
            </w:r>
            <w:r w:rsidRPr="002A2F05">
              <w:rPr>
                <w:rFonts w:ascii="Helvetica" w:hAnsi="Helvetica" w:cs="Helvetica"/>
                <w:sz w:val="18"/>
                <w:szCs w:val="18"/>
              </w:rPr>
              <w:fldChar w:fldCharType="separate"/>
            </w:r>
            <w:r w:rsidR="00BC31E6" w:rsidRPr="00BC31E6">
              <w:rPr>
                <w:rFonts w:ascii="Helvetica" w:hAnsi="Helvetica" w:cs="Helvetica"/>
                <w:sz w:val="18"/>
                <w:vertAlign w:val="superscript"/>
              </w:rPr>
              <w:t>52</w:t>
            </w:r>
            <w:r w:rsidRPr="002A2F05">
              <w:rPr>
                <w:rFonts w:ascii="Helvetica" w:hAnsi="Helvetica" w:cs="Helvetica"/>
                <w:sz w:val="18"/>
                <w:szCs w:val="18"/>
              </w:rPr>
              <w:fldChar w:fldCharType="end"/>
            </w:r>
            <w:r w:rsidRPr="002A2F05">
              <w:rPr>
                <w:rFonts w:ascii="Helvetica" w:hAnsi="Helvetica" w:cs="Helvetica"/>
                <w:sz w:val="18"/>
                <w:szCs w:val="18"/>
              </w:rPr>
              <w:t xml:space="preserve"> Patients either remain in this state or those who do not respond to treatment transition to CKD stage 2 or death</w:t>
            </w:r>
            <w:r w:rsidR="00E86BA1" w:rsidRPr="002A2F05">
              <w:rPr>
                <w:rFonts w:ascii="Helvetica" w:hAnsi="Helvetica" w:cs="Helvetica"/>
                <w:sz w:val="18"/>
                <w:szCs w:val="18"/>
              </w:rPr>
              <w:t xml:space="preserve">. </w:t>
            </w:r>
          </w:p>
        </w:tc>
      </w:tr>
      <w:tr w:rsidR="00E86BA1" w:rsidRPr="002A2F05" w14:paraId="0A7920AF" w14:textId="77777777" w:rsidTr="003260E0">
        <w:trPr>
          <w:trHeight w:val="319"/>
        </w:trPr>
        <w:tc>
          <w:tcPr>
            <w:tcW w:w="1249" w:type="pct"/>
          </w:tcPr>
          <w:p w14:paraId="143EE623" w14:textId="06BE886F" w:rsidR="00E86BA1" w:rsidRPr="002A2F05" w:rsidRDefault="00E86BA1" w:rsidP="003260E0">
            <w:pPr>
              <w:pStyle w:val="Tablebulletlevel1"/>
              <w:numPr>
                <w:ilvl w:val="0"/>
                <w:numId w:val="0"/>
              </w:numPr>
              <w:rPr>
                <w:color w:val="000000" w:themeColor="text1"/>
              </w:rPr>
            </w:pPr>
            <w:r w:rsidRPr="002A2F05">
              <w:rPr>
                <w:color w:val="000000" w:themeColor="text1"/>
              </w:rPr>
              <w:t>CKD 2</w:t>
            </w:r>
          </w:p>
        </w:tc>
        <w:tc>
          <w:tcPr>
            <w:tcW w:w="3751" w:type="pct"/>
            <w:vAlign w:val="center"/>
          </w:tcPr>
          <w:p w14:paraId="4C0F8549" w14:textId="5CA4B017" w:rsidR="00E86BA1" w:rsidRPr="002A2F05" w:rsidRDefault="00105557" w:rsidP="002A2F05">
            <w:pPr>
              <w:pStyle w:val="Tablebulletlevel1"/>
              <w:numPr>
                <w:ilvl w:val="0"/>
                <w:numId w:val="0"/>
              </w:numPr>
              <w:rPr>
                <w:rFonts w:cs="Helvetica"/>
              </w:rPr>
            </w:pPr>
            <w:r w:rsidRPr="002A2F05">
              <w:rPr>
                <w:rFonts w:cs="Helvetica"/>
              </w:rPr>
              <w:t>Patients who have eGFR ≥ 60 to 89 mL/min per 1.73 m</w:t>
            </w:r>
            <w:r w:rsidRPr="002A2F05">
              <w:rPr>
                <w:rFonts w:cs="Helvetica"/>
                <w:vertAlign w:val="superscript"/>
              </w:rPr>
              <w:t>2</w:t>
            </w:r>
            <w:r w:rsidRPr="002A2F05">
              <w:rPr>
                <w:rFonts w:cs="Helvetica"/>
              </w:rPr>
              <w:t>.</w:t>
            </w:r>
            <w:r w:rsidRPr="002A2F05">
              <w:rPr>
                <w:rFonts w:cs="Helvetica"/>
                <w:vertAlign w:val="superscript"/>
              </w:rPr>
              <w:t>2;</w:t>
            </w:r>
            <w:r w:rsidRPr="002A2F05">
              <w:rPr>
                <w:rFonts w:cs="Helvetica"/>
              </w:rPr>
              <w:fldChar w:fldCharType="begin"/>
            </w:r>
            <w:r w:rsidR="00BC31E6">
              <w:rPr>
                <w:rFonts w:cs="Helvetica"/>
              </w:rPr>
              <w:instrText xml:space="preserve"> ADDIN ZOTERO_ITEM CSL_CITATION {"citationID":"hRvNlxWT","properties":{"formattedCitation":"\\super 52\\nosupersub{}","plainCitation":"52","noteIndex":0},"citationItems":[{"id":6296,"uris":["http://zotero.org/groups/2828856/items/AKBEBCS3"],"itemData":{"id":6296,"type":"webpage","title":"CKD Stages | The Renal Association","URL":"https://renal.org/health-professionals/information-resources/uk-eckd-guide/ckd-stages","author":[{"family":"UK Kidney Association","given":""}],"accessed":{"date-parts":[["2021",6,25]]},"issued":{"date-parts":[["2021",6,25]]}}}],"schema":"https://github.com/citation-style-language/schema/raw/master/csl-citation.json"} </w:instrText>
            </w:r>
            <w:r w:rsidRPr="002A2F05">
              <w:rPr>
                <w:rFonts w:cs="Helvetica"/>
              </w:rPr>
              <w:fldChar w:fldCharType="separate"/>
            </w:r>
            <w:r w:rsidR="00BC31E6" w:rsidRPr="00BC31E6">
              <w:rPr>
                <w:rFonts w:cs="Helvetica"/>
                <w:szCs w:val="24"/>
                <w:vertAlign w:val="superscript"/>
              </w:rPr>
              <w:t>52</w:t>
            </w:r>
            <w:r w:rsidRPr="002A2F05">
              <w:rPr>
                <w:rFonts w:cs="Helvetica"/>
              </w:rPr>
              <w:fldChar w:fldCharType="end"/>
            </w:r>
            <w:r w:rsidRPr="002A2F05">
              <w:rPr>
                <w:rFonts w:cs="Helvetica"/>
              </w:rPr>
              <w:t xml:space="preserve"> Patients either remain in this state, transition to CKD stage 1, or transition to CKD stage 3a or death.</w:t>
            </w:r>
          </w:p>
        </w:tc>
      </w:tr>
      <w:tr w:rsidR="00E86BA1" w:rsidRPr="002A2F05" w14:paraId="6EE8E2CA" w14:textId="77777777" w:rsidTr="003260E0">
        <w:trPr>
          <w:trHeight w:val="319"/>
        </w:trPr>
        <w:tc>
          <w:tcPr>
            <w:tcW w:w="1249" w:type="pct"/>
          </w:tcPr>
          <w:p w14:paraId="63E780E9" w14:textId="5684AD77" w:rsidR="00E86BA1" w:rsidRPr="002A2F05" w:rsidRDefault="00E86BA1" w:rsidP="003260E0">
            <w:pPr>
              <w:pStyle w:val="Tablebulletlevel1"/>
              <w:numPr>
                <w:ilvl w:val="0"/>
                <w:numId w:val="0"/>
              </w:numPr>
              <w:rPr>
                <w:bCs w:val="0"/>
                <w:color w:val="000000" w:themeColor="text1"/>
              </w:rPr>
            </w:pPr>
            <w:r w:rsidRPr="002A2F05">
              <w:rPr>
                <w:bCs w:val="0"/>
                <w:color w:val="000000" w:themeColor="text1"/>
              </w:rPr>
              <w:t>CKD 3a</w:t>
            </w:r>
          </w:p>
        </w:tc>
        <w:tc>
          <w:tcPr>
            <w:tcW w:w="3751" w:type="pct"/>
            <w:vAlign w:val="center"/>
          </w:tcPr>
          <w:p w14:paraId="43495258" w14:textId="4A4B0B87" w:rsidR="00E86BA1" w:rsidRPr="002A2F05" w:rsidRDefault="00532F1A" w:rsidP="002A2F05">
            <w:pPr>
              <w:pStyle w:val="Tablebulletlevel1"/>
              <w:numPr>
                <w:ilvl w:val="0"/>
                <w:numId w:val="0"/>
              </w:numPr>
              <w:rPr>
                <w:rFonts w:cs="Helvetica"/>
                <w:color w:val="000000" w:themeColor="text1"/>
              </w:rPr>
            </w:pPr>
            <w:r w:rsidRPr="002A2F05">
              <w:rPr>
                <w:rFonts w:cs="Helvetica"/>
                <w:color w:val="000000" w:themeColor="text1"/>
              </w:rPr>
              <w:t>Patients who have eGFR ≥ 45 to 59 mL/min per 1.73 m</w:t>
            </w:r>
            <w:r w:rsidRPr="002A2F05">
              <w:rPr>
                <w:rFonts w:cs="Helvetica"/>
                <w:color w:val="000000" w:themeColor="text1"/>
                <w:vertAlign w:val="superscript"/>
              </w:rPr>
              <w:t>2</w:t>
            </w:r>
            <w:r w:rsidRPr="002A2F05">
              <w:rPr>
                <w:rFonts w:cs="Helvetica"/>
                <w:color w:val="000000" w:themeColor="text1"/>
              </w:rPr>
              <w:t>.</w:t>
            </w:r>
            <w:r w:rsidRPr="002A2F05">
              <w:rPr>
                <w:rFonts w:cs="Helvetica"/>
                <w:vertAlign w:val="superscript"/>
              </w:rPr>
              <w:t>2;</w:t>
            </w:r>
            <w:r w:rsidRPr="002A2F05">
              <w:rPr>
                <w:rFonts w:cs="Helvetica"/>
              </w:rPr>
              <w:fldChar w:fldCharType="begin"/>
            </w:r>
            <w:r w:rsidR="00BC31E6">
              <w:rPr>
                <w:rFonts w:cs="Helvetica"/>
              </w:rPr>
              <w:instrText xml:space="preserve"> ADDIN ZOTERO_ITEM CSL_CITATION {"citationID":"CbtXnL7u","properties":{"formattedCitation":"\\super 52\\nosupersub{}","plainCitation":"52","noteIndex":0},"citationItems":[{"id":6296,"uris":["http://zotero.org/groups/2828856/items/AKBEBCS3"],"itemData":{"id":6296,"type":"webpage","title":"CKD Stages | The Renal Association","URL":"https://renal.org/health-professionals/information-resources/uk-eckd-guide/ckd-stages","author":[{"family":"UK Kidney Association","given":""}],"accessed":{"date-parts":[["2021",6,25]]},"issued":{"date-parts":[["2021",6,25]]}}}],"schema":"https://github.com/citation-style-language/schema/raw/master/csl-citation.json"} </w:instrText>
            </w:r>
            <w:r w:rsidRPr="002A2F05">
              <w:rPr>
                <w:rFonts w:cs="Helvetica"/>
              </w:rPr>
              <w:fldChar w:fldCharType="separate"/>
            </w:r>
            <w:r w:rsidR="00BC31E6" w:rsidRPr="00BC31E6">
              <w:rPr>
                <w:rFonts w:cs="Helvetica"/>
                <w:szCs w:val="24"/>
                <w:vertAlign w:val="superscript"/>
              </w:rPr>
              <w:t>52</w:t>
            </w:r>
            <w:r w:rsidRPr="002A2F05">
              <w:rPr>
                <w:rFonts w:cs="Helvetica"/>
              </w:rPr>
              <w:fldChar w:fldCharType="end"/>
            </w:r>
            <w:r w:rsidRPr="002A2F05">
              <w:rPr>
                <w:rFonts w:cs="Helvetica"/>
                <w:color w:val="000000" w:themeColor="text1"/>
              </w:rPr>
              <w:t xml:space="preserve"> Patients either remain in this state, transition to CKD stage 2, or transition to CKD stage 3b or death.</w:t>
            </w:r>
          </w:p>
        </w:tc>
      </w:tr>
      <w:tr w:rsidR="00E86BA1" w:rsidRPr="002A2F05" w14:paraId="41747F03" w14:textId="77777777" w:rsidTr="003260E0">
        <w:trPr>
          <w:trHeight w:val="319"/>
        </w:trPr>
        <w:tc>
          <w:tcPr>
            <w:tcW w:w="1249" w:type="pct"/>
          </w:tcPr>
          <w:p w14:paraId="77516401" w14:textId="3AFF8F57" w:rsidR="00E86BA1" w:rsidRPr="002A2F05" w:rsidRDefault="00E86BA1" w:rsidP="003260E0">
            <w:pPr>
              <w:pStyle w:val="Tablebulletlevel1"/>
              <w:numPr>
                <w:ilvl w:val="0"/>
                <w:numId w:val="0"/>
              </w:numPr>
              <w:rPr>
                <w:color w:val="000000" w:themeColor="text1"/>
              </w:rPr>
            </w:pPr>
            <w:r w:rsidRPr="002A2F05">
              <w:rPr>
                <w:color w:val="000000" w:themeColor="text1"/>
              </w:rPr>
              <w:t>CKD 3b</w:t>
            </w:r>
          </w:p>
        </w:tc>
        <w:tc>
          <w:tcPr>
            <w:tcW w:w="3751" w:type="pct"/>
            <w:vAlign w:val="center"/>
          </w:tcPr>
          <w:p w14:paraId="087667B0" w14:textId="4C8EE5AD" w:rsidR="00E86BA1" w:rsidRPr="002A2F05" w:rsidRDefault="00842A4E" w:rsidP="002A2F05">
            <w:pPr>
              <w:pStyle w:val="Tablebulletlevel1"/>
              <w:numPr>
                <w:ilvl w:val="0"/>
                <w:numId w:val="0"/>
              </w:numPr>
              <w:rPr>
                <w:rFonts w:cs="Helvetica"/>
              </w:rPr>
            </w:pPr>
            <w:r w:rsidRPr="002A2F05">
              <w:rPr>
                <w:rFonts w:cs="Helvetica"/>
              </w:rPr>
              <w:t>Patients who have eGFR ≥ 30 to 44 mL/min per 1.73 m</w:t>
            </w:r>
            <w:r w:rsidRPr="002A2F05">
              <w:rPr>
                <w:rFonts w:cs="Helvetica"/>
                <w:vertAlign w:val="superscript"/>
              </w:rPr>
              <w:t>2</w:t>
            </w:r>
            <w:r w:rsidRPr="002A2F05">
              <w:rPr>
                <w:rFonts w:cs="Helvetica"/>
              </w:rPr>
              <w:t>.</w:t>
            </w:r>
            <w:r w:rsidRPr="002A2F05">
              <w:rPr>
                <w:rFonts w:cs="Helvetica"/>
                <w:vertAlign w:val="superscript"/>
              </w:rPr>
              <w:t>2;</w:t>
            </w:r>
            <w:r w:rsidRPr="002A2F05">
              <w:rPr>
                <w:rFonts w:cs="Helvetica"/>
              </w:rPr>
              <w:fldChar w:fldCharType="begin"/>
            </w:r>
            <w:r w:rsidR="00BC31E6">
              <w:rPr>
                <w:rFonts w:cs="Helvetica"/>
              </w:rPr>
              <w:instrText xml:space="preserve"> ADDIN ZOTERO_ITEM CSL_CITATION {"citationID":"imH9TF3t","properties":{"formattedCitation":"\\super 52\\nosupersub{}","plainCitation":"52","noteIndex":0},"citationItems":[{"id":6296,"uris":["http://zotero.org/groups/2828856/items/AKBEBCS3"],"itemData":{"id":6296,"type":"webpage","title":"CKD Stages | The Renal Association","URL":"https://renal.org/health-professionals/information-resources/uk-eckd-guide/ckd-stages","author":[{"family":"UK Kidney Association","given":""}],"accessed":{"date-parts":[["2021",6,25]]},"issued":{"date-parts":[["2021",6,25]]}}}],"schema":"https://github.com/citation-style-language/schema/raw/master/csl-citation.json"} </w:instrText>
            </w:r>
            <w:r w:rsidRPr="002A2F05">
              <w:rPr>
                <w:rFonts w:cs="Helvetica"/>
              </w:rPr>
              <w:fldChar w:fldCharType="separate"/>
            </w:r>
            <w:r w:rsidR="00BC31E6" w:rsidRPr="00BC31E6">
              <w:rPr>
                <w:rFonts w:cs="Helvetica"/>
                <w:szCs w:val="24"/>
                <w:vertAlign w:val="superscript"/>
              </w:rPr>
              <w:t>52</w:t>
            </w:r>
            <w:r w:rsidRPr="002A2F05">
              <w:rPr>
                <w:rFonts w:cs="Helvetica"/>
              </w:rPr>
              <w:fldChar w:fldCharType="end"/>
            </w:r>
            <w:r w:rsidRPr="002A2F05">
              <w:rPr>
                <w:rFonts w:cs="Helvetica"/>
              </w:rPr>
              <w:t xml:space="preserve"> In this state, patients either remain, transition to CKD stage 3a, or worsen and transition into CKD stage 4 or death.</w:t>
            </w:r>
          </w:p>
        </w:tc>
      </w:tr>
      <w:tr w:rsidR="00E86BA1" w:rsidRPr="002A2F05" w14:paraId="63F7054A" w14:textId="77777777" w:rsidTr="003260E0">
        <w:trPr>
          <w:trHeight w:val="319"/>
        </w:trPr>
        <w:tc>
          <w:tcPr>
            <w:tcW w:w="1249" w:type="pct"/>
          </w:tcPr>
          <w:p w14:paraId="2D397926" w14:textId="77777777" w:rsidR="00E86BA1" w:rsidRPr="002A2F05" w:rsidRDefault="00E86BA1" w:rsidP="003260E0">
            <w:pPr>
              <w:pStyle w:val="Tablebulletlevel1"/>
              <w:numPr>
                <w:ilvl w:val="0"/>
                <w:numId w:val="0"/>
              </w:numPr>
              <w:rPr>
                <w:color w:val="000000" w:themeColor="text1"/>
              </w:rPr>
            </w:pPr>
            <w:r w:rsidRPr="002A2F05">
              <w:rPr>
                <w:color w:val="000000" w:themeColor="text1"/>
              </w:rPr>
              <w:t>CKD 4</w:t>
            </w:r>
          </w:p>
        </w:tc>
        <w:tc>
          <w:tcPr>
            <w:tcW w:w="3751" w:type="pct"/>
            <w:vAlign w:val="center"/>
          </w:tcPr>
          <w:p w14:paraId="10E95F3B" w14:textId="090D6659" w:rsidR="00E86BA1" w:rsidRPr="002A2F05" w:rsidRDefault="00842A4E" w:rsidP="002A2F05">
            <w:pPr>
              <w:pStyle w:val="Tablebulletlevel1"/>
              <w:numPr>
                <w:ilvl w:val="0"/>
                <w:numId w:val="0"/>
              </w:numPr>
              <w:rPr>
                <w:rFonts w:cs="Helvetica"/>
                <w:color w:val="000000" w:themeColor="text1"/>
              </w:rPr>
            </w:pPr>
            <w:r w:rsidRPr="002A2F05">
              <w:rPr>
                <w:rFonts w:cs="Helvetica"/>
                <w:color w:val="000000" w:themeColor="text1"/>
              </w:rPr>
              <w:t>Patients who have eGFR ≥ 15 to 29 mL/min per 1.73 m</w:t>
            </w:r>
            <w:r w:rsidRPr="002A2F05">
              <w:rPr>
                <w:rFonts w:cs="Helvetica"/>
                <w:color w:val="000000" w:themeColor="text1"/>
                <w:vertAlign w:val="superscript"/>
              </w:rPr>
              <w:t>2</w:t>
            </w:r>
            <w:r w:rsidRPr="002A2F05">
              <w:rPr>
                <w:rFonts w:cs="Helvetica"/>
                <w:color w:val="000000" w:themeColor="text1"/>
              </w:rPr>
              <w:t>.</w:t>
            </w:r>
            <w:r w:rsidRPr="002A2F05">
              <w:rPr>
                <w:rFonts w:cs="Helvetica"/>
                <w:vertAlign w:val="superscript"/>
              </w:rPr>
              <w:t>2;</w:t>
            </w:r>
            <w:r w:rsidRPr="002A2F05">
              <w:rPr>
                <w:rFonts w:cs="Helvetica"/>
              </w:rPr>
              <w:fldChar w:fldCharType="begin"/>
            </w:r>
            <w:r w:rsidR="00BC31E6">
              <w:rPr>
                <w:rFonts w:cs="Helvetica"/>
              </w:rPr>
              <w:instrText xml:space="preserve"> ADDIN ZOTERO_ITEM CSL_CITATION {"citationID":"eosK185S","properties":{"formattedCitation":"\\super 52\\nosupersub{}","plainCitation":"52","noteIndex":0},"citationItems":[{"id":6296,"uris":["http://zotero.org/groups/2828856/items/AKBEBCS3"],"itemData":{"id":6296,"type":"webpage","title":"CKD Stages | The Renal Association","URL":"https://renal.org/health-professionals/information-resources/uk-eckd-guide/ckd-stages","author":[{"family":"UK Kidney Association","given":""}],"accessed":{"date-parts":[["2021",6,25]]},"issued":{"date-parts":[["2021",6,25]]}}}],"schema":"https://github.com/citation-style-language/schema/raw/master/csl-citation.json"} </w:instrText>
            </w:r>
            <w:r w:rsidRPr="002A2F05">
              <w:rPr>
                <w:rFonts w:cs="Helvetica"/>
              </w:rPr>
              <w:fldChar w:fldCharType="separate"/>
            </w:r>
            <w:r w:rsidR="00BC31E6" w:rsidRPr="00BC31E6">
              <w:rPr>
                <w:rFonts w:cs="Helvetica"/>
                <w:szCs w:val="24"/>
                <w:vertAlign w:val="superscript"/>
              </w:rPr>
              <w:t>52</w:t>
            </w:r>
            <w:r w:rsidRPr="002A2F05">
              <w:rPr>
                <w:rFonts w:cs="Helvetica"/>
              </w:rPr>
              <w:fldChar w:fldCharType="end"/>
            </w:r>
            <w:r w:rsidRPr="002A2F05">
              <w:rPr>
                <w:rFonts w:cs="Helvetica"/>
                <w:color w:val="000000" w:themeColor="text1"/>
              </w:rPr>
              <w:t xml:space="preserve"> No patients begin the model in this state. Patients can transition into CKD stage 4 from CKD stage 3b after the first cycle. Patients in subsequent cycles in this state can transition from CKD stage 4 to CKD stage 3b or worsen to ESRD with or without dialysis, or death.</w:t>
            </w:r>
          </w:p>
        </w:tc>
      </w:tr>
      <w:tr w:rsidR="00E86BA1" w:rsidRPr="002A2F05" w14:paraId="34A181D5" w14:textId="77777777" w:rsidTr="003260E0">
        <w:trPr>
          <w:trHeight w:val="319"/>
        </w:trPr>
        <w:tc>
          <w:tcPr>
            <w:tcW w:w="1249" w:type="pct"/>
          </w:tcPr>
          <w:p w14:paraId="1692E431" w14:textId="77777777" w:rsidR="00E86BA1" w:rsidRPr="002A2F05" w:rsidRDefault="00E86BA1" w:rsidP="003260E0">
            <w:pPr>
              <w:pStyle w:val="Tablebulletlevel1"/>
              <w:numPr>
                <w:ilvl w:val="0"/>
                <w:numId w:val="0"/>
              </w:numPr>
              <w:rPr>
                <w:color w:val="000000" w:themeColor="text1"/>
              </w:rPr>
            </w:pPr>
            <w:r w:rsidRPr="002A2F05">
              <w:rPr>
                <w:color w:val="000000" w:themeColor="text1"/>
              </w:rPr>
              <w:t>ESRD without dialysis</w:t>
            </w:r>
          </w:p>
        </w:tc>
        <w:tc>
          <w:tcPr>
            <w:tcW w:w="3751" w:type="pct"/>
            <w:vAlign w:val="center"/>
          </w:tcPr>
          <w:p w14:paraId="1C48EC64" w14:textId="4BA2841C" w:rsidR="00E86BA1" w:rsidRPr="002A2F05" w:rsidRDefault="003E0458" w:rsidP="002A2F05">
            <w:pPr>
              <w:pStyle w:val="Tablebulletlevel1"/>
              <w:numPr>
                <w:ilvl w:val="0"/>
                <w:numId w:val="0"/>
              </w:numPr>
              <w:rPr>
                <w:rFonts w:cs="Helvetica"/>
              </w:rPr>
            </w:pPr>
            <w:r w:rsidRPr="002A2F05">
              <w:rPr>
                <w:rFonts w:cs="Helvetica"/>
              </w:rPr>
              <w:t>No patients begin the model in this state. Patients can transition into this state from CKD stage 4 after the first cycle. Patients in subsequent cycles can remain in this state or worsen and transition into the post-transplant state or death</w:t>
            </w:r>
            <w:r w:rsidR="003D28B8" w:rsidRPr="002A2F05">
              <w:rPr>
                <w:rFonts w:cs="Helvetica"/>
              </w:rPr>
              <w:t>.</w:t>
            </w:r>
          </w:p>
        </w:tc>
      </w:tr>
      <w:tr w:rsidR="00E86BA1" w:rsidRPr="002A2F05" w14:paraId="45FB623D" w14:textId="77777777" w:rsidTr="003260E0">
        <w:trPr>
          <w:trHeight w:val="319"/>
        </w:trPr>
        <w:tc>
          <w:tcPr>
            <w:tcW w:w="1249" w:type="pct"/>
          </w:tcPr>
          <w:p w14:paraId="32FEA97D" w14:textId="77777777" w:rsidR="00E86BA1" w:rsidRPr="002A2F05" w:rsidRDefault="00E86BA1" w:rsidP="003260E0">
            <w:pPr>
              <w:pStyle w:val="Tablebulletlevel1"/>
              <w:numPr>
                <w:ilvl w:val="0"/>
                <w:numId w:val="0"/>
              </w:numPr>
              <w:rPr>
                <w:color w:val="000000" w:themeColor="text1"/>
              </w:rPr>
            </w:pPr>
            <w:r w:rsidRPr="002A2F05">
              <w:rPr>
                <w:color w:val="000000" w:themeColor="text1"/>
              </w:rPr>
              <w:t>ESRD with dialysis</w:t>
            </w:r>
          </w:p>
        </w:tc>
        <w:tc>
          <w:tcPr>
            <w:tcW w:w="3751" w:type="pct"/>
            <w:vAlign w:val="center"/>
          </w:tcPr>
          <w:p w14:paraId="6EB8E378" w14:textId="5319D8FE" w:rsidR="00E86BA1" w:rsidRPr="002A2F05" w:rsidRDefault="00824C66" w:rsidP="002A2F05">
            <w:pPr>
              <w:pStyle w:val="Tablebulletlevel1"/>
              <w:numPr>
                <w:ilvl w:val="0"/>
                <w:numId w:val="0"/>
              </w:numPr>
              <w:rPr>
                <w:rFonts w:cs="Helvetica"/>
              </w:rPr>
            </w:pPr>
            <w:r w:rsidRPr="002A2F05">
              <w:rPr>
                <w:rFonts w:cs="Helvetica"/>
              </w:rPr>
              <w:t>No patients begin the model in this state. Patients can transition into this state from ESRD without dialysis after the first cycle. Patients in subsequent cycles can remain in this state or worsen and transition into the post-transplant state or death.</w:t>
            </w:r>
          </w:p>
        </w:tc>
      </w:tr>
      <w:tr w:rsidR="00E86BA1" w:rsidRPr="002A2F05" w14:paraId="5795708E" w14:textId="77777777" w:rsidTr="003260E0">
        <w:trPr>
          <w:trHeight w:val="319"/>
        </w:trPr>
        <w:tc>
          <w:tcPr>
            <w:tcW w:w="1249" w:type="pct"/>
          </w:tcPr>
          <w:p w14:paraId="57F48A83" w14:textId="77777777" w:rsidR="00E86BA1" w:rsidRPr="002A2F05" w:rsidRDefault="00E86BA1" w:rsidP="003260E0">
            <w:pPr>
              <w:pStyle w:val="Tablebulletlevel1"/>
              <w:numPr>
                <w:ilvl w:val="0"/>
                <w:numId w:val="0"/>
              </w:numPr>
              <w:rPr>
                <w:color w:val="000000" w:themeColor="text1"/>
              </w:rPr>
            </w:pPr>
            <w:r w:rsidRPr="002A2F05">
              <w:rPr>
                <w:color w:val="000000" w:themeColor="text1"/>
              </w:rPr>
              <w:t>Post-transplant</w:t>
            </w:r>
          </w:p>
        </w:tc>
        <w:tc>
          <w:tcPr>
            <w:tcW w:w="3751" w:type="pct"/>
            <w:vAlign w:val="center"/>
          </w:tcPr>
          <w:p w14:paraId="5B72A0F3" w14:textId="508514BA" w:rsidR="00E86BA1" w:rsidRPr="002A2F05" w:rsidRDefault="00824C66" w:rsidP="002A2F05">
            <w:pPr>
              <w:pStyle w:val="Tablebulletlevel1"/>
              <w:numPr>
                <w:ilvl w:val="0"/>
                <w:numId w:val="0"/>
              </w:numPr>
              <w:rPr>
                <w:rFonts w:cs="Helvetica"/>
              </w:rPr>
            </w:pPr>
            <w:r w:rsidRPr="002A2F05">
              <w:rPr>
                <w:rFonts w:cs="Helvetica"/>
              </w:rPr>
              <w:t>No patients begin the model in this state. Patients can transition into this state from ESRD without or with dialysis after the first cycle. Patients in subsequent cycles can remain in this state or transition to death.</w:t>
            </w:r>
          </w:p>
        </w:tc>
      </w:tr>
      <w:tr w:rsidR="00E86BA1" w:rsidRPr="002A2F05" w14:paraId="5285A1D8" w14:textId="77777777" w:rsidTr="003260E0">
        <w:trPr>
          <w:trHeight w:val="319"/>
        </w:trPr>
        <w:tc>
          <w:tcPr>
            <w:tcW w:w="1249" w:type="pct"/>
          </w:tcPr>
          <w:p w14:paraId="1B0BCF1B" w14:textId="4299FCE5" w:rsidR="00E86BA1" w:rsidRPr="002A2F05" w:rsidRDefault="003D28B8" w:rsidP="003260E0">
            <w:pPr>
              <w:pStyle w:val="Tablebulletlevel1"/>
              <w:numPr>
                <w:ilvl w:val="0"/>
                <w:numId w:val="0"/>
              </w:numPr>
              <w:rPr>
                <w:color w:val="000000" w:themeColor="text1"/>
              </w:rPr>
            </w:pPr>
            <w:r w:rsidRPr="002A2F05">
              <w:rPr>
                <w:color w:val="000000" w:themeColor="text1"/>
              </w:rPr>
              <w:t>Mortality</w:t>
            </w:r>
          </w:p>
        </w:tc>
        <w:tc>
          <w:tcPr>
            <w:tcW w:w="3751" w:type="pct"/>
            <w:vAlign w:val="center"/>
          </w:tcPr>
          <w:p w14:paraId="2F14F848" w14:textId="4C35221D" w:rsidR="00E86BA1" w:rsidRPr="002A2F05" w:rsidRDefault="003D28B8" w:rsidP="003260E0">
            <w:pPr>
              <w:pStyle w:val="Tablebulletlevel1"/>
              <w:numPr>
                <w:ilvl w:val="0"/>
                <w:numId w:val="0"/>
              </w:numPr>
              <w:ind w:left="144" w:hanging="144"/>
              <w:jc w:val="left"/>
              <w:rPr>
                <w:rFonts w:cs="Helvetica"/>
                <w:color w:val="000000" w:themeColor="text1"/>
              </w:rPr>
            </w:pPr>
            <w:r w:rsidRPr="002A2F05">
              <w:rPr>
                <w:rFonts w:cs="Helvetica"/>
              </w:rPr>
              <w:t>Terminal state</w:t>
            </w:r>
          </w:p>
        </w:tc>
      </w:tr>
    </w:tbl>
    <w:p w14:paraId="53C8D82C" w14:textId="6145F26D" w:rsidR="0027706F" w:rsidRPr="004B6361" w:rsidRDefault="003260E0" w:rsidP="001174E4">
      <w:pPr>
        <w:pStyle w:val="tablelegend"/>
        <w:rPr>
          <w:rFonts w:ascii="Arial" w:hAnsi="Arial" w:cs="Arial"/>
        </w:rPr>
      </w:pPr>
      <w:r w:rsidRPr="004B6361">
        <w:rPr>
          <w:rFonts w:ascii="Arial" w:hAnsi="Arial" w:cs="Arial"/>
          <w:b/>
        </w:rPr>
        <w:t>Abbreviations:</w:t>
      </w:r>
      <w:r w:rsidRPr="004B6361">
        <w:rPr>
          <w:rFonts w:ascii="Arial" w:hAnsi="Arial" w:cs="Arial"/>
        </w:rPr>
        <w:t xml:space="preserve"> AE, adverse event; CKD, chronic kidney disease; </w:t>
      </w:r>
      <w:r w:rsidR="001174E4" w:rsidRPr="004B6361">
        <w:rPr>
          <w:rFonts w:ascii="Arial" w:hAnsi="Arial" w:cs="Arial"/>
        </w:rPr>
        <w:t xml:space="preserve">eGFR, estimated glomerular filtration rate; </w:t>
      </w:r>
      <w:r w:rsidRPr="004B6361">
        <w:rPr>
          <w:rFonts w:ascii="Arial" w:hAnsi="Arial" w:cs="Arial"/>
        </w:rPr>
        <w:t>ESRD, end-stage renal disease</w:t>
      </w:r>
      <w:r w:rsidR="008B621E" w:rsidRPr="004B6361">
        <w:rPr>
          <w:rFonts w:ascii="Arial" w:hAnsi="Arial" w:cs="Arial"/>
        </w:rPr>
        <w:t>.</w:t>
      </w:r>
    </w:p>
    <w:p w14:paraId="022D454F" w14:textId="2F59DE8D" w:rsidR="003D28B8" w:rsidRPr="002A51F4" w:rsidRDefault="00824C66" w:rsidP="002A51F4">
      <w:pPr>
        <w:pStyle w:val="tablelegend"/>
        <w:rPr>
          <w:rFonts w:ascii="Arial" w:hAnsi="Arial" w:cs="Arial"/>
          <w:bCs/>
        </w:rPr>
      </w:pPr>
      <w:r w:rsidRPr="002A51F4">
        <w:rPr>
          <w:rFonts w:ascii="Arial" w:hAnsi="Arial" w:cs="Arial"/>
          <w:b/>
        </w:rPr>
        <w:t xml:space="preserve">Note: </w:t>
      </w:r>
      <w:r w:rsidR="00EE4113" w:rsidRPr="002A51F4">
        <w:rPr>
          <w:rFonts w:ascii="Arial" w:hAnsi="Arial" w:cs="Arial"/>
          <w:bCs/>
        </w:rPr>
        <w:t>Patients in each health state (except death) experience the respective costs (drug, AE, routine care, productivity loss) and CKD stage and AE related utility.</w:t>
      </w:r>
    </w:p>
    <w:p w14:paraId="109545DA" w14:textId="77777777" w:rsidR="00867CBA" w:rsidRDefault="00867CBA">
      <w:pPr>
        <w:spacing w:line="240" w:lineRule="auto"/>
        <w:rPr>
          <w:rFonts w:cs="Arial"/>
          <w:b/>
          <w:bCs/>
        </w:rPr>
      </w:pPr>
      <w:r>
        <w:rPr>
          <w:rFonts w:cs="Arial"/>
          <w:b/>
          <w:bCs/>
        </w:rPr>
        <w:br w:type="page"/>
      </w:r>
    </w:p>
    <w:p w14:paraId="6785CBDC" w14:textId="48E4E796" w:rsidR="0027706F" w:rsidRPr="002A2F05" w:rsidRDefault="00E86BA1" w:rsidP="003D28B8">
      <w:pPr>
        <w:widowControl w:val="0"/>
        <w:rPr>
          <w:rFonts w:cs="Arial"/>
        </w:rPr>
      </w:pPr>
      <w:r w:rsidRPr="002A2F05">
        <w:rPr>
          <w:rFonts w:cs="Arial"/>
          <w:b/>
          <w:bCs/>
        </w:rPr>
        <w:lastRenderedPageBreak/>
        <w:t xml:space="preserve">Supplementary Table </w:t>
      </w:r>
      <w:r w:rsidR="00E82B3D" w:rsidRPr="002A2F05">
        <w:rPr>
          <w:rFonts w:cs="Arial"/>
          <w:b/>
          <w:bCs/>
        </w:rPr>
        <w:t>2</w:t>
      </w:r>
      <w:r w:rsidR="00D17DB0" w:rsidRPr="002A2F05">
        <w:rPr>
          <w:rFonts w:cs="Arial"/>
          <w:b/>
          <w:bCs/>
        </w:rPr>
        <w:t>.</w:t>
      </w:r>
      <w:r w:rsidRPr="002A2F05">
        <w:rPr>
          <w:rFonts w:cs="Arial"/>
          <w:b/>
          <w:bCs/>
        </w:rPr>
        <w:t xml:space="preserve"> </w:t>
      </w:r>
      <w:r w:rsidRPr="002A2F05">
        <w:rPr>
          <w:rFonts w:cs="Arial"/>
        </w:rPr>
        <w:t>C</w:t>
      </w:r>
      <w:r w:rsidR="00415EAB" w:rsidRPr="002A2F05">
        <w:rPr>
          <w:rFonts w:cs="Arial"/>
        </w:rPr>
        <w:t xml:space="preserve">ost-effectiveness analysis </w:t>
      </w:r>
      <w:r w:rsidRPr="002A2F05">
        <w:rPr>
          <w:rFonts w:cs="Arial"/>
        </w:rPr>
        <w:t>inputs</w:t>
      </w:r>
      <w:r w:rsidR="00415EAB" w:rsidRPr="002A2F05">
        <w:rPr>
          <w:rFonts w:cs="Arial"/>
        </w:rPr>
        <w:t xml:space="preserve"> in the base-case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84"/>
        <w:gridCol w:w="2404"/>
        <w:gridCol w:w="4236"/>
      </w:tblGrid>
      <w:tr w:rsidR="001A7B4A" w:rsidRPr="002A2F05" w14:paraId="2069EA7A" w14:textId="77777777" w:rsidTr="00CD0186">
        <w:trPr>
          <w:trHeight w:val="282"/>
          <w:tblHeader/>
        </w:trPr>
        <w:tc>
          <w:tcPr>
            <w:tcW w:w="2105" w:type="dxa"/>
            <w:shd w:val="clear" w:color="auto" w:fill="7F7F7F" w:themeFill="text1" w:themeFillTint="80"/>
          </w:tcPr>
          <w:p w14:paraId="5B5912CB" w14:textId="77777777" w:rsidR="001A7B4A" w:rsidRPr="002A2F05" w:rsidRDefault="001A7B4A" w:rsidP="00CD0186">
            <w:pPr>
              <w:keepNext/>
              <w:spacing w:before="40" w:after="40"/>
              <w:rPr>
                <w:b/>
                <w:color w:val="FFFFFF" w:themeColor="background1"/>
                <w:sz w:val="18"/>
                <w:szCs w:val="18"/>
              </w:rPr>
            </w:pPr>
            <w:r w:rsidRPr="002A2F05">
              <w:rPr>
                <w:b/>
                <w:color w:val="FFFFFF" w:themeColor="background1"/>
                <w:sz w:val="18"/>
                <w:szCs w:val="18"/>
              </w:rPr>
              <w:t>Parameter</w:t>
            </w:r>
          </w:p>
        </w:tc>
        <w:tc>
          <w:tcPr>
            <w:tcW w:w="2512" w:type="dxa"/>
            <w:shd w:val="clear" w:color="auto" w:fill="7F7F7F" w:themeFill="text1" w:themeFillTint="80"/>
          </w:tcPr>
          <w:p w14:paraId="0332E911" w14:textId="77777777" w:rsidR="001A7B4A" w:rsidRPr="002A2F05" w:rsidRDefault="001A7B4A" w:rsidP="00CD0186">
            <w:pPr>
              <w:keepNext/>
              <w:spacing w:before="40" w:after="40"/>
              <w:rPr>
                <w:rFonts w:eastAsia="Courier New"/>
                <w:b/>
                <w:color w:val="FFFFFF" w:themeColor="background1"/>
                <w:sz w:val="18"/>
                <w:szCs w:val="18"/>
              </w:rPr>
            </w:pPr>
            <w:r w:rsidRPr="002A2F05">
              <w:rPr>
                <w:rFonts w:eastAsia="Courier New"/>
                <w:b/>
                <w:color w:val="FFFFFF" w:themeColor="background1"/>
                <w:sz w:val="18"/>
                <w:szCs w:val="18"/>
              </w:rPr>
              <w:t>Value</w:t>
            </w:r>
          </w:p>
        </w:tc>
        <w:tc>
          <w:tcPr>
            <w:tcW w:w="4727" w:type="dxa"/>
            <w:shd w:val="clear" w:color="auto" w:fill="7F7F7F" w:themeFill="text1" w:themeFillTint="80"/>
          </w:tcPr>
          <w:p w14:paraId="5323D331" w14:textId="77777777" w:rsidR="001A7B4A" w:rsidRPr="002A2F05" w:rsidRDefault="001A7B4A" w:rsidP="00CD0186">
            <w:pPr>
              <w:keepNext/>
              <w:spacing w:before="40" w:after="40"/>
              <w:rPr>
                <w:rFonts w:eastAsia="Courier New"/>
                <w:b/>
                <w:color w:val="FFFFFF" w:themeColor="background1"/>
                <w:sz w:val="18"/>
                <w:szCs w:val="18"/>
              </w:rPr>
            </w:pPr>
            <w:r w:rsidRPr="002A2F05">
              <w:rPr>
                <w:rFonts w:eastAsia="Courier New"/>
                <w:b/>
                <w:color w:val="FFFFFF" w:themeColor="background1"/>
                <w:sz w:val="18"/>
                <w:szCs w:val="18"/>
              </w:rPr>
              <w:t>Source</w:t>
            </w:r>
          </w:p>
        </w:tc>
      </w:tr>
      <w:tr w:rsidR="001A7B4A" w:rsidRPr="002A2F05" w14:paraId="4D25A3EA" w14:textId="77777777" w:rsidTr="00CD0186">
        <w:trPr>
          <w:trHeight w:val="219"/>
        </w:trPr>
        <w:tc>
          <w:tcPr>
            <w:tcW w:w="0" w:type="auto"/>
            <w:gridSpan w:val="3"/>
            <w:shd w:val="clear" w:color="auto" w:fill="D9D9D9" w:themeFill="background1" w:themeFillShade="D9"/>
          </w:tcPr>
          <w:p w14:paraId="1A55157A" w14:textId="77777777" w:rsidR="001A7B4A" w:rsidRPr="002A2F05" w:rsidRDefault="001A7B4A" w:rsidP="00CD0186">
            <w:pPr>
              <w:spacing w:before="40" w:after="40"/>
              <w:rPr>
                <w:b/>
                <w:bCs/>
                <w:sz w:val="18"/>
                <w:szCs w:val="18"/>
              </w:rPr>
            </w:pPr>
            <w:r w:rsidRPr="002A2F05">
              <w:rPr>
                <w:rFonts w:eastAsia="Courier New"/>
                <w:b/>
                <w:bCs/>
                <w:sz w:val="18"/>
                <w:szCs w:val="18"/>
              </w:rPr>
              <w:t>General</w:t>
            </w:r>
          </w:p>
        </w:tc>
      </w:tr>
      <w:tr w:rsidR="001A7B4A" w:rsidRPr="002A2F05" w14:paraId="534F514C" w14:textId="77777777" w:rsidTr="00CD0186">
        <w:trPr>
          <w:trHeight w:val="20"/>
        </w:trPr>
        <w:tc>
          <w:tcPr>
            <w:tcW w:w="2105" w:type="dxa"/>
            <w:shd w:val="clear" w:color="auto" w:fill="auto"/>
          </w:tcPr>
          <w:p w14:paraId="380E237F" w14:textId="77777777" w:rsidR="001A7B4A" w:rsidRPr="002A2F05" w:rsidRDefault="001A7B4A" w:rsidP="00CD0186">
            <w:pPr>
              <w:pStyle w:val="Tablebulletlevel1"/>
              <w:numPr>
                <w:ilvl w:val="0"/>
                <w:numId w:val="0"/>
              </w:numPr>
              <w:jc w:val="left"/>
            </w:pPr>
            <w:r w:rsidRPr="002A2F05">
              <w:t>Starting age (years)</w:t>
            </w:r>
          </w:p>
        </w:tc>
        <w:tc>
          <w:tcPr>
            <w:tcW w:w="2512" w:type="dxa"/>
            <w:shd w:val="clear" w:color="auto" w:fill="auto"/>
          </w:tcPr>
          <w:p w14:paraId="117490A9" w14:textId="77777777" w:rsidR="001A7B4A" w:rsidRPr="002A2F05" w:rsidRDefault="001A7B4A" w:rsidP="00265658">
            <w:pPr>
              <w:pStyle w:val="Tablebulletlevel1"/>
            </w:pPr>
            <w:r w:rsidRPr="002A2F05">
              <w:t>43</w:t>
            </w:r>
          </w:p>
        </w:tc>
        <w:tc>
          <w:tcPr>
            <w:tcW w:w="4727" w:type="dxa"/>
            <w:shd w:val="clear" w:color="auto" w:fill="auto"/>
          </w:tcPr>
          <w:p w14:paraId="3FDE6ED9" w14:textId="7A48499F" w:rsidR="001A7B4A" w:rsidRPr="002A2F05" w:rsidRDefault="001A7B4A" w:rsidP="00CD0186">
            <w:pPr>
              <w:pStyle w:val="Tablebulletlevel1"/>
              <w:jc w:val="left"/>
              <w:rPr>
                <w:color w:val="auto"/>
              </w:rPr>
            </w:pPr>
            <w:r w:rsidRPr="002A2F05">
              <w:rPr>
                <w:color w:val="auto"/>
              </w:rPr>
              <w:t>NefIgArd CSR (Part A full analysis set)</w:t>
            </w:r>
            <w:r w:rsidRPr="002A2F05">
              <w:rPr>
                <w:color w:val="auto"/>
                <w:lang w:eastAsia="ja-JP"/>
              </w:rPr>
              <w:fldChar w:fldCharType="begin"/>
            </w:r>
            <w:r w:rsidR="00BC31E6">
              <w:rPr>
                <w:color w:val="auto"/>
                <w:lang w:eastAsia="ja-JP"/>
              </w:rPr>
              <w:instrText xml:space="preserve"> ADDIN ZOTERO_ITEM CSL_CITATION {"citationID":"a7LykMoY","properties":{"formattedCitation":"\\super 29\\nosupersub{}","plainCitation":"29","noteIndex":0},"citationItems":[{"id":3938,"uris":["http://zotero.org/groups/2828856/items/PF7RRX9D"],"itemData":{"id":3938,"type":"report","title":"Data on File: Clinical Study Report - A Randomized, Double-Blind, Placebo-Controlled Study to Evaluate Efficacy and Safety of Nefecon in Patients with Primary IgA Nephropathy at Risk of Progressing to End-Stage Renal Disease (NefIgArd) (Data cutoff date of 05 October 2020 for Part A analysis) - Version 1.0","author":[{"family":"Calliditas Therapeutics AB","given":""}],"issued":{"date-parts":[["2021",1,27]]}}}],"schema":"https://github.com/citation-style-language/schema/raw/master/csl-citation.json"} </w:instrText>
            </w:r>
            <w:r w:rsidRPr="002A2F05">
              <w:rPr>
                <w:color w:val="auto"/>
                <w:lang w:eastAsia="ja-JP"/>
              </w:rPr>
              <w:fldChar w:fldCharType="separate"/>
            </w:r>
            <w:r w:rsidR="00BC31E6" w:rsidRPr="00BC31E6">
              <w:rPr>
                <w:rFonts w:cs="Helvetica"/>
                <w:szCs w:val="24"/>
                <w:vertAlign w:val="superscript"/>
              </w:rPr>
              <w:t>29</w:t>
            </w:r>
            <w:r w:rsidRPr="002A2F05">
              <w:rPr>
                <w:color w:val="auto"/>
                <w:lang w:eastAsia="ja-JP"/>
              </w:rPr>
              <w:fldChar w:fldCharType="end"/>
            </w:r>
            <w:r w:rsidRPr="002A2F05" w:rsidDel="009B4482">
              <w:rPr>
                <w:color w:val="auto"/>
              </w:rPr>
              <w:t xml:space="preserve"> </w:t>
            </w:r>
          </w:p>
        </w:tc>
      </w:tr>
      <w:tr w:rsidR="001A7B4A" w:rsidRPr="002A2F05" w14:paraId="7063C796" w14:textId="77777777" w:rsidTr="00CD0186">
        <w:trPr>
          <w:trHeight w:val="20"/>
        </w:trPr>
        <w:tc>
          <w:tcPr>
            <w:tcW w:w="2105" w:type="dxa"/>
            <w:shd w:val="clear" w:color="auto" w:fill="auto"/>
          </w:tcPr>
          <w:p w14:paraId="24EEC1FA" w14:textId="77777777" w:rsidR="001A7B4A" w:rsidRPr="002A2F05" w:rsidRDefault="001A7B4A" w:rsidP="00CD0186">
            <w:pPr>
              <w:pStyle w:val="Tablebulletlevel1"/>
              <w:numPr>
                <w:ilvl w:val="0"/>
                <w:numId w:val="0"/>
              </w:numPr>
              <w:jc w:val="left"/>
            </w:pPr>
            <w:r w:rsidRPr="002A2F05">
              <w:t>Discounting rate of benefits</w:t>
            </w:r>
          </w:p>
        </w:tc>
        <w:tc>
          <w:tcPr>
            <w:tcW w:w="2512" w:type="dxa"/>
            <w:shd w:val="clear" w:color="auto" w:fill="auto"/>
          </w:tcPr>
          <w:p w14:paraId="769466D6" w14:textId="77777777" w:rsidR="001A7B4A" w:rsidRPr="002A2F05" w:rsidRDefault="001A7B4A" w:rsidP="00265658">
            <w:pPr>
              <w:pStyle w:val="Tablebulletlevel1"/>
            </w:pPr>
            <w:r w:rsidRPr="002A2F05">
              <w:t>3.0%</w:t>
            </w:r>
          </w:p>
        </w:tc>
        <w:tc>
          <w:tcPr>
            <w:tcW w:w="4727" w:type="dxa"/>
            <w:shd w:val="clear" w:color="auto" w:fill="auto"/>
          </w:tcPr>
          <w:p w14:paraId="363A29D6" w14:textId="57BB16E5" w:rsidR="001A7B4A" w:rsidRPr="002A2F05" w:rsidRDefault="001A7B4A" w:rsidP="00CD0186">
            <w:pPr>
              <w:pStyle w:val="Tablebulletlevel1"/>
              <w:jc w:val="left"/>
              <w:rPr>
                <w:color w:val="auto"/>
              </w:rPr>
            </w:pPr>
            <w:r w:rsidRPr="002A2F05">
              <w:rPr>
                <w:color w:val="auto"/>
              </w:rPr>
              <w:t>ICER</w:t>
            </w:r>
            <w:r w:rsidRPr="002A2F05">
              <w:rPr>
                <w:color w:val="auto"/>
              </w:rPr>
              <w:fldChar w:fldCharType="begin"/>
            </w:r>
            <w:r w:rsidR="00BC31E6">
              <w:rPr>
                <w:color w:val="auto"/>
              </w:rPr>
              <w:instrText xml:space="preserve"> ADDIN ZOTERO_ITEM CSL_CITATION {"citationID":"br6xZghX","properties":{"formattedCitation":"\\super 30\\nosupersub{}","plainCitation":"30","noteIndex":0},"citationItems":[{"id":"EiB8jDoc/JXk3b8XV","uris":["http://zotero.org/users/local/qxFfvzXz/items/K6GFG3XX"],"itemData":{"id":"CEFcZW5p/7E23dURG","type":"report","publisher":"Institute for Clinical and Economic Review","title":"ICER's Reference Case for Economic Evaluations: Principles and Rationale","URL":"https://icer.org/wp-content/uploads/2020/10/ICER_Reference_Case_013120.pdf","accessed":{"date-parts":[["2021",6,25]]},"issued":{"date-parts":[["2020",1,31]]}}}],"schema":"https://github.com/citation-style-language/schema/raw/master/csl-citation.json"} </w:instrText>
            </w:r>
            <w:r w:rsidRPr="002A2F05">
              <w:rPr>
                <w:color w:val="auto"/>
              </w:rPr>
              <w:fldChar w:fldCharType="separate"/>
            </w:r>
            <w:r w:rsidR="00BC31E6" w:rsidRPr="00BC31E6">
              <w:rPr>
                <w:rFonts w:cs="Helvetica"/>
                <w:sz w:val="20"/>
                <w:szCs w:val="24"/>
                <w:vertAlign w:val="superscript"/>
              </w:rPr>
              <w:t>30</w:t>
            </w:r>
            <w:r w:rsidRPr="002A2F05">
              <w:rPr>
                <w:color w:val="auto"/>
              </w:rPr>
              <w:fldChar w:fldCharType="end"/>
            </w:r>
          </w:p>
        </w:tc>
      </w:tr>
      <w:tr w:rsidR="001A7B4A" w:rsidRPr="002A2F05" w14:paraId="21056AD9" w14:textId="77777777" w:rsidTr="00CD0186">
        <w:trPr>
          <w:trHeight w:val="20"/>
        </w:trPr>
        <w:tc>
          <w:tcPr>
            <w:tcW w:w="2105" w:type="dxa"/>
            <w:shd w:val="clear" w:color="auto" w:fill="auto"/>
          </w:tcPr>
          <w:p w14:paraId="3EECC552" w14:textId="77777777" w:rsidR="001A7B4A" w:rsidRPr="002A2F05" w:rsidRDefault="001A7B4A" w:rsidP="00CD0186">
            <w:pPr>
              <w:pStyle w:val="Tablebulletlevel1"/>
              <w:numPr>
                <w:ilvl w:val="0"/>
                <w:numId w:val="0"/>
              </w:numPr>
              <w:jc w:val="left"/>
            </w:pPr>
            <w:r w:rsidRPr="002A2F05">
              <w:t>Discounting rate of costs</w:t>
            </w:r>
          </w:p>
        </w:tc>
        <w:tc>
          <w:tcPr>
            <w:tcW w:w="2512" w:type="dxa"/>
            <w:shd w:val="clear" w:color="auto" w:fill="auto"/>
          </w:tcPr>
          <w:p w14:paraId="1C5AB023" w14:textId="77777777" w:rsidR="001A7B4A" w:rsidRPr="002A2F05" w:rsidRDefault="001A7B4A" w:rsidP="00265658">
            <w:pPr>
              <w:pStyle w:val="Tablebulletlevel1"/>
            </w:pPr>
            <w:r w:rsidRPr="002A2F05">
              <w:t>3.0%</w:t>
            </w:r>
          </w:p>
        </w:tc>
        <w:tc>
          <w:tcPr>
            <w:tcW w:w="4727" w:type="dxa"/>
            <w:shd w:val="clear" w:color="auto" w:fill="auto"/>
          </w:tcPr>
          <w:p w14:paraId="5E23DDEB" w14:textId="759528FD" w:rsidR="001A7B4A" w:rsidRPr="002A2F05" w:rsidRDefault="001A7B4A" w:rsidP="00CD0186">
            <w:pPr>
              <w:pStyle w:val="Tablebulletlevel1"/>
              <w:jc w:val="left"/>
              <w:rPr>
                <w:color w:val="auto"/>
              </w:rPr>
            </w:pPr>
            <w:r w:rsidRPr="002A2F05">
              <w:rPr>
                <w:color w:val="auto"/>
              </w:rPr>
              <w:t>ICER</w:t>
            </w:r>
            <w:r w:rsidRPr="002A2F05">
              <w:rPr>
                <w:color w:val="auto"/>
              </w:rPr>
              <w:fldChar w:fldCharType="begin"/>
            </w:r>
            <w:r w:rsidR="00BC31E6">
              <w:rPr>
                <w:color w:val="auto"/>
              </w:rPr>
              <w:instrText xml:space="preserve"> ADDIN ZOTERO_ITEM CSL_CITATION {"citationID":"vOAd2h0c","properties":{"formattedCitation":"\\super 30\\nosupersub{}","plainCitation":"30","noteIndex":0},"citationItems":[{"id":"EiB8jDoc/JXk3b8XV","uris":["http://zotero.org/users/local/qxFfvzXz/items/K6GFG3XX"],"itemData":{"id":"CEFcZW5p/7E23dURG","type":"report","publisher":"Institute for Clinical and Economic Review","title":"ICER's Reference Case for Economic Evaluations: Principles and Rationale","URL":"https://icer.org/wp-content/uploads/2020/10/ICER_Reference_Case_013120.pdf","accessed":{"date-parts":[["2021",6,25]]},"issued":{"date-parts":[["2020",1,31]]}}}],"schema":"https://github.com/citation-style-language/schema/raw/master/csl-citation.json"} </w:instrText>
            </w:r>
            <w:r w:rsidRPr="002A2F05">
              <w:rPr>
                <w:color w:val="auto"/>
              </w:rPr>
              <w:fldChar w:fldCharType="separate"/>
            </w:r>
            <w:r w:rsidR="00BC31E6" w:rsidRPr="00BC31E6">
              <w:rPr>
                <w:rFonts w:cs="Helvetica"/>
                <w:sz w:val="20"/>
                <w:szCs w:val="24"/>
                <w:vertAlign w:val="superscript"/>
              </w:rPr>
              <w:t>30</w:t>
            </w:r>
            <w:r w:rsidRPr="002A2F05">
              <w:rPr>
                <w:color w:val="auto"/>
              </w:rPr>
              <w:fldChar w:fldCharType="end"/>
            </w:r>
          </w:p>
        </w:tc>
      </w:tr>
      <w:tr w:rsidR="001A7B4A" w:rsidRPr="002A2F05" w14:paraId="6E3972B3" w14:textId="77777777" w:rsidTr="00CD0186">
        <w:trPr>
          <w:trHeight w:val="20"/>
        </w:trPr>
        <w:tc>
          <w:tcPr>
            <w:tcW w:w="2105" w:type="dxa"/>
            <w:shd w:val="clear" w:color="auto" w:fill="auto"/>
          </w:tcPr>
          <w:p w14:paraId="67E0BE94" w14:textId="77777777" w:rsidR="001A7B4A" w:rsidRPr="002A2F05" w:rsidRDefault="001A7B4A" w:rsidP="00CD0186">
            <w:pPr>
              <w:pStyle w:val="Tablebulletlevel1"/>
              <w:numPr>
                <w:ilvl w:val="0"/>
                <w:numId w:val="0"/>
              </w:numPr>
              <w:jc w:val="left"/>
            </w:pPr>
            <w:r w:rsidRPr="002A2F05">
              <w:t>Baseline year</w:t>
            </w:r>
          </w:p>
        </w:tc>
        <w:tc>
          <w:tcPr>
            <w:tcW w:w="2512" w:type="dxa"/>
            <w:shd w:val="clear" w:color="auto" w:fill="auto"/>
          </w:tcPr>
          <w:p w14:paraId="33FC1300" w14:textId="77777777" w:rsidR="001A7B4A" w:rsidRPr="002A2F05" w:rsidRDefault="001A7B4A" w:rsidP="00265658">
            <w:pPr>
              <w:pStyle w:val="Tablebulletlevel1"/>
            </w:pPr>
            <w:r w:rsidRPr="002A2F05">
              <w:t>2021</w:t>
            </w:r>
          </w:p>
        </w:tc>
        <w:tc>
          <w:tcPr>
            <w:tcW w:w="4727" w:type="dxa"/>
            <w:shd w:val="clear" w:color="auto" w:fill="auto"/>
          </w:tcPr>
          <w:p w14:paraId="6871BBAB" w14:textId="77777777" w:rsidR="001A7B4A" w:rsidRPr="002A2F05" w:rsidRDefault="001A7B4A" w:rsidP="00CD0186">
            <w:pPr>
              <w:pStyle w:val="Tablebulletlevel1"/>
              <w:numPr>
                <w:ilvl w:val="0"/>
                <w:numId w:val="0"/>
              </w:numPr>
              <w:ind w:left="360"/>
              <w:rPr>
                <w:color w:val="auto"/>
              </w:rPr>
            </w:pPr>
          </w:p>
        </w:tc>
      </w:tr>
      <w:tr w:rsidR="001A7B4A" w:rsidRPr="002A2F05" w14:paraId="3DDB5781" w14:textId="77777777" w:rsidTr="00CD0186">
        <w:trPr>
          <w:trHeight w:val="336"/>
        </w:trPr>
        <w:tc>
          <w:tcPr>
            <w:tcW w:w="2105" w:type="dxa"/>
            <w:shd w:val="clear" w:color="auto" w:fill="auto"/>
          </w:tcPr>
          <w:p w14:paraId="2CF2263A" w14:textId="77777777" w:rsidR="001A7B4A" w:rsidRPr="002A2F05" w:rsidRDefault="001A7B4A" w:rsidP="00CD0186">
            <w:pPr>
              <w:pStyle w:val="Tablebulletlevel1"/>
              <w:numPr>
                <w:ilvl w:val="0"/>
                <w:numId w:val="0"/>
              </w:numPr>
              <w:jc w:val="left"/>
            </w:pPr>
            <w:r w:rsidRPr="002A2F05">
              <w:t>Inflation rate</w:t>
            </w:r>
          </w:p>
        </w:tc>
        <w:tc>
          <w:tcPr>
            <w:tcW w:w="2512" w:type="dxa"/>
            <w:shd w:val="clear" w:color="auto" w:fill="auto"/>
          </w:tcPr>
          <w:p w14:paraId="60B159CF" w14:textId="77777777" w:rsidR="001A7B4A" w:rsidRPr="002A2F05" w:rsidRDefault="001A7B4A" w:rsidP="00265658">
            <w:pPr>
              <w:pStyle w:val="Tablebulletlevel1"/>
            </w:pPr>
            <w:r w:rsidRPr="002A2F05">
              <w:t>2.53%</w:t>
            </w:r>
          </w:p>
        </w:tc>
        <w:tc>
          <w:tcPr>
            <w:tcW w:w="4727" w:type="dxa"/>
            <w:shd w:val="clear" w:color="auto" w:fill="auto"/>
          </w:tcPr>
          <w:p w14:paraId="0ECF32C5" w14:textId="49DFCC28" w:rsidR="001A7B4A" w:rsidRPr="002A2F05" w:rsidRDefault="001A7B4A" w:rsidP="00CD0186">
            <w:pPr>
              <w:pStyle w:val="Tablebulletlevel1"/>
              <w:jc w:val="left"/>
              <w:rPr>
                <w:color w:val="auto"/>
              </w:rPr>
            </w:pPr>
            <w:r w:rsidRPr="002A2F05">
              <w:rPr>
                <w:color w:val="auto"/>
              </w:rPr>
              <w:t>US Bureau of Labor Statistics (DBI)</w:t>
            </w:r>
            <w:r w:rsidRPr="002A2F05">
              <w:rPr>
                <w:color w:val="auto"/>
              </w:rPr>
              <w:fldChar w:fldCharType="begin"/>
            </w:r>
            <w:r w:rsidR="00BC31E6">
              <w:rPr>
                <w:color w:val="auto"/>
              </w:rPr>
              <w:instrText xml:space="preserve"> ADDIN ZOTERO_ITEM CSL_CITATION {"citationID":"JdsGcVCG","properties":{"formattedCitation":"\\super 35\\nosupersub{}","plainCitation":"35","noteIndex":0},"citationItems":[{"id":6298,"uris":["http://zotero.org/groups/2828856/items/E8SU2H4W"],"itemData":{"id":6298,"type":"webpage","language":"en","title":"CPI Inflation Calculator","URL":"https://www.bls.gov/data/inflation_calculator.htm","accessed":{"date-parts":[["2021",6,25]]},"issued":{"date-parts":[["2021",6,25]]}}}],"schema":"https://github.com/citation-style-language/schema/raw/master/csl-citation.json"} </w:instrText>
            </w:r>
            <w:r w:rsidRPr="002A2F05">
              <w:rPr>
                <w:color w:val="auto"/>
              </w:rPr>
              <w:fldChar w:fldCharType="separate"/>
            </w:r>
            <w:r w:rsidR="00BC31E6" w:rsidRPr="00BC31E6">
              <w:rPr>
                <w:rFonts w:cs="Helvetica"/>
                <w:szCs w:val="24"/>
                <w:vertAlign w:val="superscript"/>
              </w:rPr>
              <w:t>35</w:t>
            </w:r>
            <w:r w:rsidRPr="002A2F05">
              <w:rPr>
                <w:color w:val="auto"/>
              </w:rPr>
              <w:fldChar w:fldCharType="end"/>
            </w:r>
            <w:r w:rsidRPr="002A2F05">
              <w:rPr>
                <w:color w:val="auto"/>
              </w:rPr>
              <w:t xml:space="preserve"> </w:t>
            </w:r>
          </w:p>
        </w:tc>
      </w:tr>
      <w:tr w:rsidR="001A7B4A" w:rsidRPr="002A2F05" w14:paraId="576808DA" w14:textId="77777777" w:rsidTr="00CD0186">
        <w:trPr>
          <w:trHeight w:val="20"/>
        </w:trPr>
        <w:tc>
          <w:tcPr>
            <w:tcW w:w="2105" w:type="dxa"/>
            <w:shd w:val="clear" w:color="auto" w:fill="auto"/>
          </w:tcPr>
          <w:p w14:paraId="22B8C296" w14:textId="77777777" w:rsidR="001A7B4A" w:rsidRPr="002A2F05" w:rsidRDefault="001A7B4A" w:rsidP="00CD0186">
            <w:pPr>
              <w:pStyle w:val="Tablebulletlevel1"/>
              <w:numPr>
                <w:ilvl w:val="0"/>
                <w:numId w:val="0"/>
              </w:numPr>
              <w:jc w:val="left"/>
            </w:pPr>
            <w:r w:rsidRPr="002A2F05">
              <w:t>Treatment cycle length in model</w:t>
            </w:r>
          </w:p>
        </w:tc>
        <w:tc>
          <w:tcPr>
            <w:tcW w:w="2512" w:type="dxa"/>
            <w:shd w:val="clear" w:color="auto" w:fill="auto"/>
            <w:vAlign w:val="center"/>
          </w:tcPr>
          <w:p w14:paraId="250DBC5A" w14:textId="77777777" w:rsidR="001A7B4A" w:rsidRPr="002A2F05" w:rsidRDefault="001A7B4A" w:rsidP="00265658">
            <w:pPr>
              <w:pStyle w:val="Tablebulletlevel1"/>
            </w:pPr>
            <w:r w:rsidRPr="002A2F05">
              <w:t>Monthly</w:t>
            </w:r>
          </w:p>
        </w:tc>
        <w:tc>
          <w:tcPr>
            <w:tcW w:w="4727" w:type="dxa"/>
            <w:shd w:val="clear" w:color="auto" w:fill="auto"/>
          </w:tcPr>
          <w:p w14:paraId="1AFF8397" w14:textId="77777777" w:rsidR="001A7B4A" w:rsidRPr="002A2F05" w:rsidRDefault="001A7B4A" w:rsidP="00CD0186">
            <w:pPr>
              <w:pStyle w:val="Tablebulletlevel1"/>
              <w:numPr>
                <w:ilvl w:val="0"/>
                <w:numId w:val="0"/>
              </w:numPr>
              <w:ind w:left="360"/>
              <w:rPr>
                <w:color w:val="auto"/>
              </w:rPr>
            </w:pPr>
          </w:p>
        </w:tc>
      </w:tr>
      <w:tr w:rsidR="001A7B4A" w:rsidRPr="002A2F05" w14:paraId="0C86197B" w14:textId="77777777" w:rsidTr="00CD0186">
        <w:trPr>
          <w:trHeight w:val="20"/>
        </w:trPr>
        <w:tc>
          <w:tcPr>
            <w:tcW w:w="2105" w:type="dxa"/>
            <w:tcBorders>
              <w:bottom w:val="single" w:sz="6" w:space="0" w:color="auto"/>
            </w:tcBorders>
            <w:shd w:val="clear" w:color="auto" w:fill="auto"/>
          </w:tcPr>
          <w:p w14:paraId="4D287A99" w14:textId="77777777" w:rsidR="001A7B4A" w:rsidRPr="002A2F05" w:rsidRDefault="001A7B4A" w:rsidP="00CD0186">
            <w:pPr>
              <w:pStyle w:val="Tablebulletlevel1"/>
              <w:numPr>
                <w:ilvl w:val="0"/>
                <w:numId w:val="0"/>
              </w:numPr>
              <w:jc w:val="left"/>
            </w:pPr>
            <w:r w:rsidRPr="002A2F05">
              <w:t>Horizon</w:t>
            </w:r>
          </w:p>
        </w:tc>
        <w:tc>
          <w:tcPr>
            <w:tcW w:w="2512" w:type="dxa"/>
            <w:tcBorders>
              <w:bottom w:val="single" w:sz="6" w:space="0" w:color="auto"/>
            </w:tcBorders>
            <w:shd w:val="clear" w:color="auto" w:fill="auto"/>
          </w:tcPr>
          <w:p w14:paraId="24F40C89" w14:textId="77777777" w:rsidR="001A7B4A" w:rsidRPr="002A2F05" w:rsidRDefault="001A7B4A" w:rsidP="00265658">
            <w:pPr>
              <w:pStyle w:val="Tablebulletlevel1"/>
            </w:pPr>
            <w:r w:rsidRPr="002A2F05">
              <w:t>Lifetime</w:t>
            </w:r>
          </w:p>
        </w:tc>
        <w:tc>
          <w:tcPr>
            <w:tcW w:w="4727" w:type="dxa"/>
            <w:tcBorders>
              <w:bottom w:val="single" w:sz="6" w:space="0" w:color="auto"/>
            </w:tcBorders>
            <w:shd w:val="clear" w:color="auto" w:fill="auto"/>
          </w:tcPr>
          <w:p w14:paraId="4191AC27" w14:textId="77777777" w:rsidR="001A7B4A" w:rsidRPr="002A2F05" w:rsidRDefault="001A7B4A" w:rsidP="00CD0186">
            <w:pPr>
              <w:pStyle w:val="Tablebulletlevel1"/>
              <w:numPr>
                <w:ilvl w:val="0"/>
                <w:numId w:val="0"/>
              </w:numPr>
              <w:rPr>
                <w:color w:val="auto"/>
              </w:rPr>
            </w:pPr>
          </w:p>
        </w:tc>
      </w:tr>
      <w:tr w:rsidR="001A7B4A" w:rsidRPr="002A2F05" w14:paraId="4946687E" w14:textId="77777777" w:rsidTr="00CD0186">
        <w:trPr>
          <w:trHeight w:val="20"/>
        </w:trPr>
        <w:tc>
          <w:tcPr>
            <w:tcW w:w="2105" w:type="dxa"/>
            <w:tcBorders>
              <w:bottom w:val="single" w:sz="6" w:space="0" w:color="auto"/>
            </w:tcBorders>
            <w:shd w:val="clear" w:color="auto" w:fill="auto"/>
          </w:tcPr>
          <w:p w14:paraId="0F8C37D6" w14:textId="77777777" w:rsidR="001A7B4A" w:rsidRPr="002A2F05" w:rsidRDefault="001A7B4A" w:rsidP="00CD0186">
            <w:pPr>
              <w:pStyle w:val="Tablebulletlevel1"/>
              <w:numPr>
                <w:ilvl w:val="0"/>
                <w:numId w:val="0"/>
              </w:numPr>
              <w:jc w:val="left"/>
              <w:rPr>
                <w:b/>
                <w:bCs w:val="0"/>
              </w:rPr>
            </w:pPr>
            <w:r w:rsidRPr="002A2F05">
              <w:t>Comparators</w:t>
            </w:r>
          </w:p>
        </w:tc>
        <w:tc>
          <w:tcPr>
            <w:tcW w:w="2512" w:type="dxa"/>
            <w:tcBorders>
              <w:bottom w:val="single" w:sz="6" w:space="0" w:color="auto"/>
            </w:tcBorders>
            <w:shd w:val="clear" w:color="auto" w:fill="auto"/>
          </w:tcPr>
          <w:p w14:paraId="1146D068" w14:textId="673FC698" w:rsidR="001A7B4A" w:rsidRPr="002A2F05" w:rsidRDefault="00EB6C06" w:rsidP="00265658">
            <w:pPr>
              <w:pStyle w:val="Tablebulletlevel1"/>
            </w:pPr>
            <w:r w:rsidRPr="002A2F05">
              <w:t>Nefecon</w:t>
            </w:r>
            <w:r w:rsidR="002A5743" w:rsidRPr="002A2F05">
              <w:t xml:space="preserve"> </w:t>
            </w:r>
            <w:r w:rsidR="001A7B4A" w:rsidRPr="002A2F05">
              <w:t xml:space="preserve">+ </w:t>
            </w:r>
            <w:r w:rsidR="002000EC" w:rsidRPr="002A2F05">
              <w:t>BSC</w:t>
            </w:r>
          </w:p>
          <w:p w14:paraId="64B5DA14" w14:textId="14B292A8" w:rsidR="001A7B4A" w:rsidRPr="002A2F05" w:rsidRDefault="002000EC" w:rsidP="00265658">
            <w:pPr>
              <w:pStyle w:val="Tablebulletlevel1"/>
            </w:pPr>
            <w:r w:rsidRPr="002A2F05">
              <w:t>BSC</w:t>
            </w:r>
            <w:r w:rsidR="001A7B4A" w:rsidRPr="002A2F05">
              <w:t xml:space="preserve"> alone</w:t>
            </w:r>
          </w:p>
        </w:tc>
        <w:tc>
          <w:tcPr>
            <w:tcW w:w="4727" w:type="dxa"/>
            <w:tcBorders>
              <w:bottom w:val="single" w:sz="6" w:space="0" w:color="auto"/>
            </w:tcBorders>
            <w:shd w:val="clear" w:color="auto" w:fill="auto"/>
          </w:tcPr>
          <w:p w14:paraId="2F7C293A" w14:textId="77777777" w:rsidR="001A7B4A" w:rsidRPr="002A2F05" w:rsidRDefault="001A7B4A" w:rsidP="00CD0186">
            <w:pPr>
              <w:pStyle w:val="Tablebulletlevel1"/>
              <w:numPr>
                <w:ilvl w:val="0"/>
                <w:numId w:val="0"/>
              </w:numPr>
              <w:rPr>
                <w:color w:val="auto"/>
              </w:rPr>
            </w:pPr>
          </w:p>
        </w:tc>
      </w:tr>
      <w:tr w:rsidR="001A7B4A" w:rsidRPr="002A2F05" w14:paraId="455D7CA4" w14:textId="77777777" w:rsidTr="00CD0186">
        <w:trPr>
          <w:trHeight w:val="20"/>
        </w:trPr>
        <w:tc>
          <w:tcPr>
            <w:tcW w:w="9344" w:type="dxa"/>
            <w:gridSpan w:val="3"/>
            <w:shd w:val="clear" w:color="auto" w:fill="D9D9D9" w:themeFill="background1" w:themeFillShade="D9"/>
          </w:tcPr>
          <w:p w14:paraId="2D237C1F" w14:textId="77777777" w:rsidR="001A7B4A" w:rsidRPr="002A2F05" w:rsidRDefault="001A7B4A" w:rsidP="00CD0186">
            <w:pPr>
              <w:spacing w:before="40" w:after="40"/>
              <w:rPr>
                <w:b/>
                <w:bCs/>
              </w:rPr>
            </w:pPr>
            <w:r w:rsidRPr="002A2F05">
              <w:rPr>
                <w:rFonts w:eastAsia="Courier New"/>
                <w:b/>
                <w:bCs/>
                <w:sz w:val="18"/>
                <w:szCs w:val="18"/>
              </w:rPr>
              <w:t>Clinical</w:t>
            </w:r>
            <w:r w:rsidRPr="002A2F05">
              <w:rPr>
                <w:b/>
                <w:bCs/>
              </w:rPr>
              <w:t xml:space="preserve"> </w:t>
            </w:r>
          </w:p>
        </w:tc>
      </w:tr>
      <w:tr w:rsidR="001A7B4A" w:rsidRPr="002A2F05" w14:paraId="13C21F0C" w14:textId="77777777" w:rsidTr="00CD0186">
        <w:trPr>
          <w:trHeight w:val="20"/>
        </w:trPr>
        <w:tc>
          <w:tcPr>
            <w:tcW w:w="2105" w:type="dxa"/>
            <w:shd w:val="clear" w:color="auto" w:fill="auto"/>
            <w:vAlign w:val="center"/>
          </w:tcPr>
          <w:p w14:paraId="2E836F14" w14:textId="77777777" w:rsidR="001A7B4A" w:rsidRPr="002A2F05" w:rsidRDefault="001A7B4A" w:rsidP="00CD0186">
            <w:pPr>
              <w:pStyle w:val="Tablebulletlevel1"/>
              <w:numPr>
                <w:ilvl w:val="0"/>
                <w:numId w:val="0"/>
              </w:numPr>
              <w:jc w:val="left"/>
            </w:pPr>
            <w:r w:rsidRPr="002A2F05">
              <w:t>CKD stage at diagnosis of IgAN</w:t>
            </w:r>
          </w:p>
        </w:tc>
        <w:tc>
          <w:tcPr>
            <w:tcW w:w="2512" w:type="dxa"/>
            <w:shd w:val="clear" w:color="auto" w:fill="auto"/>
            <w:vAlign w:val="center"/>
          </w:tcPr>
          <w:p w14:paraId="03492165" w14:textId="77777777" w:rsidR="001A7B4A" w:rsidRPr="002A2F05" w:rsidRDefault="001A7B4A" w:rsidP="00CD0186">
            <w:pPr>
              <w:pStyle w:val="Tablebulletlevel1"/>
              <w:jc w:val="left"/>
              <w:rPr>
                <w:color w:val="auto"/>
              </w:rPr>
            </w:pPr>
            <w:r w:rsidRPr="002A2F05">
              <w:rPr>
                <w:color w:val="auto"/>
              </w:rPr>
              <w:t>CKD-1: 3%</w:t>
            </w:r>
          </w:p>
          <w:p w14:paraId="2792CBFA" w14:textId="77777777" w:rsidR="001A7B4A" w:rsidRPr="002A2F05" w:rsidRDefault="001A7B4A" w:rsidP="00CD0186">
            <w:pPr>
              <w:pStyle w:val="Tablebulletlevel1"/>
              <w:jc w:val="left"/>
              <w:rPr>
                <w:color w:val="auto"/>
              </w:rPr>
            </w:pPr>
            <w:r w:rsidRPr="002A2F05">
              <w:rPr>
                <w:color w:val="auto"/>
              </w:rPr>
              <w:t>CKD-2: 34%</w:t>
            </w:r>
          </w:p>
          <w:p w14:paraId="45A7F6B6" w14:textId="77777777" w:rsidR="001A7B4A" w:rsidRPr="002A2F05" w:rsidRDefault="001A7B4A" w:rsidP="00CD0186">
            <w:pPr>
              <w:pStyle w:val="Tablebulletlevel1"/>
              <w:jc w:val="left"/>
              <w:rPr>
                <w:color w:val="auto"/>
              </w:rPr>
            </w:pPr>
            <w:r w:rsidRPr="002A2F05">
              <w:rPr>
                <w:color w:val="auto"/>
              </w:rPr>
              <w:t>CKD-3a: 39%</w:t>
            </w:r>
          </w:p>
          <w:p w14:paraId="57B07A22" w14:textId="77777777" w:rsidR="001A7B4A" w:rsidRPr="002A2F05" w:rsidRDefault="001A7B4A" w:rsidP="00CD0186">
            <w:pPr>
              <w:pStyle w:val="Tablebulletlevel1"/>
              <w:jc w:val="left"/>
              <w:rPr>
                <w:color w:val="auto"/>
              </w:rPr>
            </w:pPr>
            <w:r w:rsidRPr="002A2F05">
              <w:rPr>
                <w:color w:val="auto"/>
              </w:rPr>
              <w:t>CKD-3b: 24%</w:t>
            </w:r>
          </w:p>
          <w:p w14:paraId="284A5846" w14:textId="77777777" w:rsidR="001A7B4A" w:rsidRPr="002A2F05" w:rsidRDefault="001A7B4A" w:rsidP="00CD0186">
            <w:pPr>
              <w:pStyle w:val="Tablebulletlevel1"/>
              <w:jc w:val="left"/>
              <w:rPr>
                <w:color w:val="auto"/>
              </w:rPr>
            </w:pPr>
            <w:r w:rsidRPr="002A2F05">
              <w:rPr>
                <w:color w:val="auto"/>
              </w:rPr>
              <w:t>CKD-4: 0%</w:t>
            </w:r>
          </w:p>
        </w:tc>
        <w:tc>
          <w:tcPr>
            <w:tcW w:w="4727" w:type="dxa"/>
            <w:shd w:val="clear" w:color="auto" w:fill="auto"/>
            <w:vAlign w:val="center"/>
          </w:tcPr>
          <w:p w14:paraId="47293AD0" w14:textId="2F6A7B42" w:rsidR="001A7B4A" w:rsidRPr="002A2F05" w:rsidRDefault="001A7B4A" w:rsidP="00CD0186">
            <w:pPr>
              <w:pStyle w:val="Tablebulletlevel1"/>
              <w:jc w:val="left"/>
              <w:rPr>
                <w:color w:val="auto"/>
              </w:rPr>
            </w:pPr>
            <w:r w:rsidRPr="002A2F05">
              <w:rPr>
                <w:color w:val="auto"/>
              </w:rPr>
              <w:t>NefIgArd CSR (Part A full analysis set)</w:t>
            </w:r>
            <w:r w:rsidRPr="002A2F05">
              <w:rPr>
                <w:color w:val="auto"/>
                <w:lang w:eastAsia="ja-JP"/>
              </w:rPr>
              <w:fldChar w:fldCharType="begin"/>
            </w:r>
            <w:r w:rsidR="00BC31E6">
              <w:rPr>
                <w:color w:val="auto"/>
                <w:lang w:eastAsia="ja-JP"/>
              </w:rPr>
              <w:instrText xml:space="preserve"> ADDIN ZOTERO_ITEM CSL_CITATION {"citationID":"Z26w7frY","properties":{"formattedCitation":"\\super 29\\nosupersub{}","plainCitation":"29","noteIndex":0},"citationItems":[{"id":3938,"uris":["http://zotero.org/groups/2828856/items/PF7RRX9D"],"itemData":{"id":3938,"type":"report","title":"Data on File: Clinical Study Report - A Randomized, Double-Blind, Placebo-Controlled Study to Evaluate Efficacy and Safety of Nefecon in Patients with Primary IgA Nephropathy at Risk of Progressing to End-Stage Renal Disease (NefIgArd) (Data cutoff date of 05 October 2020 for Part A analysis) - Version 1.0","author":[{"family":"Calliditas Therapeutics AB","given":""}],"issued":{"date-parts":[["2021",1,27]]}}}],"schema":"https://github.com/citation-style-language/schema/raw/master/csl-citation.json"} </w:instrText>
            </w:r>
            <w:r w:rsidRPr="002A2F05">
              <w:rPr>
                <w:color w:val="auto"/>
                <w:lang w:eastAsia="ja-JP"/>
              </w:rPr>
              <w:fldChar w:fldCharType="separate"/>
            </w:r>
            <w:r w:rsidR="00BC31E6" w:rsidRPr="00BC31E6">
              <w:rPr>
                <w:rFonts w:cs="Helvetica"/>
                <w:szCs w:val="24"/>
                <w:vertAlign w:val="superscript"/>
              </w:rPr>
              <w:t>29</w:t>
            </w:r>
            <w:r w:rsidRPr="002A2F05">
              <w:rPr>
                <w:color w:val="auto"/>
                <w:lang w:eastAsia="ja-JP"/>
              </w:rPr>
              <w:fldChar w:fldCharType="end"/>
            </w:r>
          </w:p>
        </w:tc>
      </w:tr>
      <w:tr w:rsidR="001A7B4A" w:rsidRPr="002A2F05" w14:paraId="18FBEBD2" w14:textId="77777777" w:rsidTr="00CD0186">
        <w:trPr>
          <w:trHeight w:val="20"/>
        </w:trPr>
        <w:tc>
          <w:tcPr>
            <w:tcW w:w="2105" w:type="dxa"/>
            <w:shd w:val="clear" w:color="auto" w:fill="auto"/>
            <w:vAlign w:val="center"/>
          </w:tcPr>
          <w:p w14:paraId="192DCEE7" w14:textId="77777777" w:rsidR="001A7B4A" w:rsidRPr="002A2F05" w:rsidRDefault="001A7B4A" w:rsidP="00CD0186">
            <w:pPr>
              <w:pStyle w:val="Tablebulletlevel1"/>
              <w:numPr>
                <w:ilvl w:val="0"/>
                <w:numId w:val="0"/>
              </w:numPr>
              <w:jc w:val="left"/>
            </w:pPr>
            <w:r w:rsidRPr="002A2F05">
              <w:t>Proportion of patients with ESRD who required dialysis</w:t>
            </w:r>
          </w:p>
        </w:tc>
        <w:tc>
          <w:tcPr>
            <w:tcW w:w="2512" w:type="dxa"/>
            <w:shd w:val="clear" w:color="auto" w:fill="auto"/>
            <w:vAlign w:val="center"/>
          </w:tcPr>
          <w:p w14:paraId="0D672899" w14:textId="77777777" w:rsidR="001A7B4A" w:rsidRPr="002A2F05" w:rsidRDefault="001A7B4A" w:rsidP="00CD0186">
            <w:pPr>
              <w:pStyle w:val="Tablebulletlevel1"/>
              <w:jc w:val="left"/>
              <w:rPr>
                <w:color w:val="auto"/>
              </w:rPr>
            </w:pPr>
            <w:r w:rsidRPr="002A2F05">
              <w:rPr>
                <w:color w:val="auto"/>
              </w:rPr>
              <w:t>ESRD with dialysis: 40.51%</w:t>
            </w:r>
          </w:p>
          <w:p w14:paraId="498D1D4B" w14:textId="77777777" w:rsidR="001A7B4A" w:rsidRPr="002A2F05" w:rsidRDefault="001A7B4A" w:rsidP="00CD0186">
            <w:pPr>
              <w:pStyle w:val="Tablebulletlevel1"/>
              <w:jc w:val="left"/>
              <w:rPr>
                <w:color w:val="auto"/>
              </w:rPr>
            </w:pPr>
            <w:r w:rsidRPr="002A2F05">
              <w:rPr>
                <w:color w:val="auto"/>
              </w:rPr>
              <w:t>ESRD without dialysis: 59.49%</w:t>
            </w:r>
          </w:p>
        </w:tc>
        <w:tc>
          <w:tcPr>
            <w:tcW w:w="4727" w:type="dxa"/>
            <w:shd w:val="clear" w:color="auto" w:fill="auto"/>
            <w:vAlign w:val="center"/>
          </w:tcPr>
          <w:p w14:paraId="45A9AA6D" w14:textId="61F0D58A" w:rsidR="001A7B4A" w:rsidRPr="002A2F05" w:rsidRDefault="001A7B4A" w:rsidP="00CD0186">
            <w:pPr>
              <w:pStyle w:val="Tablebulletlevel1"/>
              <w:jc w:val="left"/>
              <w:rPr>
                <w:color w:val="auto"/>
              </w:rPr>
            </w:pPr>
            <w:r w:rsidRPr="002A2F05">
              <w:rPr>
                <w:color w:val="auto"/>
              </w:rPr>
              <w:t>Hastings et al., 2018</w:t>
            </w:r>
            <w:r w:rsidRPr="002A2F05">
              <w:rPr>
                <w:color w:val="auto"/>
              </w:rPr>
              <w:fldChar w:fldCharType="begin"/>
            </w:r>
            <w:r w:rsidR="00282037">
              <w:rPr>
                <w:color w:val="auto"/>
              </w:rPr>
              <w:instrText xml:space="preserve"> ADDIN ZOTERO_ITEM CSL_CITATION {"citationID":"cLcE8vc4","properties":{"formattedCitation":"\\super 16\\nosupersub{}","plainCitation":"16","noteIndex":0},"citationItems":[{"id":4090,"uris":["http://zotero.org/groups/2828856/items/JNVU58D4"],"itemData":{"id":4090,"type":"article-journal","abstract":"Introduction: Although end-stage renal disease (ESRD) and surrogate markers for renal dysfunction are frequently used as outcome markers for IgA nephropathy, the clinical course after reaching ESRD is not well documented. This study examined outcomes of progression to ESRD and age at death in a cohort of adults with IgA nephropathy with a long duration of follow-up. Methods: Patient and kidney survival of 251 adult patients with IgA nephropathy from the southeastern United States diagnosed between January 1, 1976 and December 31, 2005 were analyzed. Results: Median age at diagnosis was 36.9 years. Most patients were men (69%) and Caucasian (95%). Only 46% had an estimated glomerular filtration rate &gt;60 ml/min per 1.73 m(2) at diagnosis. Mean follow-up time from time of diagnostic biopsy to death or end of study was 19.3 years. Of 251 patients, 132 (53%) progressed to ESRD and 97 (39%) died. Life expectancy was reduced by 10.1 years, with a median observed age of death at 65.7 years and a median expected age at death of 75.8 years. Eighty-three percent of the deaths occurred after progression to ESRD. Conclusion: Life expectancy is substantially reduced for patients diagnosed with IgA nephropathy in the southeastern United States.","archive_location":"29340319","container-title":"Kidney Int Rep","DOI":"10.1016/j.ekir.2017.08.008","ISSN":"2468-0249 (Electronic) 2468-0249 (Linking)","issue":"1","note":"edition: 2018/01/18","page":"99-104","title":"Life Expectancy for Patients From the Southeastern United States With IgA Nephropathy","volume":"3","author":[{"family":"Hastings","given":"M. C."},{"family":"Bursac","given":"Z."},{"family":"Julian","given":"B. A."},{"family":"Villa Baca","given":"E."},{"family":"Featherston","given":"J."},{"family":"Woodford","given":"S. Y."},{"family":"Bailey","given":"L."},{"family":"Wyatt","given":"R. J."}],"issued":{"date-parts":[["2018",1]]}}}],"schema":"https://github.com/citation-style-language/schema/raw/master/csl-citation.json"} </w:instrText>
            </w:r>
            <w:r w:rsidRPr="002A2F05">
              <w:rPr>
                <w:color w:val="auto"/>
              </w:rPr>
              <w:fldChar w:fldCharType="separate"/>
            </w:r>
            <w:r w:rsidR="00282037" w:rsidRPr="00282037">
              <w:rPr>
                <w:rFonts w:cs="Helvetica"/>
                <w:sz w:val="20"/>
                <w:szCs w:val="24"/>
                <w:vertAlign w:val="superscript"/>
              </w:rPr>
              <w:t>16</w:t>
            </w:r>
            <w:r w:rsidRPr="002A2F05">
              <w:rPr>
                <w:color w:val="auto"/>
              </w:rPr>
              <w:fldChar w:fldCharType="end"/>
            </w:r>
          </w:p>
        </w:tc>
      </w:tr>
      <w:tr w:rsidR="001A7B4A" w:rsidRPr="002A2F05" w14:paraId="59096289" w14:textId="77777777" w:rsidTr="00CD0186">
        <w:trPr>
          <w:trHeight w:val="20"/>
        </w:trPr>
        <w:tc>
          <w:tcPr>
            <w:tcW w:w="2105" w:type="dxa"/>
            <w:shd w:val="clear" w:color="auto" w:fill="auto"/>
            <w:vAlign w:val="center"/>
          </w:tcPr>
          <w:p w14:paraId="13929110" w14:textId="77777777" w:rsidR="001A7B4A" w:rsidRPr="002A2F05" w:rsidRDefault="001A7B4A" w:rsidP="00CD0186">
            <w:pPr>
              <w:pStyle w:val="Tablebulletlevel1"/>
              <w:numPr>
                <w:ilvl w:val="0"/>
                <w:numId w:val="0"/>
              </w:numPr>
              <w:jc w:val="left"/>
            </w:pPr>
            <w:r w:rsidRPr="002A2F05">
              <w:t>Post-transplant complications</w:t>
            </w:r>
          </w:p>
        </w:tc>
        <w:tc>
          <w:tcPr>
            <w:tcW w:w="2512" w:type="dxa"/>
            <w:shd w:val="clear" w:color="auto" w:fill="auto"/>
            <w:vAlign w:val="center"/>
          </w:tcPr>
          <w:p w14:paraId="78D3C802" w14:textId="77777777" w:rsidR="001A7B4A" w:rsidRPr="002A2F05" w:rsidRDefault="001A7B4A" w:rsidP="00CD0186">
            <w:pPr>
              <w:pStyle w:val="Tablebulletlevel1"/>
              <w:jc w:val="left"/>
              <w:rPr>
                <w:color w:val="auto"/>
              </w:rPr>
            </w:pPr>
            <w:r w:rsidRPr="002A2F05">
              <w:rPr>
                <w:color w:val="auto"/>
              </w:rPr>
              <w:t>Transplant failure (acute rejection): 0.3% (cycle frequency)</w:t>
            </w:r>
          </w:p>
        </w:tc>
        <w:tc>
          <w:tcPr>
            <w:tcW w:w="4727" w:type="dxa"/>
            <w:shd w:val="clear" w:color="auto" w:fill="auto"/>
            <w:vAlign w:val="center"/>
          </w:tcPr>
          <w:p w14:paraId="6FACF394" w14:textId="4BEFBB3A" w:rsidR="001A7B4A" w:rsidRPr="002A2F05" w:rsidRDefault="001A7B4A" w:rsidP="00CD0186">
            <w:pPr>
              <w:pStyle w:val="Tablebulletlevel1"/>
              <w:jc w:val="left"/>
              <w:rPr>
                <w:color w:val="auto"/>
              </w:rPr>
            </w:pPr>
            <w:r w:rsidRPr="002A2F05">
              <w:rPr>
                <w:color w:val="auto"/>
              </w:rPr>
              <w:t>U</w:t>
            </w:r>
            <w:r w:rsidR="009F5F26" w:rsidRPr="002A2F05">
              <w:rPr>
                <w:color w:val="auto"/>
              </w:rPr>
              <w:t>S</w:t>
            </w:r>
            <w:r w:rsidRPr="002A2F05">
              <w:rPr>
                <w:color w:val="auto"/>
              </w:rPr>
              <w:t>RDS annual report 2020, Chapter 6, Figure 6.16</w:t>
            </w:r>
            <w:r w:rsidRPr="002A2F05">
              <w:rPr>
                <w:color w:val="auto"/>
              </w:rPr>
              <w:fldChar w:fldCharType="begin"/>
            </w:r>
            <w:r w:rsidR="00BC31E6">
              <w:rPr>
                <w:color w:val="auto"/>
              </w:rPr>
              <w:instrText xml:space="preserve"> ADDIN ZOTERO_ITEM CSL_CITATION {"citationID":"q8tgZ0h6","properties":{"formattedCitation":"\\super 39\\nosupersub{}","plainCitation":"39","noteIndex":0},"citationItems":[{"id":6300,"uris":["http://zotero.org/groups/2828856/items/65PP5MHX"],"itemData":{"id":6300,"type":"webpage","abstract":"Unites States Renal Data System Annual Data Report","container-title":"USRDS","language":"en","title":"Annual Data Report","URL":"https://adr.usrds.org/2020/end-stage-renal-disease/9-healthcare-expenditures-for-persons-with-esrd","accessed":{"date-parts":[["2021",6,25]]},"issued":{"date-parts":[["2021",6,25]]}}}],"schema":"https://github.com/citation-style-language/schema/raw/master/csl-citation.json"} </w:instrText>
            </w:r>
            <w:r w:rsidRPr="002A2F05">
              <w:rPr>
                <w:color w:val="auto"/>
              </w:rPr>
              <w:fldChar w:fldCharType="separate"/>
            </w:r>
            <w:r w:rsidR="00BC31E6" w:rsidRPr="00BC31E6">
              <w:rPr>
                <w:rFonts w:cs="Helvetica"/>
                <w:szCs w:val="24"/>
                <w:vertAlign w:val="superscript"/>
              </w:rPr>
              <w:t>39</w:t>
            </w:r>
            <w:r w:rsidRPr="002A2F05">
              <w:rPr>
                <w:color w:val="auto"/>
              </w:rPr>
              <w:fldChar w:fldCharType="end"/>
            </w:r>
          </w:p>
        </w:tc>
      </w:tr>
      <w:tr w:rsidR="001A7B4A" w:rsidRPr="002A2F05" w14:paraId="29EFEAFC" w14:textId="77777777" w:rsidTr="00CD0186">
        <w:trPr>
          <w:trHeight w:val="20"/>
        </w:trPr>
        <w:tc>
          <w:tcPr>
            <w:tcW w:w="2105" w:type="dxa"/>
            <w:shd w:val="clear" w:color="auto" w:fill="auto"/>
            <w:vAlign w:val="center"/>
          </w:tcPr>
          <w:p w14:paraId="5815FFA7" w14:textId="77777777" w:rsidR="001A7B4A" w:rsidRPr="002A2F05" w:rsidRDefault="001A7B4A" w:rsidP="00CD0186">
            <w:pPr>
              <w:pStyle w:val="Tablebulletlevel1"/>
              <w:numPr>
                <w:ilvl w:val="0"/>
                <w:numId w:val="0"/>
              </w:numPr>
              <w:jc w:val="left"/>
            </w:pPr>
            <w:r w:rsidRPr="002A2F05">
              <w:t>Transition probabilities</w:t>
            </w:r>
          </w:p>
        </w:tc>
        <w:tc>
          <w:tcPr>
            <w:tcW w:w="2512" w:type="dxa"/>
            <w:shd w:val="clear" w:color="auto" w:fill="auto"/>
            <w:vAlign w:val="center"/>
          </w:tcPr>
          <w:p w14:paraId="5EFD9A5C" w14:textId="18D7EF48" w:rsidR="001A7B4A" w:rsidRPr="002A2F05" w:rsidRDefault="00A30655" w:rsidP="00CD0186">
            <w:pPr>
              <w:pStyle w:val="Tablebulletlevel1"/>
              <w:jc w:val="left"/>
              <w:rPr>
                <w:color w:val="auto"/>
              </w:rPr>
            </w:pPr>
            <w:r w:rsidRPr="002A2F05">
              <w:rPr>
                <w:color w:val="auto"/>
              </w:rPr>
              <w:t xml:space="preserve">Refer to Supplementary Table </w:t>
            </w:r>
            <w:r w:rsidR="00E82B3D" w:rsidRPr="002A2F05">
              <w:rPr>
                <w:color w:val="auto"/>
              </w:rPr>
              <w:t>4</w:t>
            </w:r>
            <w:r w:rsidRPr="002A2F05">
              <w:rPr>
                <w:color w:val="auto"/>
              </w:rPr>
              <w:t xml:space="preserve"> &amp; </w:t>
            </w:r>
            <w:r w:rsidR="00E82B3D" w:rsidRPr="002A2F05">
              <w:rPr>
                <w:color w:val="auto"/>
              </w:rPr>
              <w:t>5</w:t>
            </w:r>
            <w:r w:rsidRPr="002A2F05">
              <w:rPr>
                <w:color w:val="auto"/>
              </w:rPr>
              <w:t>.</w:t>
            </w:r>
          </w:p>
        </w:tc>
        <w:tc>
          <w:tcPr>
            <w:tcW w:w="4727" w:type="dxa"/>
            <w:shd w:val="clear" w:color="auto" w:fill="auto"/>
            <w:vAlign w:val="center"/>
          </w:tcPr>
          <w:p w14:paraId="42179C74" w14:textId="69781512" w:rsidR="001A7B4A" w:rsidRPr="002A2F05" w:rsidRDefault="001A7B4A" w:rsidP="00CD0186">
            <w:pPr>
              <w:pStyle w:val="Tablebulletlevel1"/>
              <w:jc w:val="left"/>
              <w:rPr>
                <w:color w:val="auto"/>
              </w:rPr>
            </w:pPr>
            <w:r w:rsidRPr="002A2F05">
              <w:rPr>
                <w:color w:val="auto"/>
              </w:rPr>
              <w:t>Transition probabilities between CKD and ESRD stages – NefIgArd (Part A full analysis set)</w:t>
            </w:r>
            <w:r w:rsidRPr="002A2F05">
              <w:rPr>
                <w:color w:val="auto"/>
                <w:lang w:eastAsia="ja-JP"/>
              </w:rPr>
              <w:fldChar w:fldCharType="begin"/>
            </w:r>
            <w:r w:rsidR="00BC31E6">
              <w:rPr>
                <w:color w:val="auto"/>
                <w:lang w:eastAsia="ja-JP"/>
              </w:rPr>
              <w:instrText xml:space="preserve"> ADDIN ZOTERO_ITEM CSL_CITATION {"citationID":"efY78kSp","properties":{"formattedCitation":"\\super 29\\nosupersub{}","plainCitation":"29","noteIndex":0},"citationItems":[{"id":3938,"uris":["http://zotero.org/groups/2828856/items/PF7RRX9D"],"itemData":{"id":3938,"type":"report","title":"Data on File: Clinical Study Report - A Randomized, Double-Blind, Placebo-Controlled Study to Evaluate Efficacy and Safety of Nefecon in Patients with Primary IgA Nephropathy at Risk of Progressing to End-Stage Renal Disease (NefIgArd) (Data cutoff date of 05 October 2020 for Part A analysis) - Version 1.0","author":[{"family":"Calliditas Therapeutics AB","given":""}],"issued":{"date-parts":[["2021",1,27]]}}}],"schema":"https://github.com/citation-style-language/schema/raw/master/csl-citation.json"} </w:instrText>
            </w:r>
            <w:r w:rsidRPr="002A2F05">
              <w:rPr>
                <w:color w:val="auto"/>
                <w:lang w:eastAsia="ja-JP"/>
              </w:rPr>
              <w:fldChar w:fldCharType="separate"/>
            </w:r>
            <w:r w:rsidR="00BC31E6" w:rsidRPr="00BC31E6">
              <w:rPr>
                <w:rFonts w:cs="Helvetica"/>
                <w:szCs w:val="24"/>
                <w:vertAlign w:val="superscript"/>
              </w:rPr>
              <w:t>29</w:t>
            </w:r>
            <w:r w:rsidRPr="002A2F05">
              <w:rPr>
                <w:color w:val="auto"/>
                <w:lang w:eastAsia="ja-JP"/>
              </w:rPr>
              <w:fldChar w:fldCharType="end"/>
            </w:r>
          </w:p>
          <w:p w14:paraId="1ED9F099" w14:textId="42D1298B" w:rsidR="001A7B4A" w:rsidRPr="002A2F05" w:rsidRDefault="001A7B4A" w:rsidP="00CD0186">
            <w:pPr>
              <w:pStyle w:val="Tablebulletlevel1"/>
              <w:jc w:val="left"/>
              <w:rPr>
                <w:color w:val="auto"/>
              </w:rPr>
            </w:pPr>
            <w:r w:rsidRPr="002A2F05">
              <w:rPr>
                <w:color w:val="auto"/>
              </w:rPr>
              <w:t>Transition probabilities to post-transplant – Kent et al., 2015</w:t>
            </w:r>
            <w:r w:rsidRPr="002A2F05">
              <w:rPr>
                <w:color w:val="auto"/>
              </w:rPr>
              <w:fldChar w:fldCharType="begin"/>
            </w:r>
            <w:r w:rsidR="00BC31E6">
              <w:rPr>
                <w:color w:val="auto"/>
              </w:rPr>
              <w:instrText xml:space="preserve"> ADDIN ZOTERO_ITEM CSL_CITATION {"citationID":"AV8F73Vu","properties":{"formattedCitation":"\\super 31\\nosupersub{}","plainCitation":"31","noteIndex":0},"citationItems":[{"id":6290,"uris":["http://zotero.org/groups/2828856/items/AS6RFC52"],"itemData":{"id":6290,"type":"article-journal","abstract":"Reliable estimates of the impacts of chronic kidney disease (CKD) stage, with and without cardiovascular disease, on hospital costs are needed to inform health policy.","container-title":"BMC Nephrology","DOI":"10.1186/s12882-015-0054-0","ISSN":"1471-2369","issue":"1","journalAbbreviation":"BMC Nephrology","page":"65","source":"BioMed Central","title":"What is the impact of chronic kidney disease stage and cardiovascular disease on the annual cost of hospital care in moderate-to-severe kidney disease?","volume":"16","author":[{"family":"Kent","given":"Seamus"},{"family":"Schlackow","given":"Iryna"},{"family":"Lozano-Kühne","given":"Jingky"},{"family":"Reith","given":"Christina"},{"family":"Emberson","given":"Jonathan"},{"family":"Haynes","given":"Richard"},{"family":"Gray","given":"Alastair"},{"family":"Cass","given":"Alan"},{"family":"Baigent","given":"Colin"},{"family":"Landray","given":"Martin J."},{"family":"Herrington","given":"William"},{"family":"Mihaylova","given":"Borislava"},{"literal":"on behalf of the SHARP Collaborative Group"}],"issued":{"date-parts":[["2015",4,29]]}}}],"schema":"https://github.com/citation-style-language/schema/raw/master/csl-citation.json"} </w:instrText>
            </w:r>
            <w:r w:rsidRPr="002A2F05">
              <w:rPr>
                <w:color w:val="auto"/>
              </w:rPr>
              <w:fldChar w:fldCharType="separate"/>
            </w:r>
            <w:r w:rsidR="00BC31E6" w:rsidRPr="00BC31E6">
              <w:rPr>
                <w:rFonts w:cs="Helvetica"/>
                <w:sz w:val="20"/>
                <w:szCs w:val="24"/>
                <w:vertAlign w:val="superscript"/>
              </w:rPr>
              <w:t>31</w:t>
            </w:r>
            <w:r w:rsidRPr="002A2F05">
              <w:rPr>
                <w:color w:val="auto"/>
              </w:rPr>
              <w:fldChar w:fldCharType="end"/>
            </w:r>
          </w:p>
        </w:tc>
      </w:tr>
      <w:tr w:rsidR="001A7B4A" w:rsidRPr="002A2F05" w14:paraId="6100FA7C" w14:textId="77777777" w:rsidTr="00CD0186">
        <w:trPr>
          <w:trHeight w:val="20"/>
        </w:trPr>
        <w:tc>
          <w:tcPr>
            <w:tcW w:w="2105" w:type="dxa"/>
            <w:shd w:val="clear" w:color="auto" w:fill="auto"/>
            <w:vAlign w:val="center"/>
          </w:tcPr>
          <w:p w14:paraId="7416915F" w14:textId="21B0FDEA" w:rsidR="001A7B4A" w:rsidRPr="002A2F05" w:rsidRDefault="001A7B4A" w:rsidP="00CD0186">
            <w:pPr>
              <w:pStyle w:val="Tablebulletlevel1"/>
              <w:numPr>
                <w:ilvl w:val="0"/>
                <w:numId w:val="0"/>
              </w:numPr>
              <w:jc w:val="left"/>
            </w:pPr>
            <w:r w:rsidRPr="002A2F05">
              <w:t xml:space="preserve">AE prevalence for </w:t>
            </w:r>
            <w:r w:rsidR="00EB6C06" w:rsidRPr="002A2F05">
              <w:t>Nefecon</w:t>
            </w:r>
          </w:p>
        </w:tc>
        <w:tc>
          <w:tcPr>
            <w:tcW w:w="2512" w:type="dxa"/>
            <w:shd w:val="clear" w:color="auto" w:fill="auto"/>
            <w:vAlign w:val="center"/>
          </w:tcPr>
          <w:p w14:paraId="20D3E2D3" w14:textId="2D5E86D8" w:rsidR="001A7B4A" w:rsidRPr="002A2F05" w:rsidRDefault="001A7B4A" w:rsidP="00CD0186">
            <w:pPr>
              <w:pStyle w:val="Tablebulletlevel1"/>
              <w:jc w:val="left"/>
              <w:rPr>
                <w:color w:val="auto"/>
              </w:rPr>
            </w:pPr>
            <w:r w:rsidRPr="002A2F05">
              <w:rPr>
                <w:color w:val="auto"/>
              </w:rPr>
              <w:t xml:space="preserve">Refer to </w:t>
            </w:r>
            <w:r w:rsidR="00170C52" w:rsidRPr="002A2F05">
              <w:rPr>
                <w:color w:val="auto"/>
              </w:rPr>
              <w:t xml:space="preserve">Supplementary Table </w:t>
            </w:r>
            <w:r w:rsidR="00E82B3D" w:rsidRPr="002A2F05">
              <w:rPr>
                <w:color w:val="auto"/>
              </w:rPr>
              <w:t>7</w:t>
            </w:r>
            <w:r w:rsidR="00170C52" w:rsidRPr="002A2F05">
              <w:rPr>
                <w:color w:val="auto"/>
              </w:rPr>
              <w:t>.</w:t>
            </w:r>
          </w:p>
        </w:tc>
        <w:tc>
          <w:tcPr>
            <w:tcW w:w="4727" w:type="dxa"/>
            <w:shd w:val="clear" w:color="auto" w:fill="auto"/>
            <w:vAlign w:val="center"/>
          </w:tcPr>
          <w:p w14:paraId="7BB16F1F" w14:textId="527ED144" w:rsidR="001A7B4A" w:rsidRPr="002A2F05" w:rsidRDefault="001A7B4A" w:rsidP="00CD0186">
            <w:pPr>
              <w:pStyle w:val="Tablebulletlevel1"/>
              <w:jc w:val="left"/>
              <w:rPr>
                <w:color w:val="auto"/>
              </w:rPr>
            </w:pPr>
            <w:r w:rsidRPr="002A2F05">
              <w:rPr>
                <w:color w:val="auto"/>
              </w:rPr>
              <w:t>NefIgArd CSR</w:t>
            </w:r>
            <w:r w:rsidRPr="002A2F05">
              <w:rPr>
                <w:color w:val="auto"/>
                <w:lang w:eastAsia="ja-JP"/>
              </w:rPr>
              <w:fldChar w:fldCharType="begin"/>
            </w:r>
            <w:r w:rsidR="00BC31E6">
              <w:rPr>
                <w:color w:val="auto"/>
                <w:lang w:eastAsia="ja-JP"/>
              </w:rPr>
              <w:instrText xml:space="preserve"> ADDIN ZOTERO_ITEM CSL_CITATION {"citationID":"AsjOSbJt","properties":{"formattedCitation":"\\super 29\\nosupersub{}","plainCitation":"29","noteIndex":0},"citationItems":[{"id":3938,"uris":["http://zotero.org/groups/2828856/items/PF7RRX9D"],"itemData":{"id":3938,"type":"report","title":"Data on File: Clinical Study Report - A Randomized, Double-Blind, Placebo-Controlled Study to Evaluate Efficacy and Safety of Nefecon in Patients with Primary IgA Nephropathy at Risk of Progressing to End-Stage Renal Disease (NefIgArd) (Data cutoff date of 05 October 2020 for Part A analysis) - Version 1.0","author":[{"family":"Calliditas Therapeutics AB","given":""}],"issued":{"date-parts":[["2021",1,27]]}}}],"schema":"https://github.com/citation-style-language/schema/raw/master/csl-citation.json"} </w:instrText>
            </w:r>
            <w:r w:rsidRPr="002A2F05">
              <w:rPr>
                <w:color w:val="auto"/>
                <w:lang w:eastAsia="ja-JP"/>
              </w:rPr>
              <w:fldChar w:fldCharType="separate"/>
            </w:r>
            <w:r w:rsidR="00BC31E6" w:rsidRPr="00BC31E6">
              <w:rPr>
                <w:rFonts w:cs="Helvetica"/>
                <w:szCs w:val="24"/>
                <w:vertAlign w:val="superscript"/>
              </w:rPr>
              <w:t>29</w:t>
            </w:r>
            <w:r w:rsidRPr="002A2F05">
              <w:rPr>
                <w:color w:val="auto"/>
                <w:lang w:eastAsia="ja-JP"/>
              </w:rPr>
              <w:fldChar w:fldCharType="end"/>
            </w:r>
          </w:p>
        </w:tc>
      </w:tr>
      <w:tr w:rsidR="001A7B4A" w:rsidRPr="002A2F05" w14:paraId="620C1FF5" w14:textId="77777777" w:rsidTr="00CD0186">
        <w:trPr>
          <w:trHeight w:val="20"/>
        </w:trPr>
        <w:tc>
          <w:tcPr>
            <w:tcW w:w="2105" w:type="dxa"/>
            <w:tcBorders>
              <w:bottom w:val="single" w:sz="6" w:space="0" w:color="auto"/>
            </w:tcBorders>
            <w:shd w:val="clear" w:color="auto" w:fill="auto"/>
            <w:vAlign w:val="center"/>
          </w:tcPr>
          <w:p w14:paraId="7D965B8F" w14:textId="1E09CD68" w:rsidR="001A7B4A" w:rsidRPr="002A2F05" w:rsidRDefault="001A7B4A" w:rsidP="00CD0186">
            <w:pPr>
              <w:pStyle w:val="Tablebulletlevel1"/>
              <w:numPr>
                <w:ilvl w:val="0"/>
                <w:numId w:val="0"/>
              </w:numPr>
              <w:jc w:val="left"/>
            </w:pPr>
            <w:r w:rsidRPr="002A2F05">
              <w:t xml:space="preserve">AE prevalence for </w:t>
            </w:r>
            <w:r w:rsidR="002000EC" w:rsidRPr="002A2F05">
              <w:t>BSC</w:t>
            </w:r>
          </w:p>
        </w:tc>
        <w:tc>
          <w:tcPr>
            <w:tcW w:w="2512" w:type="dxa"/>
            <w:tcBorders>
              <w:bottom w:val="single" w:sz="6" w:space="0" w:color="auto"/>
            </w:tcBorders>
            <w:shd w:val="clear" w:color="auto" w:fill="auto"/>
            <w:vAlign w:val="center"/>
          </w:tcPr>
          <w:p w14:paraId="0C43681A" w14:textId="10A27167" w:rsidR="001A7B4A" w:rsidRPr="002A2F05" w:rsidRDefault="00170C52" w:rsidP="00CD0186">
            <w:pPr>
              <w:pStyle w:val="Tablebulletlevel1"/>
              <w:jc w:val="left"/>
              <w:rPr>
                <w:color w:val="auto"/>
              </w:rPr>
            </w:pPr>
            <w:r w:rsidRPr="002A2F05">
              <w:rPr>
                <w:color w:val="auto"/>
              </w:rPr>
              <w:t xml:space="preserve">Refer to Supplementary Table </w:t>
            </w:r>
            <w:r w:rsidR="00E82B3D" w:rsidRPr="002A2F05">
              <w:rPr>
                <w:color w:val="auto"/>
              </w:rPr>
              <w:t>7</w:t>
            </w:r>
            <w:r w:rsidRPr="002A2F05">
              <w:rPr>
                <w:color w:val="auto"/>
              </w:rPr>
              <w:t>.</w:t>
            </w:r>
          </w:p>
        </w:tc>
        <w:tc>
          <w:tcPr>
            <w:tcW w:w="4727" w:type="dxa"/>
            <w:tcBorders>
              <w:bottom w:val="single" w:sz="6" w:space="0" w:color="auto"/>
            </w:tcBorders>
            <w:shd w:val="clear" w:color="auto" w:fill="auto"/>
            <w:vAlign w:val="center"/>
          </w:tcPr>
          <w:p w14:paraId="10FD5755" w14:textId="06C4F4BE" w:rsidR="001A7B4A" w:rsidRPr="002A2F05" w:rsidRDefault="001A7B4A" w:rsidP="00CD0186">
            <w:pPr>
              <w:pStyle w:val="Tablebulletlevel1"/>
              <w:jc w:val="left"/>
              <w:rPr>
                <w:color w:val="auto"/>
              </w:rPr>
            </w:pPr>
            <w:r w:rsidRPr="002A2F05">
              <w:rPr>
                <w:color w:val="auto"/>
              </w:rPr>
              <w:t>NefIgArd CSR</w:t>
            </w:r>
            <w:r w:rsidRPr="002A2F05">
              <w:rPr>
                <w:color w:val="auto"/>
                <w:lang w:eastAsia="ja-JP"/>
              </w:rPr>
              <w:fldChar w:fldCharType="begin"/>
            </w:r>
            <w:r w:rsidR="00BC31E6">
              <w:rPr>
                <w:color w:val="auto"/>
                <w:lang w:eastAsia="ja-JP"/>
              </w:rPr>
              <w:instrText xml:space="preserve"> ADDIN ZOTERO_ITEM CSL_CITATION {"citationID":"Rovqa5RH","properties":{"formattedCitation":"\\super 29\\nosupersub{}","plainCitation":"29","noteIndex":0},"citationItems":[{"id":3938,"uris":["http://zotero.org/groups/2828856/items/PF7RRX9D"],"itemData":{"id":3938,"type":"report","title":"Data on File: Clinical Study Report - A Randomized, Double-Blind, Placebo-Controlled Study to Evaluate Efficacy and Safety of Nefecon in Patients with Primary IgA Nephropathy at Risk of Progressing to End-Stage Renal Disease (NefIgArd) (Data cutoff date of 05 October 2020 for Part A analysis) - Version 1.0","author":[{"family":"Calliditas Therapeutics AB","given":""}],"issued":{"date-parts":[["2021",1,27]]}}}],"schema":"https://github.com/citation-style-language/schema/raw/master/csl-citation.json"} </w:instrText>
            </w:r>
            <w:r w:rsidRPr="002A2F05">
              <w:rPr>
                <w:color w:val="auto"/>
                <w:lang w:eastAsia="ja-JP"/>
              </w:rPr>
              <w:fldChar w:fldCharType="separate"/>
            </w:r>
            <w:r w:rsidR="00BC31E6" w:rsidRPr="00BC31E6">
              <w:rPr>
                <w:rFonts w:cs="Helvetica"/>
                <w:szCs w:val="24"/>
                <w:vertAlign w:val="superscript"/>
              </w:rPr>
              <w:t>29</w:t>
            </w:r>
            <w:r w:rsidRPr="002A2F05">
              <w:rPr>
                <w:color w:val="auto"/>
                <w:lang w:eastAsia="ja-JP"/>
              </w:rPr>
              <w:fldChar w:fldCharType="end"/>
            </w:r>
          </w:p>
        </w:tc>
      </w:tr>
      <w:tr w:rsidR="001A7B4A" w:rsidRPr="002A2F05" w14:paraId="6B346641" w14:textId="77777777" w:rsidTr="00CD0186">
        <w:trPr>
          <w:trHeight w:val="20"/>
        </w:trPr>
        <w:tc>
          <w:tcPr>
            <w:tcW w:w="9344" w:type="dxa"/>
            <w:gridSpan w:val="3"/>
            <w:shd w:val="clear" w:color="auto" w:fill="D9D9D9" w:themeFill="background1" w:themeFillShade="D9"/>
          </w:tcPr>
          <w:p w14:paraId="0632F02B" w14:textId="77777777" w:rsidR="001A7B4A" w:rsidRPr="002A2F05" w:rsidRDefault="001A7B4A" w:rsidP="00867CBA">
            <w:pPr>
              <w:pStyle w:val="Tablebulletlevel1"/>
              <w:keepNext/>
              <w:numPr>
                <w:ilvl w:val="0"/>
                <w:numId w:val="0"/>
              </w:numPr>
              <w:ind w:left="360" w:hanging="360"/>
              <w:rPr>
                <w:b/>
                <w:bCs w:val="0"/>
                <w:color w:val="auto"/>
              </w:rPr>
            </w:pPr>
            <w:r w:rsidRPr="002A2F05">
              <w:rPr>
                <w:b/>
                <w:bCs w:val="0"/>
                <w:color w:val="auto"/>
              </w:rPr>
              <w:lastRenderedPageBreak/>
              <w:t>HRQoL</w:t>
            </w:r>
          </w:p>
        </w:tc>
      </w:tr>
      <w:tr w:rsidR="001A7B4A" w:rsidRPr="002A2F05" w14:paraId="1811E880" w14:textId="77777777" w:rsidTr="00CD0186">
        <w:trPr>
          <w:trHeight w:val="20"/>
        </w:trPr>
        <w:tc>
          <w:tcPr>
            <w:tcW w:w="2105" w:type="dxa"/>
            <w:shd w:val="clear" w:color="auto" w:fill="auto"/>
            <w:vAlign w:val="center"/>
          </w:tcPr>
          <w:p w14:paraId="5443B423" w14:textId="77777777" w:rsidR="001A7B4A" w:rsidRPr="002A2F05" w:rsidRDefault="001A7B4A" w:rsidP="00CD0186">
            <w:pPr>
              <w:pStyle w:val="Tablebulletlevel1"/>
              <w:numPr>
                <w:ilvl w:val="0"/>
                <w:numId w:val="0"/>
              </w:numPr>
              <w:jc w:val="left"/>
            </w:pPr>
            <w:r w:rsidRPr="002A2F05">
              <w:t xml:space="preserve">Health-state utility values </w:t>
            </w:r>
          </w:p>
        </w:tc>
        <w:tc>
          <w:tcPr>
            <w:tcW w:w="2512" w:type="dxa"/>
            <w:shd w:val="clear" w:color="auto" w:fill="auto"/>
            <w:vAlign w:val="center"/>
          </w:tcPr>
          <w:p w14:paraId="44628B8A" w14:textId="49B7A8A3" w:rsidR="001A7B4A" w:rsidRPr="002A2F05" w:rsidRDefault="001A7B4A" w:rsidP="00867CBA">
            <w:pPr>
              <w:pStyle w:val="Tablebulletlevel1"/>
              <w:keepNext/>
              <w:jc w:val="left"/>
              <w:rPr>
                <w:color w:val="auto"/>
              </w:rPr>
            </w:pPr>
            <w:r w:rsidRPr="002A2F05">
              <w:rPr>
                <w:color w:val="auto"/>
              </w:rPr>
              <w:t xml:space="preserve">Refer to </w:t>
            </w:r>
            <w:r w:rsidR="00620A3F" w:rsidRPr="002A2F05">
              <w:rPr>
                <w:color w:val="auto"/>
              </w:rPr>
              <w:t xml:space="preserve">Supplementary Table </w:t>
            </w:r>
            <w:r w:rsidR="006E52BE" w:rsidRPr="002A2F05">
              <w:rPr>
                <w:color w:val="auto"/>
              </w:rPr>
              <w:t>1</w:t>
            </w:r>
            <w:r w:rsidR="00026EA6">
              <w:rPr>
                <w:color w:val="auto"/>
              </w:rPr>
              <w:t>0</w:t>
            </w:r>
            <w:r w:rsidR="00620A3F" w:rsidRPr="002A2F05">
              <w:rPr>
                <w:color w:val="auto"/>
              </w:rPr>
              <w:t>.</w:t>
            </w:r>
          </w:p>
        </w:tc>
        <w:tc>
          <w:tcPr>
            <w:tcW w:w="4727" w:type="dxa"/>
            <w:shd w:val="clear" w:color="auto" w:fill="auto"/>
            <w:vAlign w:val="center"/>
          </w:tcPr>
          <w:p w14:paraId="13900B65" w14:textId="0105F71B" w:rsidR="001A7B4A" w:rsidRPr="002A2F05" w:rsidRDefault="001A7B4A" w:rsidP="00CD0186">
            <w:pPr>
              <w:pStyle w:val="Tablebulletlevel1"/>
              <w:jc w:val="left"/>
              <w:rPr>
                <w:color w:val="auto"/>
              </w:rPr>
            </w:pPr>
            <w:r w:rsidRPr="002A2F05">
              <w:rPr>
                <w:color w:val="auto"/>
              </w:rPr>
              <w:t>Gorodetskaya et al., 2005</w:t>
            </w:r>
            <w:r w:rsidRPr="002A2F05">
              <w:rPr>
                <w:color w:val="auto"/>
              </w:rPr>
              <w:fldChar w:fldCharType="begin"/>
            </w:r>
            <w:r w:rsidR="00BC31E6">
              <w:rPr>
                <w:color w:val="auto"/>
              </w:rPr>
              <w:instrText xml:space="preserve"> ADDIN ZOTERO_ITEM CSL_CITATION {"citationID":"kc2F2P6S","properties":{"formattedCitation":"\\super 48\\nosupersub{}","plainCitation":"48","noteIndex":0},"citationItems":[{"id":3963,"uris":["http://zotero.org/groups/2828856/items/ITY549VS"],"itemData":{"id":3963,"type":"article-journal","container-title":"Kidney International","DOI":"10.1111/j.1523-1755.2005.00752.x","ISSN":"00852538","issue":"6","journalAbbreviation":"Kidney International","language":"en","page":"2801-2808","source":"DOI.org (Crossref)","title":"Health-related quality of life and estimates of utility in chronic kidney disease","volume":"68","author":[{"family":"Gorodetskaya","given":"Irina"},{"family":"Zenios","given":"Stefanos"},{"family":"Mcculloch","given":"Charles E."},{"family":"Bostrom","given":"Alan"},{"family":"Hsu","given":"Chi-Yuan"},{"family":"Bindman","given":"Andrew B."},{"family":"Go","given":"Alan S."},{"family":"Chertow","given":"Glenn M."}],"issued":{"date-parts":[["2005",12]]}}}],"schema":"https://github.com/citation-style-language/schema/raw/master/csl-citation.json"} </w:instrText>
            </w:r>
            <w:r w:rsidRPr="002A2F05">
              <w:rPr>
                <w:color w:val="auto"/>
              </w:rPr>
              <w:fldChar w:fldCharType="separate"/>
            </w:r>
            <w:r w:rsidR="00BC31E6" w:rsidRPr="00BC31E6">
              <w:rPr>
                <w:rFonts w:cs="Helvetica"/>
                <w:szCs w:val="24"/>
                <w:vertAlign w:val="superscript"/>
              </w:rPr>
              <w:t>48</w:t>
            </w:r>
            <w:r w:rsidRPr="002A2F05">
              <w:rPr>
                <w:color w:val="auto"/>
              </w:rPr>
              <w:fldChar w:fldCharType="end"/>
            </w:r>
          </w:p>
        </w:tc>
      </w:tr>
      <w:tr w:rsidR="001A7B4A" w:rsidRPr="005E5BCD" w14:paraId="4CCE09FA" w14:textId="77777777" w:rsidTr="00CD0186">
        <w:trPr>
          <w:trHeight w:val="20"/>
        </w:trPr>
        <w:tc>
          <w:tcPr>
            <w:tcW w:w="2105" w:type="dxa"/>
            <w:shd w:val="clear" w:color="auto" w:fill="auto"/>
            <w:vAlign w:val="center"/>
          </w:tcPr>
          <w:p w14:paraId="021142EE" w14:textId="77777777" w:rsidR="001A7B4A" w:rsidRPr="002A2F05" w:rsidRDefault="001A7B4A" w:rsidP="00CD0186">
            <w:pPr>
              <w:pStyle w:val="Tablebulletlevel1"/>
              <w:numPr>
                <w:ilvl w:val="0"/>
                <w:numId w:val="0"/>
              </w:numPr>
              <w:jc w:val="left"/>
            </w:pPr>
            <w:r w:rsidRPr="002A2F05">
              <w:t>Disutilities of AE</w:t>
            </w:r>
          </w:p>
        </w:tc>
        <w:tc>
          <w:tcPr>
            <w:tcW w:w="2512" w:type="dxa"/>
            <w:shd w:val="clear" w:color="auto" w:fill="auto"/>
            <w:vAlign w:val="center"/>
          </w:tcPr>
          <w:p w14:paraId="6B41626D" w14:textId="1046AA76" w:rsidR="001A7B4A" w:rsidRPr="002A2F05" w:rsidRDefault="001A7B4A" w:rsidP="00CD0186">
            <w:pPr>
              <w:pStyle w:val="Tablebulletlevel1"/>
              <w:jc w:val="left"/>
              <w:rPr>
                <w:color w:val="auto"/>
              </w:rPr>
            </w:pPr>
            <w:r w:rsidRPr="002A2F05">
              <w:rPr>
                <w:color w:val="auto"/>
              </w:rPr>
              <w:t xml:space="preserve">Refer to </w:t>
            </w:r>
            <w:r w:rsidR="006E52BE" w:rsidRPr="002A2F05">
              <w:rPr>
                <w:color w:val="auto"/>
              </w:rPr>
              <w:t>Supplementary Table 1</w:t>
            </w:r>
            <w:r w:rsidR="00026EA6">
              <w:rPr>
                <w:color w:val="auto"/>
              </w:rPr>
              <w:t>1</w:t>
            </w:r>
            <w:r w:rsidR="006E52BE" w:rsidRPr="002A2F05">
              <w:rPr>
                <w:color w:val="auto"/>
              </w:rPr>
              <w:t>.</w:t>
            </w:r>
          </w:p>
        </w:tc>
        <w:tc>
          <w:tcPr>
            <w:tcW w:w="4727" w:type="dxa"/>
            <w:shd w:val="clear" w:color="auto" w:fill="auto"/>
            <w:vAlign w:val="center"/>
          </w:tcPr>
          <w:p w14:paraId="4669D1C2" w14:textId="77777777" w:rsidR="001A7B4A" w:rsidRPr="002A2F05" w:rsidRDefault="001A7B4A" w:rsidP="00CD0186">
            <w:pPr>
              <w:pStyle w:val="Tablebulletlevel1"/>
              <w:jc w:val="left"/>
              <w:rPr>
                <w:color w:val="auto"/>
              </w:rPr>
            </w:pPr>
            <w:r w:rsidRPr="002A2F05">
              <w:rPr>
                <w:color w:val="auto"/>
              </w:rPr>
              <w:t>Acne – Assumption</w:t>
            </w:r>
          </w:p>
          <w:p w14:paraId="64A0C815" w14:textId="77777777" w:rsidR="001A7B4A" w:rsidRPr="002A2F05" w:rsidRDefault="001A7B4A" w:rsidP="00CD0186">
            <w:pPr>
              <w:pStyle w:val="Tablebulletlevel1"/>
              <w:jc w:val="left"/>
              <w:rPr>
                <w:color w:val="auto"/>
              </w:rPr>
            </w:pPr>
            <w:r w:rsidRPr="002A2F05">
              <w:rPr>
                <w:color w:val="auto"/>
              </w:rPr>
              <w:t>Weight increase – Assumption</w:t>
            </w:r>
          </w:p>
          <w:p w14:paraId="0728A7D9" w14:textId="06B4D67A" w:rsidR="001A7B4A" w:rsidRPr="002A2F05" w:rsidRDefault="001A7B4A" w:rsidP="00CD0186">
            <w:pPr>
              <w:pStyle w:val="Tablebulletlevel1"/>
              <w:jc w:val="left"/>
              <w:rPr>
                <w:color w:val="auto"/>
              </w:rPr>
            </w:pPr>
            <w:r w:rsidRPr="002A2F05">
              <w:rPr>
                <w:color w:val="auto"/>
              </w:rPr>
              <w:t>Hypertension – Sullivan, et al., 2006</w:t>
            </w:r>
            <w:r w:rsidRPr="002A2F05">
              <w:rPr>
                <w:color w:val="auto"/>
              </w:rPr>
              <w:fldChar w:fldCharType="begin"/>
            </w:r>
            <w:r w:rsidR="00BC31E6">
              <w:rPr>
                <w:color w:val="auto"/>
              </w:rPr>
              <w:instrText xml:space="preserve"> ADDIN ZOTERO_ITEM CSL_CITATION {"citationID":"VJyIQbVs","properties":{"formattedCitation":"\\super 53\\nosupersub{}","plainCitation":"53","noteIndex":0},"citationItems":[{"id":6303,"uris":["http://zotero.org/groups/2828856/items/DGKPQHMZ"],"itemData":{"id":6303,"type":"article-journal","abstract":"Background\nThe Panel on Cost-Effectiveness in Health and Medicine has called for an “off-the-shelf” catalogue of nationally representative, community-based preference scores for health states, illnesses, and conditions. A previous review of cost-effectiveness analyses found that 77% did not incorporate community-based preferences, and 33% used arbitrary expert or author judgment. These results highlight the necessity of making a wide array of appropriate, community-based estimates more accessible to cost-effectiveness researchers.\n\nObjective\nTo provide nationally representative EQ-5D index scores for chronic ICD-9 codes.\n\nMethods\nThe nationally representative Medical Expenditure Panel Survey (MEPS) was pooled (2000−2002) to create a data set of 38,678 adults. Ordinary least squares (OLS), Tobit, and censored least absolute deviations (CLAD) regression methods were used to estimate the marginal disutility of each condition, controlling for age, comorbidity, gender, race, ethnicity, income, and education.\n\nResults\nMost chronic conditions, age, comorbidity, income, and education were highly statistically significant predictors of EQ-5D index scores. Homoskedasticity and normality assumptions were rejected, suggesting only CLAD estimates are theoretically unbiased. The magnitude and statistical significance of coefficients varied by analytic method. OLS and Tobit coefficients were on average 60% and 143% greater than CLAD, respectively. The marginal disutility of 95 chronic ICD-9 codes as well as unadjusted mean, median, and 25th and 75th percentiles are reported.\n\nConclusion\nThis research provides nationally representative, community-based EQ-5D index scores associated with a wide variety of chronic ICD-9 codes that can be used to estimate quality-adjusted life-years in cost-effectiveness analyses.","container-title":"Medical decision making : an international journal of the Society for Medical Decision Making","DOI":"10.1177/0272989X06290495","ISSN":"0272-989X","issue":"4","journalAbbreviation":"Med Decis Making","page":"410-420","source":"PubMed Central","title":"Preference-Based EQ-5D Index Scores for Chronic Conditions in the United States","volume":"26","author":[{"family":"Sullivan","given":"Patrick W."},{"family":"Ghushchyan","given":"Vahram"}],"issued":{"date-parts":[["2006"]]}}}],"schema":"https://github.com/citation-style-language/schema/raw/master/csl-citation.json"} </w:instrText>
            </w:r>
            <w:r w:rsidRPr="002A2F05">
              <w:rPr>
                <w:color w:val="auto"/>
              </w:rPr>
              <w:fldChar w:fldCharType="separate"/>
            </w:r>
            <w:r w:rsidR="00BC31E6" w:rsidRPr="00BC31E6">
              <w:rPr>
                <w:rFonts w:cs="Helvetica"/>
                <w:szCs w:val="24"/>
                <w:vertAlign w:val="superscript"/>
              </w:rPr>
              <w:t>53</w:t>
            </w:r>
            <w:r w:rsidRPr="002A2F05">
              <w:rPr>
                <w:color w:val="auto"/>
              </w:rPr>
              <w:fldChar w:fldCharType="end"/>
            </w:r>
          </w:p>
          <w:p w14:paraId="3DBBD79F" w14:textId="489D1E64" w:rsidR="001A7B4A" w:rsidRPr="002A2F05" w:rsidRDefault="001A7B4A" w:rsidP="00CD0186">
            <w:pPr>
              <w:pStyle w:val="Tablebulletlevel1"/>
              <w:jc w:val="left"/>
              <w:rPr>
                <w:color w:val="auto"/>
              </w:rPr>
            </w:pPr>
            <w:r w:rsidRPr="002A2F05">
              <w:rPr>
                <w:color w:val="auto"/>
              </w:rPr>
              <w:t>Headache – Xu et al., 2010</w:t>
            </w:r>
            <w:r w:rsidRPr="002A2F05">
              <w:rPr>
                <w:color w:val="auto"/>
              </w:rPr>
              <w:fldChar w:fldCharType="begin"/>
            </w:r>
            <w:r w:rsidR="00BC31E6">
              <w:rPr>
                <w:color w:val="auto"/>
              </w:rPr>
              <w:instrText xml:space="preserve"> ADDIN ZOTERO_ITEM CSL_CITATION {"citationID":"mvoEN5Vv","properties":{"formattedCitation":"\\super 54\\nosupersub{}","plainCitation":"54","noteIndex":0},"citationItems":[{"id":6306,"uris":["http://zotero.org/groups/2828856/items/V6CQCGQF"],"itemData":{"id":6306,"type":"article-journal","abstract":"PURPOSE: Previous studies have reported health utilities for migraine patients as generally measured between migraine attacks, but health utility data for within a migraine attack are unavailable. We evaluated within-attack health utilities among acute migraine patients experiencing different grades of headache severity.\nMETHODS: We examined data for 330 20-65-year-old adults, in good physical health, who had 1-6 moderate/severe migraine attacks per month in the 2 months prior to the screening visit. Data were collected from a multicenter, double-blind study of a treatment for acute migraine in the United States. The EQ-5D system was used to measure generic health status at baseline and 24 h post-treatment within an acute migraine attack, and patients were also asked to rate their pain level at these time points (no, mild, moderate, or severe pain). The D1 time-trade-off scoring algorithm for the U.S. population was applied. Confidence intervals were estimated by bootstrap methods.\nRESULTS: The study population was 88% women and 78% white ethnicity, with 60% of subjects over age 40. The disutility of mild migraine pain was estimated to be 0.140 (95% CI: 0.0848, 0.1940), with a disutility for moderate migraine pain of 0.186 (95% CI: 0.1645, 0.2053) and for severe migraine pain of 0.493 (95% CI: 0.4100, 0.5654).\nCONCLUSIONS: Within-attack disutilities estimated for migraine in this study are much greater than those reported for migraine when evaluated as a chronic health condition (e.g., valuations collected at random time points). These data can be of value in adapting results from clinical trials of migraine interventions to cost-utility policy analyses.","container-title":"Quality of Life Research: An International Journal of Quality of Life Aspects of Treatment, Care and Rehabilitation","DOI":"10.1007/s11136-010-9783-5","ISSN":"1573-2649","issue":"4","journalAbbreviation":"Qual Life Res","language":"eng","page":"601-608","source":"PubMed","title":"EuroQol (EQ-5D) health utility scores for patients with migraine","volume":"20","author":[{"family":"Xu","given":"Ruifeng"},{"family":"Insinga","given":"Ralph P."},{"family":"Golden","given":"Wendy"},{"family":"Hu","given":"X. Henry"}],"issued":{"date-parts":[["2011",5]]}}}],"schema":"https://github.com/citation-style-language/schema/raw/master/csl-citation.json"} </w:instrText>
            </w:r>
            <w:r w:rsidRPr="002A2F05">
              <w:rPr>
                <w:color w:val="auto"/>
              </w:rPr>
              <w:fldChar w:fldCharType="separate"/>
            </w:r>
            <w:r w:rsidR="00BC31E6" w:rsidRPr="00BC31E6">
              <w:rPr>
                <w:rFonts w:cs="Helvetica"/>
                <w:szCs w:val="24"/>
                <w:vertAlign w:val="superscript"/>
              </w:rPr>
              <w:t>54</w:t>
            </w:r>
            <w:r w:rsidRPr="002A2F05">
              <w:rPr>
                <w:color w:val="auto"/>
              </w:rPr>
              <w:fldChar w:fldCharType="end"/>
            </w:r>
            <w:r w:rsidRPr="002A2F05">
              <w:rPr>
                <w:color w:val="auto"/>
              </w:rPr>
              <w:t xml:space="preserve"> </w:t>
            </w:r>
          </w:p>
          <w:p w14:paraId="6A4BB38B" w14:textId="6D3284A7" w:rsidR="001A7B4A" w:rsidRPr="002A2F05" w:rsidRDefault="001A7B4A" w:rsidP="003F1284">
            <w:pPr>
              <w:pStyle w:val="Tablebulletlevel1"/>
              <w:jc w:val="left"/>
              <w:rPr>
                <w:color w:val="auto"/>
              </w:rPr>
            </w:pPr>
            <w:r w:rsidRPr="002A2F05">
              <w:rPr>
                <w:color w:val="auto"/>
              </w:rPr>
              <w:t xml:space="preserve">Edema peripheral – </w:t>
            </w:r>
            <w:r w:rsidR="0030045E" w:rsidRPr="002A2F05">
              <w:rPr>
                <w:color w:val="auto"/>
              </w:rPr>
              <w:t>Assumed the same as Cushingoid</w:t>
            </w:r>
          </w:p>
          <w:p w14:paraId="7533D1F4" w14:textId="28C6B5C3" w:rsidR="001A7B4A" w:rsidRPr="002A2F05" w:rsidRDefault="001A7B4A" w:rsidP="00CD0186">
            <w:pPr>
              <w:pStyle w:val="Tablebulletlevel1"/>
              <w:jc w:val="left"/>
              <w:rPr>
                <w:color w:val="auto"/>
              </w:rPr>
            </w:pPr>
            <w:r w:rsidRPr="002A2F05">
              <w:rPr>
                <w:color w:val="auto"/>
              </w:rPr>
              <w:t>Dyspepsia – Sullivan et al., 2006</w:t>
            </w:r>
            <w:r w:rsidRPr="002A2F05">
              <w:rPr>
                <w:color w:val="auto"/>
              </w:rPr>
              <w:fldChar w:fldCharType="begin"/>
            </w:r>
            <w:r w:rsidR="00BC31E6">
              <w:rPr>
                <w:color w:val="auto"/>
              </w:rPr>
              <w:instrText xml:space="preserve"> ADDIN ZOTERO_ITEM CSL_CITATION {"citationID":"lhvchz3F","properties":{"formattedCitation":"\\super 53\\nosupersub{}","plainCitation":"53","noteIndex":0},"citationItems":[{"id":6303,"uris":["http://zotero.org/groups/2828856/items/DGKPQHMZ"],"itemData":{"id":6303,"type":"article-journal","abstract":"Background\nThe Panel on Cost-Effectiveness in Health and Medicine has called for an “off-the-shelf” catalogue of nationally representative, community-based preference scores for health states, illnesses, and conditions. A previous review of cost-effectiveness analyses found that 77% did not incorporate community-based preferences, and 33% used arbitrary expert or author judgment. These results highlight the necessity of making a wide array of appropriate, community-based estimates more accessible to cost-effectiveness researchers.\n\nObjective\nTo provide nationally representative EQ-5D index scores for chronic ICD-9 codes.\n\nMethods\nThe nationally representative Medical Expenditure Panel Survey (MEPS) was pooled (2000−2002) to create a data set of 38,678 adults. Ordinary least squares (OLS), Tobit, and censored least absolute deviations (CLAD) regression methods were used to estimate the marginal disutility of each condition, controlling for age, comorbidity, gender, race, ethnicity, income, and education.\n\nResults\nMost chronic conditions, age, comorbidity, income, and education were highly statistically significant predictors of EQ-5D index scores. Homoskedasticity and normality assumptions were rejected, suggesting only CLAD estimates are theoretically unbiased. The magnitude and statistical significance of coefficients varied by analytic method. OLS and Tobit coefficients were on average 60% and 143% greater than CLAD, respectively. The marginal disutility of 95 chronic ICD-9 codes as well as unadjusted mean, median, and 25th and 75th percentiles are reported.\n\nConclusion\nThis research provides nationally representative, community-based EQ-5D index scores associated with a wide variety of chronic ICD-9 codes that can be used to estimate quality-adjusted life-years in cost-effectiveness analyses.","container-title":"Medical decision making : an international journal of the Society for Medical Decision Making","DOI":"10.1177/0272989X06290495","ISSN":"0272-989X","issue":"4","journalAbbreviation":"Med Decis Making","page":"410-420","source":"PubMed Central","title":"Preference-Based EQ-5D Index Scores for Chronic Conditions in the United States","volume":"26","author":[{"family":"Sullivan","given":"Patrick W."},{"family":"Ghushchyan","given":"Vahram"}],"issued":{"date-parts":[["2006"]]}}}],"schema":"https://github.com/citation-style-language/schema/raw/master/csl-citation.json"} </w:instrText>
            </w:r>
            <w:r w:rsidRPr="002A2F05">
              <w:rPr>
                <w:color w:val="auto"/>
              </w:rPr>
              <w:fldChar w:fldCharType="separate"/>
            </w:r>
            <w:r w:rsidR="00BC31E6" w:rsidRPr="00BC31E6">
              <w:rPr>
                <w:rFonts w:cs="Helvetica"/>
                <w:szCs w:val="24"/>
                <w:vertAlign w:val="superscript"/>
              </w:rPr>
              <w:t>53</w:t>
            </w:r>
            <w:r w:rsidRPr="002A2F05">
              <w:rPr>
                <w:color w:val="auto"/>
              </w:rPr>
              <w:fldChar w:fldCharType="end"/>
            </w:r>
            <w:r w:rsidRPr="002A2F05">
              <w:rPr>
                <w:color w:val="auto"/>
              </w:rPr>
              <w:t xml:space="preserve"> </w:t>
            </w:r>
          </w:p>
          <w:p w14:paraId="600A8483" w14:textId="354741E4" w:rsidR="001A7B4A" w:rsidRPr="002A2F05" w:rsidRDefault="001A7B4A" w:rsidP="00CD0186">
            <w:pPr>
              <w:pStyle w:val="Tablebulletlevel1"/>
              <w:jc w:val="left"/>
              <w:rPr>
                <w:color w:val="auto"/>
              </w:rPr>
            </w:pPr>
            <w:r w:rsidRPr="002A2F05">
              <w:rPr>
                <w:color w:val="auto"/>
              </w:rPr>
              <w:t xml:space="preserve">Mood </w:t>
            </w:r>
            <w:r w:rsidR="003F1284" w:rsidRPr="002A2F05">
              <w:rPr>
                <w:color w:val="auto"/>
              </w:rPr>
              <w:t>s</w:t>
            </w:r>
            <w:r w:rsidRPr="002A2F05">
              <w:rPr>
                <w:color w:val="auto"/>
              </w:rPr>
              <w:t>wings – Assumption</w:t>
            </w:r>
          </w:p>
          <w:p w14:paraId="0E8A6DA2" w14:textId="20311812" w:rsidR="001A7B4A" w:rsidRPr="002A2F05" w:rsidRDefault="001A7B4A" w:rsidP="00CD0186">
            <w:pPr>
              <w:pStyle w:val="Tablebulletlevel1"/>
              <w:jc w:val="left"/>
              <w:rPr>
                <w:color w:val="auto"/>
              </w:rPr>
            </w:pPr>
            <w:r w:rsidRPr="002A2F05">
              <w:rPr>
                <w:color w:val="auto"/>
              </w:rPr>
              <w:t>Face edema –</w:t>
            </w:r>
            <w:r w:rsidR="00BD35C6" w:rsidRPr="002A2F05">
              <w:rPr>
                <w:color w:val="auto"/>
              </w:rPr>
              <w:t xml:space="preserve"> Assumed the same as Cushingoid</w:t>
            </w:r>
          </w:p>
          <w:p w14:paraId="6F9CA3BC" w14:textId="164CD7BA" w:rsidR="001A7B4A" w:rsidRPr="002A2F05" w:rsidRDefault="001A7B4A" w:rsidP="00CD0186">
            <w:pPr>
              <w:pStyle w:val="Tablebulletlevel1"/>
              <w:jc w:val="left"/>
              <w:rPr>
                <w:color w:val="auto"/>
              </w:rPr>
            </w:pPr>
            <w:r w:rsidRPr="002A2F05">
              <w:rPr>
                <w:color w:val="auto"/>
              </w:rPr>
              <w:t xml:space="preserve">Cushingoid – ICER, Evidence report, </w:t>
            </w:r>
            <w:r w:rsidR="00723A6E" w:rsidRPr="002A2F05">
              <w:rPr>
                <w:color w:val="auto"/>
              </w:rPr>
              <w:t xml:space="preserve">Deflazacort, Eteplirsen, and Golodirsen for </w:t>
            </w:r>
            <w:r w:rsidRPr="002A2F05">
              <w:rPr>
                <w:color w:val="auto"/>
              </w:rPr>
              <w:t>Duchenne Muscular Dystrophy, 2019</w:t>
            </w:r>
            <w:r w:rsidRPr="002A2F05">
              <w:rPr>
                <w:color w:val="auto"/>
              </w:rPr>
              <w:fldChar w:fldCharType="begin"/>
            </w:r>
            <w:r w:rsidR="00BC31E6">
              <w:rPr>
                <w:color w:val="auto"/>
              </w:rPr>
              <w:instrText xml:space="preserve"> ADDIN ZOTERO_ITEM CSL_CITATION {"citationID":"wIzxx1Js","properties":{"formattedCitation":"\\super 55\\nosupersub{}","plainCitation":"55","noteIndex":0},"citationItems":[{"id":6338,"uris":["http://zotero.org/groups/2828856/items/ZWG4XRZF"],"itemData":{"id":6338,"type":"report","genre":"Final Evidence Report","publisher":"Institute for Clinical and Economic Review","title":"Deflazacort, Eteplirsen, and Golodirsen for Duchenne Muscular Dystrophy: Effectiveness and Value","URL":"https://icer.org/wp-content/uploads/2020/10/ICER_DMD-Final-Report_081519-2.pdf","author":[{"family":"ICER","given":""}],"accessed":{"date-parts":[["2021",6,25]]},"issued":{"date-parts":[["2019",8,15]]}}}],"schema":"https://github.com/citation-style-language/schema/raw/master/csl-citation.json"} </w:instrText>
            </w:r>
            <w:r w:rsidRPr="002A2F05">
              <w:rPr>
                <w:color w:val="auto"/>
              </w:rPr>
              <w:fldChar w:fldCharType="separate"/>
            </w:r>
            <w:r w:rsidR="00BC31E6" w:rsidRPr="00BC31E6">
              <w:rPr>
                <w:rFonts w:cs="Helvetica"/>
                <w:szCs w:val="24"/>
                <w:vertAlign w:val="superscript"/>
              </w:rPr>
              <w:t>55</w:t>
            </w:r>
            <w:r w:rsidRPr="002A2F05">
              <w:rPr>
                <w:color w:val="auto"/>
              </w:rPr>
              <w:fldChar w:fldCharType="end"/>
            </w:r>
          </w:p>
          <w:p w14:paraId="674252DD" w14:textId="77777777" w:rsidR="001A7B4A" w:rsidRPr="002A2F05" w:rsidRDefault="001A7B4A" w:rsidP="00CD0186">
            <w:pPr>
              <w:pStyle w:val="Tablebulletlevel1"/>
              <w:jc w:val="left"/>
              <w:rPr>
                <w:color w:val="auto"/>
              </w:rPr>
            </w:pPr>
            <w:r w:rsidRPr="002A2F05">
              <w:rPr>
                <w:color w:val="auto"/>
              </w:rPr>
              <w:t>Hirsutism – Assumption</w:t>
            </w:r>
          </w:p>
          <w:p w14:paraId="7671D3F4" w14:textId="51CF5CE7" w:rsidR="001A7B4A" w:rsidRPr="002A2F05" w:rsidRDefault="001A7B4A" w:rsidP="00CD0186">
            <w:pPr>
              <w:pStyle w:val="Tablebulletlevel1"/>
              <w:jc w:val="left"/>
              <w:rPr>
                <w:color w:val="auto"/>
              </w:rPr>
            </w:pPr>
            <w:r w:rsidRPr="002A2F05">
              <w:rPr>
                <w:color w:val="auto"/>
              </w:rPr>
              <w:t>Upper respiratory tract infection – Sullivan et al., 2006</w:t>
            </w:r>
            <w:r w:rsidRPr="002A2F05">
              <w:rPr>
                <w:color w:val="auto"/>
              </w:rPr>
              <w:fldChar w:fldCharType="begin"/>
            </w:r>
            <w:r w:rsidR="00BC31E6">
              <w:rPr>
                <w:color w:val="auto"/>
              </w:rPr>
              <w:instrText xml:space="preserve"> ADDIN ZOTERO_ITEM CSL_CITATION {"citationID":"YNaBItX2","properties":{"formattedCitation":"\\super 53\\nosupersub{}","plainCitation":"53","noteIndex":0},"citationItems":[{"id":6303,"uris":["http://zotero.org/groups/2828856/items/DGKPQHMZ"],"itemData":{"id":6303,"type":"article-journal","abstract":"Background\nThe Panel on Cost-Effectiveness in Health and Medicine has called for an “off-the-shelf” catalogue of nationally representative, community-based preference scores for health states, illnesses, and conditions. A previous review of cost-effectiveness analyses found that 77% did not incorporate community-based preferences, and 33% used arbitrary expert or author judgment. These results highlight the necessity of making a wide array of appropriate, community-based estimates more accessible to cost-effectiveness researchers.\n\nObjective\nTo provide nationally representative EQ-5D index scores for chronic ICD-9 codes.\n\nMethods\nThe nationally representative Medical Expenditure Panel Survey (MEPS) was pooled (2000−2002) to create a data set of 38,678 adults. Ordinary least squares (OLS), Tobit, and censored least absolute deviations (CLAD) regression methods were used to estimate the marginal disutility of each condition, controlling for age, comorbidity, gender, race, ethnicity, income, and education.\n\nResults\nMost chronic conditions, age, comorbidity, income, and education were highly statistically significant predictors of EQ-5D index scores. Homoskedasticity and normality assumptions were rejected, suggesting only CLAD estimates are theoretically unbiased. The magnitude and statistical significance of coefficients varied by analytic method. OLS and Tobit coefficients were on average 60% and 143% greater than CLAD, respectively. The marginal disutility of 95 chronic ICD-9 codes as well as unadjusted mean, median, and 25th and 75th percentiles are reported.\n\nConclusion\nThis research provides nationally representative, community-based EQ-5D index scores associated with a wide variety of chronic ICD-9 codes that can be used to estimate quality-adjusted life-years in cost-effectiveness analyses.","container-title":"Medical decision making : an international journal of the Society for Medical Decision Making","DOI":"10.1177/0272989X06290495","ISSN":"0272-989X","issue":"4","journalAbbreviation":"Med Decis Making","page":"410-420","source":"PubMed Central","title":"Preference-Based EQ-5D Index Scores for Chronic Conditions in the United States","volume":"26","author":[{"family":"Sullivan","given":"Patrick W."},{"family":"Ghushchyan","given":"Vahram"}],"issued":{"date-parts":[["2006"]]}}}],"schema":"https://github.com/citation-style-language/schema/raw/master/csl-citation.json"} </w:instrText>
            </w:r>
            <w:r w:rsidRPr="002A2F05">
              <w:rPr>
                <w:color w:val="auto"/>
              </w:rPr>
              <w:fldChar w:fldCharType="separate"/>
            </w:r>
            <w:r w:rsidR="00BC31E6" w:rsidRPr="00BC31E6">
              <w:rPr>
                <w:rFonts w:cs="Helvetica"/>
                <w:szCs w:val="24"/>
                <w:vertAlign w:val="superscript"/>
              </w:rPr>
              <w:t>53</w:t>
            </w:r>
            <w:r w:rsidRPr="002A2F05">
              <w:rPr>
                <w:color w:val="auto"/>
              </w:rPr>
              <w:fldChar w:fldCharType="end"/>
            </w:r>
            <w:r w:rsidRPr="002A2F05">
              <w:rPr>
                <w:color w:val="auto"/>
              </w:rPr>
              <w:t xml:space="preserve"> </w:t>
            </w:r>
          </w:p>
          <w:p w14:paraId="07DD3885" w14:textId="26C6906F" w:rsidR="001A7B4A" w:rsidRPr="00C625B5" w:rsidRDefault="001A7B4A" w:rsidP="00CD0186">
            <w:pPr>
              <w:pStyle w:val="Tablebulletlevel1"/>
              <w:jc w:val="left"/>
              <w:rPr>
                <w:color w:val="auto"/>
                <w:lang w:val="fr-CA"/>
              </w:rPr>
            </w:pPr>
            <w:r w:rsidRPr="000A4BF4">
              <w:rPr>
                <w:color w:val="auto"/>
                <w:lang w:val="fr-CA"/>
              </w:rPr>
              <w:t xml:space="preserve">Transplant failure – Sussell et al., 2019 </w:t>
            </w:r>
            <w:r w:rsidRPr="002A2F05">
              <w:rPr>
                <w:color w:val="auto"/>
              </w:rPr>
              <w:fldChar w:fldCharType="begin"/>
            </w:r>
            <w:r w:rsidR="00BC31E6">
              <w:rPr>
                <w:color w:val="auto"/>
                <w:lang w:val="fr-CA"/>
              </w:rPr>
              <w:instrText xml:space="preserve"> ADDIN ZOTERO_ITEM CSL_CITATION {"citationID":"5AkguXwJ","properties":{"formattedCitation":"\\super 56\\nosupersub{}","plainCitation":"56","noteIndex":0},"citationItems":[{"id":"EiB8jDoc/2RTviLgG","uris":["http://zotero.org/users/local/qxFfvzXz/items/JTEC5S7U"],"itemData":{"id":49,"type":"article-journal","abstract":"Despite improvements in outcomes for kidney transplant recipients in the past decade, graft failure continues to impose substantial burden on patients. However, the population-wide economic burden of graft failure has not been quantified. This study aims to fill that gap by comparing outcomes from a simulation model of kidney transplant patients in which patients are at risk for graft failure with an alternative simulation in which the risk of graft failure is assumed to be zero. Transitions through the model were estimated using Scientific Registry of Transplant Recipients data from 1987 to 2017. We estimated lifetime costs, overall survival, and quality-adjusted life-years (QALYs) for both scenarios and calculated the difference between them to obtain the burden of graft failure. We find that for the average patient, graft failure will impose additional medical costs of $78 079 (95% confidence interval [CI] $41 074, $112 409) and a loss of 1.66 QALYs (95% CI 1.15, 2.18). Given 17 644 kidney transplants in 2017, the total incremental lifetime medical costs associated with graft failure is $1.38B (95% CI $725M, $1.98B) and the total QALY loss is 29 289 (95% CI 20 291, 38 464). Efforts to reduce the incidence of graft failure or to mitigate its impact are urgently needed.","container-title":"American Journal of Transplantation","DOI":"10.1111/ajt.15750","ISSN":"1600-6143","issue":"5","language":"en","note":"_eprint: https://onlinelibrary.wiley.com/doi/pdf/10.1111/ajt.15750","page":"1323-1333","source":"Wiley Online Library","title":"The economic burden of kidney graft failure in the United States","volume":"20","author":[{"family":"Sussell","given":"Jesse"},{"family":"Silverstein","given":"Alison R."},{"family":"Goutam","given":"Prodyumna"},{"family":"Incerti","given":"Devin"},{"family":"Kee","given":"Rebecca"},{"family":"Chen","given":"Corinna X."},{"family":"Batty","given":"Donald S."},{"family":"Jansen","given":"Jeroen P."},{"family":"Kasiske","given":"Bertram L."}],"issued":{"date-parts":[["2020"]]}}}],"schema":"https://github.com/citation-style-language/schema/raw/master/csl-citation.json"} </w:instrText>
            </w:r>
            <w:r w:rsidRPr="002A2F05">
              <w:rPr>
                <w:color w:val="auto"/>
              </w:rPr>
              <w:fldChar w:fldCharType="separate"/>
            </w:r>
            <w:r w:rsidR="00BC31E6" w:rsidRPr="00B478D0">
              <w:rPr>
                <w:rFonts w:cs="Helvetica"/>
                <w:szCs w:val="24"/>
                <w:vertAlign w:val="superscript"/>
                <w:lang w:val="fr-CA"/>
              </w:rPr>
              <w:t>56</w:t>
            </w:r>
            <w:r w:rsidRPr="002A2F05">
              <w:rPr>
                <w:color w:val="auto"/>
              </w:rPr>
              <w:fldChar w:fldCharType="end"/>
            </w:r>
          </w:p>
        </w:tc>
      </w:tr>
      <w:tr w:rsidR="001A7B4A" w:rsidRPr="002A2F05" w14:paraId="15D6E4A6" w14:textId="77777777" w:rsidTr="00CD0186">
        <w:trPr>
          <w:trHeight w:val="255"/>
        </w:trPr>
        <w:tc>
          <w:tcPr>
            <w:tcW w:w="0" w:type="auto"/>
            <w:gridSpan w:val="3"/>
            <w:shd w:val="clear" w:color="auto" w:fill="D9D9D9" w:themeFill="background1" w:themeFillShade="D9"/>
          </w:tcPr>
          <w:p w14:paraId="1761967D" w14:textId="77777777" w:rsidR="001A7B4A" w:rsidRPr="002A2F05" w:rsidRDefault="001A7B4A" w:rsidP="00CD0186">
            <w:pPr>
              <w:pStyle w:val="Tablebulletlevel1"/>
              <w:numPr>
                <w:ilvl w:val="0"/>
                <w:numId w:val="0"/>
              </w:numPr>
              <w:spacing w:line="240" w:lineRule="auto"/>
              <w:ind w:left="144" w:hanging="144"/>
              <w:rPr>
                <w:b/>
                <w:color w:val="auto"/>
              </w:rPr>
            </w:pPr>
            <w:r w:rsidRPr="002A2F05">
              <w:rPr>
                <w:b/>
                <w:color w:val="auto"/>
              </w:rPr>
              <w:t>Costs</w:t>
            </w:r>
          </w:p>
        </w:tc>
      </w:tr>
      <w:tr w:rsidR="001A7B4A" w:rsidRPr="002A2F05" w14:paraId="6AE15E60" w14:textId="77777777" w:rsidTr="00CD0186">
        <w:trPr>
          <w:trHeight w:val="20"/>
        </w:trPr>
        <w:tc>
          <w:tcPr>
            <w:tcW w:w="2105" w:type="dxa"/>
            <w:shd w:val="clear" w:color="auto" w:fill="auto"/>
            <w:vAlign w:val="center"/>
          </w:tcPr>
          <w:p w14:paraId="700E605C" w14:textId="77777777" w:rsidR="001A7B4A" w:rsidRPr="002A2F05" w:rsidRDefault="001A7B4A" w:rsidP="00CD0186">
            <w:pPr>
              <w:pStyle w:val="Tablebulletlevel1"/>
              <w:numPr>
                <w:ilvl w:val="0"/>
                <w:numId w:val="0"/>
              </w:numPr>
              <w:jc w:val="left"/>
            </w:pPr>
            <w:r w:rsidRPr="002A2F05">
              <w:t>Drug dosing</w:t>
            </w:r>
          </w:p>
        </w:tc>
        <w:tc>
          <w:tcPr>
            <w:tcW w:w="2512" w:type="dxa"/>
            <w:shd w:val="clear" w:color="auto" w:fill="auto"/>
            <w:vAlign w:val="center"/>
          </w:tcPr>
          <w:p w14:paraId="7293A221" w14:textId="77777777" w:rsidR="001A7B4A" w:rsidRPr="002A2F05" w:rsidRDefault="001A7B4A" w:rsidP="00CD0186">
            <w:pPr>
              <w:pStyle w:val="Tablebulletlevel1"/>
              <w:jc w:val="left"/>
              <w:rPr>
                <w:color w:val="auto"/>
              </w:rPr>
            </w:pPr>
            <w:r w:rsidRPr="002A2F05">
              <w:rPr>
                <w:color w:val="auto"/>
              </w:rPr>
              <w:t>16 mg per administration</w:t>
            </w:r>
          </w:p>
        </w:tc>
        <w:tc>
          <w:tcPr>
            <w:tcW w:w="4727" w:type="dxa"/>
            <w:shd w:val="clear" w:color="auto" w:fill="auto"/>
            <w:vAlign w:val="center"/>
          </w:tcPr>
          <w:p w14:paraId="24BFBDCE" w14:textId="70915D79" w:rsidR="001A7B4A" w:rsidRPr="002A2F05" w:rsidRDefault="001A7B4A" w:rsidP="00CD0186">
            <w:pPr>
              <w:pStyle w:val="Tablebulletlevel1"/>
              <w:jc w:val="left"/>
              <w:rPr>
                <w:color w:val="auto"/>
              </w:rPr>
            </w:pPr>
            <w:r w:rsidRPr="002A2F05">
              <w:rPr>
                <w:color w:val="auto"/>
              </w:rPr>
              <w:t>NefIgArd CSR</w:t>
            </w:r>
            <w:r w:rsidRPr="002A2F05">
              <w:rPr>
                <w:color w:val="auto"/>
                <w:lang w:eastAsia="ja-JP"/>
              </w:rPr>
              <w:fldChar w:fldCharType="begin"/>
            </w:r>
            <w:r w:rsidR="00BC31E6">
              <w:rPr>
                <w:color w:val="auto"/>
                <w:lang w:eastAsia="ja-JP"/>
              </w:rPr>
              <w:instrText xml:space="preserve"> ADDIN ZOTERO_ITEM CSL_CITATION {"citationID":"SMYexB4a","properties":{"formattedCitation":"\\super 29\\nosupersub{}","plainCitation":"29","noteIndex":0},"citationItems":[{"id":3938,"uris":["http://zotero.org/groups/2828856/items/PF7RRX9D"],"itemData":{"id":3938,"type":"report","title":"Data on File: Clinical Study Report - A Randomized, Double-Blind, Placebo-Controlled Study to Evaluate Efficacy and Safety of Nefecon in Patients with Primary IgA Nephropathy at Risk of Progressing to End-Stage Renal Disease (NefIgArd) (Data cutoff date of 05 October 2020 for Part A analysis) - Version 1.0","author":[{"family":"Calliditas Therapeutics AB","given":""}],"issued":{"date-parts":[["2021",1,27]]}}}],"schema":"https://github.com/citation-style-language/schema/raw/master/csl-citation.json"} </w:instrText>
            </w:r>
            <w:r w:rsidRPr="002A2F05">
              <w:rPr>
                <w:color w:val="auto"/>
                <w:lang w:eastAsia="ja-JP"/>
              </w:rPr>
              <w:fldChar w:fldCharType="separate"/>
            </w:r>
            <w:r w:rsidR="00BC31E6" w:rsidRPr="00BC31E6">
              <w:rPr>
                <w:rFonts w:cs="Helvetica"/>
                <w:szCs w:val="24"/>
                <w:vertAlign w:val="superscript"/>
              </w:rPr>
              <w:t>29</w:t>
            </w:r>
            <w:r w:rsidRPr="002A2F05">
              <w:rPr>
                <w:color w:val="auto"/>
                <w:lang w:eastAsia="ja-JP"/>
              </w:rPr>
              <w:fldChar w:fldCharType="end"/>
            </w:r>
          </w:p>
        </w:tc>
      </w:tr>
      <w:tr w:rsidR="001A7B4A" w:rsidRPr="002A2F05" w14:paraId="395F4E6E" w14:textId="77777777" w:rsidTr="00CD0186">
        <w:trPr>
          <w:trHeight w:val="20"/>
        </w:trPr>
        <w:tc>
          <w:tcPr>
            <w:tcW w:w="2105" w:type="dxa"/>
            <w:shd w:val="clear" w:color="auto" w:fill="auto"/>
            <w:vAlign w:val="center"/>
          </w:tcPr>
          <w:p w14:paraId="62EE8135" w14:textId="167540B6" w:rsidR="001A7B4A" w:rsidRPr="002A2F05" w:rsidRDefault="00EB6C06" w:rsidP="00CD0186">
            <w:pPr>
              <w:pStyle w:val="Tablebulletlevel1"/>
              <w:numPr>
                <w:ilvl w:val="0"/>
                <w:numId w:val="0"/>
              </w:numPr>
              <w:jc w:val="left"/>
            </w:pPr>
            <w:r w:rsidRPr="002A2F05">
              <w:t>Nefecon</w:t>
            </w:r>
            <w:r w:rsidR="006E7EC2" w:rsidRPr="002A2F05">
              <w:t xml:space="preserve"> </w:t>
            </w:r>
            <w:r w:rsidR="001A7B4A" w:rsidRPr="002A2F05">
              <w:t>cost</w:t>
            </w:r>
          </w:p>
        </w:tc>
        <w:tc>
          <w:tcPr>
            <w:tcW w:w="2512" w:type="dxa"/>
            <w:shd w:val="clear" w:color="auto" w:fill="auto"/>
            <w:vAlign w:val="center"/>
          </w:tcPr>
          <w:p w14:paraId="72DFC3AA" w14:textId="2B403540" w:rsidR="001A7B4A" w:rsidRPr="002A2F05" w:rsidRDefault="001A7B4A" w:rsidP="00CD0186">
            <w:pPr>
              <w:pStyle w:val="Tablebulletlevel1"/>
              <w:jc w:val="left"/>
              <w:rPr>
                <w:color w:val="auto"/>
              </w:rPr>
            </w:pPr>
            <w:r w:rsidRPr="002A2F05">
              <w:rPr>
                <w:color w:val="auto"/>
              </w:rPr>
              <w:t>Unit cost: $1</w:t>
            </w:r>
            <w:r w:rsidR="00456E09" w:rsidRPr="002A2F05">
              <w:rPr>
                <w:color w:val="auto"/>
              </w:rPr>
              <w:t>18</w:t>
            </w:r>
          </w:p>
          <w:p w14:paraId="0D6242CD" w14:textId="77777777" w:rsidR="001A7B4A" w:rsidRPr="002A2F05" w:rsidRDefault="001A7B4A" w:rsidP="00CD0186">
            <w:pPr>
              <w:pStyle w:val="Tablebulletlevel1"/>
              <w:jc w:val="left"/>
              <w:rPr>
                <w:color w:val="auto"/>
              </w:rPr>
            </w:pPr>
            <w:r w:rsidRPr="002A2F05">
              <w:rPr>
                <w:color w:val="auto"/>
              </w:rPr>
              <w:t xml:space="preserve">Cost per treatment cycle: $14,160 </w:t>
            </w:r>
          </w:p>
        </w:tc>
        <w:tc>
          <w:tcPr>
            <w:tcW w:w="4727" w:type="dxa"/>
            <w:shd w:val="clear" w:color="auto" w:fill="auto"/>
            <w:vAlign w:val="center"/>
          </w:tcPr>
          <w:p w14:paraId="0DA977A3" w14:textId="4AA0FC9A" w:rsidR="001A7B4A" w:rsidRPr="002A2F05" w:rsidRDefault="001A7B4A" w:rsidP="00CD0186">
            <w:pPr>
              <w:pStyle w:val="Tablebulletlevel1"/>
              <w:jc w:val="left"/>
              <w:rPr>
                <w:color w:val="auto"/>
              </w:rPr>
            </w:pPr>
            <w:r w:rsidRPr="002A2F05">
              <w:rPr>
                <w:color w:val="auto"/>
              </w:rPr>
              <w:t>Calliditas</w:t>
            </w:r>
            <w:r w:rsidR="006B68BD">
              <w:rPr>
                <w:color w:val="auto"/>
              </w:rPr>
              <w:t xml:space="preserve"> Therapeutics, data on file</w:t>
            </w:r>
          </w:p>
        </w:tc>
      </w:tr>
      <w:tr w:rsidR="001A7B4A" w:rsidRPr="002A2F05" w14:paraId="267D78E4" w14:textId="77777777" w:rsidTr="00CD0186">
        <w:trPr>
          <w:trHeight w:val="20"/>
        </w:trPr>
        <w:tc>
          <w:tcPr>
            <w:tcW w:w="2105" w:type="dxa"/>
            <w:shd w:val="clear" w:color="auto" w:fill="auto"/>
            <w:vAlign w:val="center"/>
          </w:tcPr>
          <w:p w14:paraId="18509DDE" w14:textId="77777777" w:rsidR="001A7B4A" w:rsidRPr="002A2F05" w:rsidRDefault="001A7B4A" w:rsidP="00CD0186">
            <w:pPr>
              <w:pStyle w:val="Tablebulletlevel1"/>
              <w:numPr>
                <w:ilvl w:val="0"/>
                <w:numId w:val="0"/>
              </w:numPr>
              <w:jc w:val="left"/>
            </w:pPr>
            <w:r w:rsidRPr="002A2F05">
              <w:t>Administration cost (oral)</w:t>
            </w:r>
          </w:p>
        </w:tc>
        <w:tc>
          <w:tcPr>
            <w:tcW w:w="2512" w:type="dxa"/>
            <w:shd w:val="clear" w:color="auto" w:fill="auto"/>
            <w:vAlign w:val="center"/>
          </w:tcPr>
          <w:p w14:paraId="67C50132" w14:textId="77777777" w:rsidR="001A7B4A" w:rsidRPr="002A2F05" w:rsidRDefault="001A7B4A" w:rsidP="00CD0186">
            <w:pPr>
              <w:pStyle w:val="Tablebulletlevel1"/>
              <w:jc w:val="left"/>
              <w:rPr>
                <w:color w:val="auto"/>
              </w:rPr>
            </w:pPr>
            <w:r w:rsidRPr="002A2F05">
              <w:rPr>
                <w:color w:val="auto"/>
              </w:rPr>
              <w:t>$0</w:t>
            </w:r>
          </w:p>
        </w:tc>
        <w:tc>
          <w:tcPr>
            <w:tcW w:w="4727" w:type="dxa"/>
            <w:shd w:val="clear" w:color="auto" w:fill="auto"/>
            <w:vAlign w:val="center"/>
          </w:tcPr>
          <w:p w14:paraId="0BCBDA2C" w14:textId="77777777" w:rsidR="001A7B4A" w:rsidRPr="002A2F05" w:rsidRDefault="001A7B4A" w:rsidP="00CD0186">
            <w:pPr>
              <w:pStyle w:val="Tablebulletlevel1"/>
              <w:jc w:val="left"/>
              <w:rPr>
                <w:color w:val="auto"/>
              </w:rPr>
            </w:pPr>
            <w:r w:rsidRPr="002A2F05">
              <w:rPr>
                <w:color w:val="auto"/>
              </w:rPr>
              <w:t>Assumption</w:t>
            </w:r>
          </w:p>
        </w:tc>
      </w:tr>
      <w:tr w:rsidR="001A7B4A" w:rsidRPr="002A2F05" w14:paraId="2381D1F5" w14:textId="77777777" w:rsidTr="00CD0186">
        <w:trPr>
          <w:trHeight w:val="20"/>
        </w:trPr>
        <w:tc>
          <w:tcPr>
            <w:tcW w:w="2105" w:type="dxa"/>
            <w:shd w:val="clear" w:color="auto" w:fill="auto"/>
            <w:vAlign w:val="center"/>
          </w:tcPr>
          <w:p w14:paraId="3693916E" w14:textId="77777777" w:rsidR="001A7B4A" w:rsidRPr="002A2F05" w:rsidRDefault="001A7B4A" w:rsidP="00CD0186">
            <w:pPr>
              <w:pStyle w:val="Tablebulletlevel1"/>
              <w:numPr>
                <w:ilvl w:val="0"/>
                <w:numId w:val="0"/>
              </w:numPr>
              <w:jc w:val="left"/>
            </w:pPr>
            <w:r w:rsidRPr="002A2F05">
              <w:t>Dialysis costs</w:t>
            </w:r>
          </w:p>
        </w:tc>
        <w:tc>
          <w:tcPr>
            <w:tcW w:w="2512" w:type="dxa"/>
            <w:shd w:val="clear" w:color="auto" w:fill="auto"/>
            <w:vAlign w:val="center"/>
          </w:tcPr>
          <w:p w14:paraId="563EF131" w14:textId="3172F29F" w:rsidR="001A7B4A" w:rsidRPr="002A2F05" w:rsidRDefault="001A7B4A" w:rsidP="00CD0186">
            <w:pPr>
              <w:pStyle w:val="Tablebulletlevel1"/>
              <w:jc w:val="left"/>
              <w:rPr>
                <w:color w:val="auto"/>
              </w:rPr>
            </w:pPr>
            <w:r w:rsidRPr="002A2F05">
              <w:rPr>
                <w:color w:val="auto"/>
              </w:rPr>
              <w:t>Refer to</w:t>
            </w:r>
            <w:r w:rsidRPr="002A2F05">
              <w:rPr>
                <w:b/>
                <w:bCs w:val="0"/>
                <w:color w:val="auto"/>
              </w:rPr>
              <w:t xml:space="preserve"> </w:t>
            </w:r>
            <w:r w:rsidR="00620A3F" w:rsidRPr="002A2F05">
              <w:rPr>
                <w:color w:val="auto"/>
              </w:rPr>
              <w:t xml:space="preserve">Supplementary Table </w:t>
            </w:r>
            <w:r w:rsidR="00D91DEA">
              <w:rPr>
                <w:color w:val="auto"/>
              </w:rPr>
              <w:t>8</w:t>
            </w:r>
            <w:r w:rsidR="00620A3F" w:rsidRPr="002A2F05">
              <w:rPr>
                <w:color w:val="auto"/>
              </w:rPr>
              <w:t>.</w:t>
            </w:r>
          </w:p>
        </w:tc>
        <w:tc>
          <w:tcPr>
            <w:tcW w:w="4727" w:type="dxa"/>
            <w:shd w:val="clear" w:color="auto" w:fill="auto"/>
            <w:vAlign w:val="center"/>
          </w:tcPr>
          <w:p w14:paraId="47B7C289" w14:textId="209909ED" w:rsidR="001A7B4A" w:rsidRPr="002A2F05" w:rsidRDefault="001A7B4A" w:rsidP="00CD0186">
            <w:pPr>
              <w:pStyle w:val="Tablebulletlevel1"/>
              <w:jc w:val="left"/>
              <w:rPr>
                <w:color w:val="auto"/>
              </w:rPr>
            </w:pPr>
            <w:r w:rsidRPr="002A2F05">
              <w:rPr>
                <w:color w:val="auto"/>
              </w:rPr>
              <w:t>Hemodialysis – USRDS Medicare</w:t>
            </w:r>
            <w:r w:rsidRPr="002A2F05">
              <w:rPr>
                <w:color w:val="auto"/>
              </w:rPr>
              <w:fldChar w:fldCharType="begin"/>
            </w:r>
            <w:r w:rsidR="00BC31E6">
              <w:rPr>
                <w:color w:val="auto"/>
              </w:rPr>
              <w:instrText xml:space="preserve"> ADDIN ZOTERO_ITEM CSL_CITATION {"citationID":"acznt5cf","properties":{"formattedCitation":"\\super 39\\nosupersub{}","plainCitation":"39","noteIndex":0},"citationItems":[{"id":6300,"uris":["http://zotero.org/groups/2828856/items/65PP5MHX"],"itemData":{"id":6300,"type":"webpage","abstract":"Unites States Renal Data System Annual Data Report","container-title":"USRDS","language":"en","title":"Annual Data Report","URL":"https://adr.usrds.org/2020/end-stage-renal-disease/9-healthcare-expenditures-for-persons-with-esrd","accessed":{"date-parts":[["2021",6,25]]},"issued":{"date-parts":[["2021",6,25]]}}}],"schema":"https://github.com/citation-style-language/schema/raw/master/csl-citation.json"} </w:instrText>
            </w:r>
            <w:r w:rsidRPr="002A2F05">
              <w:rPr>
                <w:color w:val="auto"/>
              </w:rPr>
              <w:fldChar w:fldCharType="separate"/>
            </w:r>
            <w:r w:rsidR="00BC31E6" w:rsidRPr="00BC31E6">
              <w:rPr>
                <w:rFonts w:cs="Helvetica"/>
                <w:szCs w:val="24"/>
                <w:vertAlign w:val="superscript"/>
              </w:rPr>
              <w:t>39</w:t>
            </w:r>
            <w:r w:rsidRPr="002A2F05">
              <w:rPr>
                <w:color w:val="auto"/>
              </w:rPr>
              <w:fldChar w:fldCharType="end"/>
            </w:r>
            <w:r w:rsidRPr="002A2F05">
              <w:rPr>
                <w:color w:val="auto"/>
              </w:rPr>
              <w:t xml:space="preserve"> ($105,600) </w:t>
            </w:r>
          </w:p>
          <w:p w14:paraId="2F3BD35C" w14:textId="11912119" w:rsidR="001A7B4A" w:rsidRPr="002A2F05" w:rsidRDefault="001A7B4A" w:rsidP="00CD0186">
            <w:pPr>
              <w:pStyle w:val="Tablebulletlevel1"/>
              <w:jc w:val="left"/>
              <w:rPr>
                <w:color w:val="auto"/>
              </w:rPr>
            </w:pPr>
            <w:r w:rsidRPr="002A2F05">
              <w:rPr>
                <w:color w:val="auto"/>
              </w:rPr>
              <w:t>Peritoneal dialysis – USRDS (Medicare)</w:t>
            </w:r>
            <w:r w:rsidRPr="002A2F05">
              <w:rPr>
                <w:color w:val="auto"/>
              </w:rPr>
              <w:fldChar w:fldCharType="begin"/>
            </w:r>
            <w:r w:rsidR="00BC31E6">
              <w:rPr>
                <w:color w:val="auto"/>
              </w:rPr>
              <w:instrText xml:space="preserve"> ADDIN ZOTERO_ITEM CSL_CITATION {"citationID":"adffrLFW","properties":{"formattedCitation":"\\super 39\\nosupersub{}","plainCitation":"39","noteIndex":0},"citationItems":[{"id":6300,"uris":["http://zotero.org/groups/2828856/items/65PP5MHX"],"itemData":{"id":6300,"type":"webpage","abstract":"Unites States Renal Data System Annual Data Report","container-title":"USRDS","language":"en","title":"Annual Data Report","URL":"https://adr.usrds.org/2020/end-stage-renal-disease/9-healthcare-expenditures-for-persons-with-esrd","accessed":{"date-parts":[["2021",6,25]]},"issued":{"date-parts":[["2021",6,25]]}}}],"schema":"https://github.com/citation-style-language/schema/raw/master/csl-citation.json"} </w:instrText>
            </w:r>
            <w:r w:rsidRPr="002A2F05">
              <w:rPr>
                <w:color w:val="auto"/>
              </w:rPr>
              <w:fldChar w:fldCharType="separate"/>
            </w:r>
            <w:r w:rsidR="00BC31E6" w:rsidRPr="00BC31E6">
              <w:rPr>
                <w:rFonts w:cs="Helvetica"/>
                <w:szCs w:val="24"/>
                <w:vertAlign w:val="superscript"/>
              </w:rPr>
              <w:t>39</w:t>
            </w:r>
            <w:r w:rsidRPr="002A2F05">
              <w:rPr>
                <w:color w:val="auto"/>
              </w:rPr>
              <w:fldChar w:fldCharType="end"/>
            </w:r>
            <w:r w:rsidRPr="002A2F05">
              <w:rPr>
                <w:color w:val="auto"/>
              </w:rPr>
              <w:t xml:space="preserve"> ($89,226)</w:t>
            </w:r>
          </w:p>
          <w:p w14:paraId="4E0180B3" w14:textId="5F6359BC" w:rsidR="00D77F65" w:rsidRPr="002A2F05" w:rsidRDefault="00BE7405" w:rsidP="00CD0186">
            <w:pPr>
              <w:pStyle w:val="Tablebulletlevel1"/>
              <w:jc w:val="left"/>
              <w:rPr>
                <w:color w:val="auto"/>
              </w:rPr>
            </w:pPr>
            <w:r w:rsidRPr="002A2F05">
              <w:rPr>
                <w:color w:val="auto"/>
              </w:rPr>
              <w:t xml:space="preserve">Hemodialysis – Commercial </w:t>
            </w:r>
            <w:r w:rsidR="00BE6DD3" w:rsidRPr="002A2F05">
              <w:rPr>
                <w:color w:val="auto"/>
              </w:rPr>
              <w:t>($276,295)</w:t>
            </w:r>
            <w:r w:rsidR="00C76101" w:rsidRPr="002A2F05">
              <w:rPr>
                <w:color w:val="auto"/>
              </w:rPr>
              <w:fldChar w:fldCharType="begin"/>
            </w:r>
            <w:r w:rsidR="00BC31E6">
              <w:rPr>
                <w:color w:val="auto"/>
              </w:rPr>
              <w:instrText xml:space="preserve"> ADDIN ZOTERO_ITEM CSL_CITATION {"citationID":"pbS9tyYy","properties":{"formattedCitation":"\\super 40\\nosupersub{}","plainCitation":"40","noteIndex":0},"citationItems":[{"id":7769,"uris":["http://zotero.org/groups/2828856/items/LDGRYE2J"],"itemData":{"id":7769,"type":"document","title":"Kidney Resource Services - Network Access","URL":"https://www.optum.com/content/dam/optum3/optum/en/resources/white-papers/kidney-resources-services-network-access.pdf","author":[{"family":"OPTUM","given":""}],"issued":{"date-parts":[["2017"]]}}}],"schema":"https://github.com/citation-style-language/schema/raw/master/csl-citation.json"} </w:instrText>
            </w:r>
            <w:r w:rsidR="00C76101" w:rsidRPr="002A2F05">
              <w:rPr>
                <w:color w:val="auto"/>
              </w:rPr>
              <w:fldChar w:fldCharType="separate"/>
            </w:r>
            <w:r w:rsidR="00BC31E6" w:rsidRPr="00BC31E6">
              <w:rPr>
                <w:rFonts w:cs="Helvetica"/>
                <w:szCs w:val="24"/>
                <w:vertAlign w:val="superscript"/>
              </w:rPr>
              <w:t>40</w:t>
            </w:r>
            <w:r w:rsidR="00C76101" w:rsidRPr="002A2F05">
              <w:rPr>
                <w:color w:val="auto"/>
              </w:rPr>
              <w:fldChar w:fldCharType="end"/>
            </w:r>
          </w:p>
          <w:p w14:paraId="6FAEE486" w14:textId="40D5586E" w:rsidR="00BE7405" w:rsidRPr="002A2F05" w:rsidRDefault="00BE7405" w:rsidP="00CD0186">
            <w:pPr>
              <w:pStyle w:val="Tablebulletlevel1"/>
              <w:jc w:val="left"/>
              <w:rPr>
                <w:color w:val="auto"/>
              </w:rPr>
            </w:pPr>
            <w:r w:rsidRPr="002A2F05">
              <w:rPr>
                <w:color w:val="auto"/>
              </w:rPr>
              <w:t>Peritoneal dialysis – Commercial</w:t>
            </w:r>
            <w:r w:rsidR="00BE6DD3" w:rsidRPr="002A2F05">
              <w:rPr>
                <w:color w:val="auto"/>
              </w:rPr>
              <w:t xml:space="preserve"> (</w:t>
            </w:r>
            <w:r w:rsidR="00FA2A8A" w:rsidRPr="002A2F05">
              <w:rPr>
                <w:color w:val="auto"/>
              </w:rPr>
              <w:t>$233,453)</w:t>
            </w:r>
            <w:r w:rsidR="00DB5E3A" w:rsidRPr="002A2F05">
              <w:rPr>
                <w:color w:val="auto"/>
              </w:rPr>
              <w:t xml:space="preserve"> </w:t>
            </w:r>
            <w:r w:rsidR="00DB5E3A" w:rsidRPr="002A2F05">
              <w:rPr>
                <w:color w:val="auto"/>
              </w:rPr>
              <w:fldChar w:fldCharType="begin"/>
            </w:r>
            <w:r w:rsidR="00BC31E6">
              <w:rPr>
                <w:color w:val="auto"/>
              </w:rPr>
              <w:instrText xml:space="preserve"> ADDIN ZOTERO_ITEM CSL_CITATION {"citationID":"XNfj9zWD","properties":{"formattedCitation":"\\super 40\\nosupersub{}","plainCitation":"40","noteIndex":0},"citationItems":[{"id":7769,"uris":["http://zotero.org/groups/2828856/items/LDGRYE2J"],"itemData":{"id":7769,"type":"document","title":"Kidney Resource Services - Network Access","URL":"https://www.optum.com/content/dam/optum3/optum/en/resources/white-papers/kidney-resources-services-network-access.pdf","author":[{"family":"OPTUM","given":""}],"issued":{"date-parts":[["2017"]]}}}],"schema":"https://github.com/citation-style-language/schema/raw/master/csl-citation.json"} </w:instrText>
            </w:r>
            <w:r w:rsidR="00DB5E3A" w:rsidRPr="002A2F05">
              <w:rPr>
                <w:color w:val="auto"/>
              </w:rPr>
              <w:fldChar w:fldCharType="separate"/>
            </w:r>
            <w:r w:rsidR="00BC31E6" w:rsidRPr="00BC31E6">
              <w:rPr>
                <w:rFonts w:cs="Helvetica"/>
                <w:szCs w:val="24"/>
                <w:vertAlign w:val="superscript"/>
              </w:rPr>
              <w:t>40</w:t>
            </w:r>
            <w:r w:rsidR="00DB5E3A" w:rsidRPr="002A2F05">
              <w:rPr>
                <w:color w:val="auto"/>
              </w:rPr>
              <w:fldChar w:fldCharType="end"/>
            </w:r>
          </w:p>
        </w:tc>
      </w:tr>
      <w:tr w:rsidR="001A7B4A" w:rsidRPr="002A2F05" w14:paraId="36613E92" w14:textId="77777777" w:rsidTr="00CD0186">
        <w:trPr>
          <w:trHeight w:val="20"/>
        </w:trPr>
        <w:tc>
          <w:tcPr>
            <w:tcW w:w="2105" w:type="dxa"/>
            <w:shd w:val="clear" w:color="auto" w:fill="auto"/>
            <w:vAlign w:val="center"/>
          </w:tcPr>
          <w:p w14:paraId="46605F6C" w14:textId="77777777" w:rsidR="001A7B4A" w:rsidRPr="002A2F05" w:rsidRDefault="001A7B4A" w:rsidP="00CD0186">
            <w:pPr>
              <w:pStyle w:val="Tablebulletlevel1"/>
              <w:numPr>
                <w:ilvl w:val="0"/>
                <w:numId w:val="0"/>
              </w:numPr>
              <w:jc w:val="left"/>
            </w:pPr>
            <w:r w:rsidRPr="002A2F05">
              <w:t>Kidney transplant costs</w:t>
            </w:r>
          </w:p>
        </w:tc>
        <w:tc>
          <w:tcPr>
            <w:tcW w:w="2512" w:type="dxa"/>
            <w:shd w:val="clear" w:color="auto" w:fill="auto"/>
            <w:vAlign w:val="center"/>
          </w:tcPr>
          <w:p w14:paraId="7A398DA5" w14:textId="7EBD9FAF" w:rsidR="001A7B4A" w:rsidRPr="002A2F05" w:rsidRDefault="001A7B4A" w:rsidP="00CD0186">
            <w:pPr>
              <w:pStyle w:val="Tablebulletlevel1"/>
              <w:jc w:val="left"/>
              <w:rPr>
                <w:color w:val="auto"/>
              </w:rPr>
            </w:pPr>
            <w:r w:rsidRPr="002A2F05">
              <w:rPr>
                <w:color w:val="auto"/>
              </w:rPr>
              <w:t>$453,703 (</w:t>
            </w:r>
            <w:r w:rsidR="00620A3F" w:rsidRPr="002A2F05">
              <w:rPr>
                <w:color w:val="auto"/>
              </w:rPr>
              <w:t xml:space="preserve">Supplementary Table </w:t>
            </w:r>
            <w:r w:rsidR="00D91DEA">
              <w:rPr>
                <w:color w:val="auto"/>
              </w:rPr>
              <w:t>8</w:t>
            </w:r>
            <w:r w:rsidRPr="002A2F05">
              <w:rPr>
                <w:color w:val="auto"/>
              </w:rPr>
              <w:t>)</w:t>
            </w:r>
          </w:p>
        </w:tc>
        <w:tc>
          <w:tcPr>
            <w:tcW w:w="4727" w:type="dxa"/>
            <w:shd w:val="clear" w:color="auto" w:fill="auto"/>
            <w:vAlign w:val="center"/>
          </w:tcPr>
          <w:p w14:paraId="0CFBE3DD" w14:textId="7316BA34" w:rsidR="001A7B4A" w:rsidRPr="002A2F05" w:rsidRDefault="001A7B4A" w:rsidP="00CD0186">
            <w:pPr>
              <w:pStyle w:val="Tablebulletlevel1"/>
              <w:jc w:val="left"/>
              <w:rPr>
                <w:color w:val="auto"/>
              </w:rPr>
            </w:pPr>
            <w:r w:rsidRPr="002A2F05">
              <w:rPr>
                <w:color w:val="auto"/>
              </w:rPr>
              <w:t>Millman, 2020</w:t>
            </w:r>
            <w:r w:rsidRPr="002A2F05">
              <w:rPr>
                <w:color w:val="auto"/>
              </w:rPr>
              <w:fldChar w:fldCharType="begin"/>
            </w:r>
            <w:r w:rsidR="00BC31E6">
              <w:rPr>
                <w:color w:val="auto"/>
              </w:rPr>
              <w:instrText xml:space="preserve"> ADDIN ZOTERO_ITEM CSL_CITATION {"citationID":"zraxeUNk","properties":{"formattedCitation":"\\super 41\\nosupersub{}","plainCitation":"41","noteIndex":0},"citationItems":[{"id":6308,"uris":["http://zotero.org/groups/2828856/items/JP6GVDCP"],"itemData":{"id":6308,"type":"article-journal","language":"en","page":"24","source":"Zotero","title":"2020 U.S. organ and tissue transplants","issued":{"date-parts":[["2020"]]}}}],"schema":"https://github.com/citation-style-language/schema/raw/master/csl-citation.json"} </w:instrText>
            </w:r>
            <w:r w:rsidRPr="002A2F05">
              <w:rPr>
                <w:color w:val="auto"/>
              </w:rPr>
              <w:fldChar w:fldCharType="separate"/>
            </w:r>
            <w:r w:rsidR="00BC31E6" w:rsidRPr="00BC31E6">
              <w:rPr>
                <w:rFonts w:cs="Helvetica"/>
                <w:szCs w:val="24"/>
                <w:vertAlign w:val="superscript"/>
              </w:rPr>
              <w:t>41</w:t>
            </w:r>
            <w:r w:rsidRPr="002A2F05">
              <w:rPr>
                <w:color w:val="auto"/>
              </w:rPr>
              <w:fldChar w:fldCharType="end"/>
            </w:r>
          </w:p>
        </w:tc>
      </w:tr>
      <w:tr w:rsidR="001A7B4A" w:rsidRPr="002A2F05" w14:paraId="2A79620C" w14:textId="77777777" w:rsidTr="00CD0186">
        <w:trPr>
          <w:trHeight w:val="20"/>
        </w:trPr>
        <w:tc>
          <w:tcPr>
            <w:tcW w:w="2105" w:type="dxa"/>
            <w:shd w:val="clear" w:color="auto" w:fill="auto"/>
            <w:vAlign w:val="center"/>
          </w:tcPr>
          <w:p w14:paraId="4BAA441A" w14:textId="77777777" w:rsidR="001A7B4A" w:rsidRPr="002A2F05" w:rsidRDefault="001A7B4A" w:rsidP="00CD0186">
            <w:pPr>
              <w:pStyle w:val="Tablebulletlevel1"/>
              <w:numPr>
                <w:ilvl w:val="0"/>
                <w:numId w:val="0"/>
              </w:numPr>
              <w:jc w:val="left"/>
            </w:pPr>
            <w:r w:rsidRPr="002A2F05">
              <w:t>AE costs outpatient</w:t>
            </w:r>
          </w:p>
        </w:tc>
        <w:tc>
          <w:tcPr>
            <w:tcW w:w="2512" w:type="dxa"/>
            <w:shd w:val="clear" w:color="auto" w:fill="auto"/>
            <w:vAlign w:val="center"/>
          </w:tcPr>
          <w:p w14:paraId="5E0363D9" w14:textId="107A34F4" w:rsidR="001A7B4A" w:rsidRPr="002A2F05" w:rsidRDefault="001A7B4A" w:rsidP="00CD0186">
            <w:pPr>
              <w:pStyle w:val="Tablebulletlevel1"/>
              <w:jc w:val="left"/>
              <w:rPr>
                <w:color w:val="auto"/>
              </w:rPr>
            </w:pPr>
            <w:r w:rsidRPr="002A2F05">
              <w:rPr>
                <w:color w:val="auto"/>
              </w:rPr>
              <w:t xml:space="preserve">Refer to </w:t>
            </w:r>
            <w:r w:rsidR="00C768A2" w:rsidRPr="002A2F05">
              <w:rPr>
                <w:color w:val="auto"/>
              </w:rPr>
              <w:t xml:space="preserve">Supplementary Table </w:t>
            </w:r>
            <w:r w:rsidR="002F4771">
              <w:rPr>
                <w:color w:val="auto"/>
              </w:rPr>
              <w:t>7</w:t>
            </w:r>
            <w:r w:rsidR="00C768A2" w:rsidRPr="002A2F05">
              <w:rPr>
                <w:color w:val="auto"/>
              </w:rPr>
              <w:t>.</w:t>
            </w:r>
          </w:p>
        </w:tc>
        <w:tc>
          <w:tcPr>
            <w:tcW w:w="4727" w:type="dxa"/>
            <w:shd w:val="clear" w:color="auto" w:fill="auto"/>
            <w:vAlign w:val="center"/>
          </w:tcPr>
          <w:p w14:paraId="43B0BCB1" w14:textId="4FAE983D" w:rsidR="00EB2FFD" w:rsidRPr="002A2F05" w:rsidRDefault="00EB2FFD" w:rsidP="00EB2FFD">
            <w:pPr>
              <w:pStyle w:val="Tablebulletlevel1"/>
              <w:numPr>
                <w:ilvl w:val="0"/>
                <w:numId w:val="0"/>
              </w:numPr>
              <w:jc w:val="left"/>
              <w:rPr>
                <w:color w:val="auto"/>
              </w:rPr>
            </w:pPr>
            <w:r w:rsidRPr="002A2F05">
              <w:rPr>
                <w:color w:val="auto"/>
              </w:rPr>
              <w:t>CPT Unit cost – 99213 ($68.04) applied to the following AEs:</w:t>
            </w:r>
          </w:p>
          <w:p w14:paraId="40B3CE9F" w14:textId="3D438023" w:rsidR="00EB2FFD" w:rsidRPr="002A2F05" w:rsidRDefault="00EB2FFD" w:rsidP="00EB2FFD">
            <w:pPr>
              <w:pStyle w:val="Tablebulletlevel1"/>
              <w:jc w:val="left"/>
              <w:rPr>
                <w:color w:val="auto"/>
              </w:rPr>
            </w:pPr>
            <w:r w:rsidRPr="002A2F05">
              <w:rPr>
                <w:color w:val="auto"/>
              </w:rPr>
              <w:t>Acne</w:t>
            </w:r>
          </w:p>
          <w:p w14:paraId="6674C0B6" w14:textId="7676DBCE" w:rsidR="001A7B4A" w:rsidRPr="002A2F05" w:rsidRDefault="001A7B4A" w:rsidP="00CD0186">
            <w:pPr>
              <w:pStyle w:val="Tablebulletlevel1"/>
              <w:jc w:val="left"/>
              <w:rPr>
                <w:color w:val="auto"/>
              </w:rPr>
            </w:pPr>
            <w:r w:rsidRPr="002A2F05">
              <w:rPr>
                <w:color w:val="auto"/>
              </w:rPr>
              <w:t xml:space="preserve">Weight increase – </w:t>
            </w:r>
          </w:p>
          <w:p w14:paraId="2811FA42" w14:textId="6D0DDB31" w:rsidR="001A7B4A" w:rsidRPr="002A2F05" w:rsidRDefault="001A7B4A" w:rsidP="00CD0186">
            <w:pPr>
              <w:pStyle w:val="Tablebulletlevel1"/>
              <w:jc w:val="left"/>
              <w:rPr>
                <w:color w:val="auto"/>
              </w:rPr>
            </w:pPr>
            <w:r w:rsidRPr="002A2F05">
              <w:rPr>
                <w:color w:val="auto"/>
              </w:rPr>
              <w:t>Hypertension</w:t>
            </w:r>
          </w:p>
          <w:p w14:paraId="54BA7E48" w14:textId="22FBE948" w:rsidR="001A7B4A" w:rsidRPr="002A2F05" w:rsidRDefault="001A7B4A" w:rsidP="00CD0186">
            <w:pPr>
              <w:pStyle w:val="Tablebulletlevel1"/>
              <w:jc w:val="left"/>
              <w:rPr>
                <w:color w:val="auto"/>
              </w:rPr>
            </w:pPr>
            <w:r w:rsidRPr="002A2F05">
              <w:rPr>
                <w:color w:val="auto"/>
              </w:rPr>
              <w:lastRenderedPageBreak/>
              <w:t>Headache</w:t>
            </w:r>
          </w:p>
          <w:p w14:paraId="118B74DD" w14:textId="06B85D30" w:rsidR="001A7B4A" w:rsidRPr="002A2F05" w:rsidRDefault="001A7B4A" w:rsidP="00CD0186">
            <w:pPr>
              <w:pStyle w:val="Tablebulletlevel1"/>
              <w:jc w:val="left"/>
              <w:rPr>
                <w:color w:val="auto"/>
              </w:rPr>
            </w:pPr>
            <w:r w:rsidRPr="002A2F05">
              <w:rPr>
                <w:color w:val="auto"/>
              </w:rPr>
              <w:t>Edema peripheral</w:t>
            </w:r>
          </w:p>
          <w:p w14:paraId="2E0EFA8F" w14:textId="0E5DE4DC" w:rsidR="001A7B4A" w:rsidRPr="002A2F05" w:rsidRDefault="001A7B4A" w:rsidP="00CD0186">
            <w:pPr>
              <w:pStyle w:val="Tablebulletlevel1"/>
              <w:jc w:val="left"/>
              <w:rPr>
                <w:color w:val="auto"/>
              </w:rPr>
            </w:pPr>
            <w:r w:rsidRPr="002A2F05">
              <w:rPr>
                <w:color w:val="auto"/>
              </w:rPr>
              <w:t>Dyspepsia</w:t>
            </w:r>
          </w:p>
          <w:p w14:paraId="0FAF033D" w14:textId="1F08268E" w:rsidR="001A7B4A" w:rsidRPr="002A2F05" w:rsidRDefault="001A7B4A" w:rsidP="00CD0186">
            <w:pPr>
              <w:pStyle w:val="Tablebulletlevel1"/>
              <w:jc w:val="left"/>
              <w:rPr>
                <w:color w:val="auto"/>
              </w:rPr>
            </w:pPr>
            <w:r w:rsidRPr="002A2F05">
              <w:rPr>
                <w:color w:val="auto"/>
              </w:rPr>
              <w:t>Mood swings</w:t>
            </w:r>
          </w:p>
          <w:p w14:paraId="481BF2FB" w14:textId="4AAF0411" w:rsidR="001A7B4A" w:rsidRPr="002A2F05" w:rsidRDefault="001A7B4A" w:rsidP="00CD0186">
            <w:pPr>
              <w:pStyle w:val="Tablebulletlevel1"/>
              <w:jc w:val="left"/>
              <w:rPr>
                <w:color w:val="auto"/>
              </w:rPr>
            </w:pPr>
            <w:r w:rsidRPr="002A2F05">
              <w:rPr>
                <w:color w:val="auto"/>
              </w:rPr>
              <w:t>Face edema</w:t>
            </w:r>
          </w:p>
          <w:p w14:paraId="73456D62" w14:textId="74521954" w:rsidR="001A7B4A" w:rsidRPr="002A2F05" w:rsidRDefault="001A7B4A" w:rsidP="00CD0186">
            <w:pPr>
              <w:pStyle w:val="Tablebulletlevel1"/>
              <w:jc w:val="left"/>
              <w:rPr>
                <w:color w:val="auto"/>
              </w:rPr>
            </w:pPr>
            <w:r w:rsidRPr="002A2F05">
              <w:rPr>
                <w:color w:val="auto"/>
              </w:rPr>
              <w:t>Cushingoid</w:t>
            </w:r>
          </w:p>
          <w:p w14:paraId="49823F83" w14:textId="15372906" w:rsidR="001A7B4A" w:rsidRPr="002A2F05" w:rsidRDefault="001A7B4A" w:rsidP="00CD0186">
            <w:pPr>
              <w:pStyle w:val="Tablebulletlevel1"/>
              <w:jc w:val="left"/>
              <w:rPr>
                <w:color w:val="auto"/>
              </w:rPr>
            </w:pPr>
            <w:r w:rsidRPr="002A2F05">
              <w:rPr>
                <w:color w:val="auto"/>
              </w:rPr>
              <w:t>Hirsutism</w:t>
            </w:r>
          </w:p>
          <w:p w14:paraId="24CB689F" w14:textId="7A4855C9" w:rsidR="001A7B4A" w:rsidRPr="002A2F05" w:rsidRDefault="001A7B4A" w:rsidP="00CD0186">
            <w:pPr>
              <w:pStyle w:val="Tablebulletlevel1"/>
              <w:jc w:val="left"/>
              <w:rPr>
                <w:color w:val="auto"/>
              </w:rPr>
            </w:pPr>
            <w:r w:rsidRPr="002A2F05">
              <w:rPr>
                <w:color w:val="auto"/>
              </w:rPr>
              <w:t>Upper respiratory tract infection</w:t>
            </w:r>
          </w:p>
        </w:tc>
      </w:tr>
      <w:tr w:rsidR="001A7B4A" w:rsidRPr="002A2F05" w14:paraId="59694919" w14:textId="77777777" w:rsidTr="00CD0186">
        <w:trPr>
          <w:trHeight w:val="20"/>
        </w:trPr>
        <w:tc>
          <w:tcPr>
            <w:tcW w:w="2105" w:type="dxa"/>
            <w:shd w:val="clear" w:color="auto" w:fill="auto"/>
            <w:vAlign w:val="center"/>
          </w:tcPr>
          <w:p w14:paraId="0DB32860" w14:textId="77777777" w:rsidR="001A7B4A" w:rsidRPr="002A2F05" w:rsidRDefault="001A7B4A" w:rsidP="00CD0186">
            <w:pPr>
              <w:pStyle w:val="Tablebulletlevel1"/>
              <w:numPr>
                <w:ilvl w:val="0"/>
                <w:numId w:val="0"/>
              </w:numPr>
              <w:jc w:val="left"/>
            </w:pPr>
            <w:r w:rsidRPr="002A2F05">
              <w:lastRenderedPageBreak/>
              <w:t>AE costs inpatient</w:t>
            </w:r>
          </w:p>
        </w:tc>
        <w:tc>
          <w:tcPr>
            <w:tcW w:w="2512" w:type="dxa"/>
            <w:shd w:val="clear" w:color="auto" w:fill="auto"/>
            <w:vAlign w:val="center"/>
          </w:tcPr>
          <w:p w14:paraId="2D209F54" w14:textId="1AFB4BBE" w:rsidR="001A7B4A" w:rsidRPr="002A2F05" w:rsidRDefault="001A7B4A" w:rsidP="00CD0186">
            <w:pPr>
              <w:pStyle w:val="Tablebulletlevel1"/>
              <w:jc w:val="left"/>
              <w:rPr>
                <w:color w:val="auto"/>
              </w:rPr>
            </w:pPr>
            <w:r w:rsidRPr="002A2F05">
              <w:rPr>
                <w:color w:val="auto"/>
              </w:rPr>
              <w:t xml:space="preserve">Various; refer to </w:t>
            </w:r>
            <w:r w:rsidR="00C768A2" w:rsidRPr="002A2F05">
              <w:rPr>
                <w:color w:val="auto"/>
              </w:rPr>
              <w:t xml:space="preserve">Supplementary Table </w:t>
            </w:r>
            <w:r w:rsidR="002F4771">
              <w:rPr>
                <w:color w:val="auto"/>
              </w:rPr>
              <w:t>7</w:t>
            </w:r>
            <w:r w:rsidR="00C768A2" w:rsidRPr="002A2F05">
              <w:rPr>
                <w:color w:val="auto"/>
              </w:rPr>
              <w:t>.</w:t>
            </w:r>
          </w:p>
        </w:tc>
        <w:tc>
          <w:tcPr>
            <w:tcW w:w="4727" w:type="dxa"/>
            <w:shd w:val="clear" w:color="auto" w:fill="auto"/>
            <w:vAlign w:val="center"/>
          </w:tcPr>
          <w:p w14:paraId="578D12AF" w14:textId="45E7020D" w:rsidR="001A7B4A" w:rsidRPr="002A2F05" w:rsidRDefault="001A7B4A" w:rsidP="00CD0186">
            <w:pPr>
              <w:pStyle w:val="Tablebulletlevel1"/>
              <w:numPr>
                <w:ilvl w:val="0"/>
                <w:numId w:val="0"/>
              </w:numPr>
              <w:jc w:val="left"/>
              <w:rPr>
                <w:color w:val="auto"/>
              </w:rPr>
            </w:pPr>
            <w:r w:rsidRPr="002A2F05">
              <w:rPr>
                <w:color w:val="auto"/>
              </w:rPr>
              <w:t>From HCUP.net</w:t>
            </w:r>
            <w:r w:rsidRPr="002A2F05">
              <w:rPr>
                <w:color w:val="auto"/>
              </w:rPr>
              <w:fldChar w:fldCharType="begin"/>
            </w:r>
            <w:r w:rsidR="00BC31E6">
              <w:rPr>
                <w:color w:val="auto"/>
              </w:rPr>
              <w:instrText xml:space="preserve"> ADDIN ZOTERO_ITEM CSL_CITATION {"citationID":"arRrBkBY","properties":{"formattedCitation":"\\super 37\\nosupersub{}","plainCitation":"37","noteIndex":0},"citationItems":[{"id":3916,"uris":["http://zotero.org/groups/2828856/items/8FB83NZZ"],"itemData":{"id":3916,"type":"webpage","abstract":"HCUPnet is a free, on-line query system based on data from the Healthcare Cost and Utilization Project (HCUP). It provides access to health statistics and information on hospital inpatient and emergency department utilization.","container-title":"HCUPnet","language":"en","title":"HCUPnet","URL":"https://hcupnet.ahrq.gov/","accessed":{"date-parts":[["2021",4,15]]},"issued":{"date-parts":[["2015"]]}}}],"schema":"https://github.com/citation-style-language/schema/raw/master/csl-citation.json"} </w:instrText>
            </w:r>
            <w:r w:rsidRPr="002A2F05">
              <w:rPr>
                <w:color w:val="auto"/>
              </w:rPr>
              <w:fldChar w:fldCharType="separate"/>
            </w:r>
            <w:r w:rsidR="00BC31E6" w:rsidRPr="00BC31E6">
              <w:rPr>
                <w:rFonts w:cs="Helvetica"/>
                <w:sz w:val="20"/>
                <w:szCs w:val="24"/>
                <w:vertAlign w:val="superscript"/>
              </w:rPr>
              <w:t>37</w:t>
            </w:r>
            <w:r w:rsidRPr="002A2F05">
              <w:rPr>
                <w:color w:val="auto"/>
              </w:rPr>
              <w:fldChar w:fldCharType="end"/>
            </w:r>
            <w:r w:rsidRPr="002A2F05">
              <w:rPr>
                <w:color w:val="auto"/>
              </w:rPr>
              <w:t>:</w:t>
            </w:r>
          </w:p>
          <w:p w14:paraId="5A12B41E" w14:textId="77777777" w:rsidR="001A7B4A" w:rsidRPr="002A2F05" w:rsidRDefault="001A7B4A" w:rsidP="00CD0186">
            <w:pPr>
              <w:pStyle w:val="Tablebulletlevel1"/>
              <w:jc w:val="left"/>
              <w:rPr>
                <w:color w:val="auto"/>
              </w:rPr>
            </w:pPr>
            <w:r w:rsidRPr="002A2F05">
              <w:rPr>
                <w:color w:val="auto"/>
              </w:rPr>
              <w:t>Acne – NA</w:t>
            </w:r>
          </w:p>
          <w:p w14:paraId="1A94B5FF" w14:textId="77777777" w:rsidR="001A7B4A" w:rsidRPr="002A2F05" w:rsidRDefault="001A7B4A" w:rsidP="00CD0186">
            <w:pPr>
              <w:pStyle w:val="Tablebulletlevel1"/>
              <w:jc w:val="left"/>
              <w:rPr>
                <w:color w:val="auto"/>
              </w:rPr>
            </w:pPr>
            <w:r w:rsidRPr="002A2F05">
              <w:rPr>
                <w:color w:val="auto"/>
              </w:rPr>
              <w:t>Weight increase – NA</w:t>
            </w:r>
          </w:p>
          <w:p w14:paraId="5616BBF8" w14:textId="77777777" w:rsidR="001A7B4A" w:rsidRPr="002A2F05" w:rsidRDefault="001A7B4A" w:rsidP="00CD0186">
            <w:pPr>
              <w:pStyle w:val="Tablebulletlevel1"/>
              <w:jc w:val="left"/>
              <w:rPr>
                <w:color w:val="auto"/>
              </w:rPr>
            </w:pPr>
            <w:r w:rsidRPr="002A2F05">
              <w:rPr>
                <w:color w:val="auto"/>
              </w:rPr>
              <w:t>Hypertension – HCUPnet MS-DRG 305 ($28,905)</w:t>
            </w:r>
          </w:p>
          <w:p w14:paraId="41360C1C" w14:textId="77777777" w:rsidR="001A7B4A" w:rsidRPr="002A2F05" w:rsidRDefault="001A7B4A" w:rsidP="00CD0186">
            <w:pPr>
              <w:pStyle w:val="Tablebulletlevel1"/>
              <w:jc w:val="left"/>
              <w:rPr>
                <w:color w:val="auto"/>
              </w:rPr>
            </w:pPr>
            <w:r w:rsidRPr="002A2F05">
              <w:rPr>
                <w:color w:val="auto"/>
              </w:rPr>
              <w:t>Headache – HCUPnet MS-DRG 103 ($32,279)</w:t>
            </w:r>
          </w:p>
          <w:p w14:paraId="517B610B" w14:textId="77777777" w:rsidR="001A7B4A" w:rsidRPr="002A2F05" w:rsidRDefault="001A7B4A" w:rsidP="00CD0186">
            <w:pPr>
              <w:pStyle w:val="Tablebulletlevel1"/>
              <w:jc w:val="left"/>
              <w:rPr>
                <w:color w:val="auto"/>
              </w:rPr>
            </w:pPr>
            <w:r w:rsidRPr="002A2F05">
              <w:rPr>
                <w:color w:val="auto"/>
              </w:rPr>
              <w:t>Edema peripheral – HCUPnet ICD-9 782.3 ($25,511)</w:t>
            </w:r>
          </w:p>
          <w:p w14:paraId="0546B8CB" w14:textId="77777777" w:rsidR="001A7B4A" w:rsidRPr="002A2F05" w:rsidRDefault="001A7B4A" w:rsidP="00CD0186">
            <w:pPr>
              <w:pStyle w:val="Tablebulletlevel1"/>
              <w:jc w:val="left"/>
              <w:rPr>
                <w:color w:val="auto"/>
              </w:rPr>
            </w:pPr>
            <w:r w:rsidRPr="002A2F05">
              <w:rPr>
                <w:color w:val="auto"/>
              </w:rPr>
              <w:t>Dyspepsia – HCUPnet ICD-9 536.8 ($41,116)</w:t>
            </w:r>
          </w:p>
          <w:p w14:paraId="052BF667" w14:textId="77777777" w:rsidR="001A7B4A" w:rsidRPr="002A2F05" w:rsidRDefault="001A7B4A" w:rsidP="00CD0186">
            <w:pPr>
              <w:pStyle w:val="Tablebulletlevel1"/>
              <w:jc w:val="left"/>
              <w:rPr>
                <w:color w:val="auto"/>
              </w:rPr>
            </w:pPr>
            <w:r w:rsidRPr="002A2F05">
              <w:rPr>
                <w:color w:val="auto"/>
              </w:rPr>
              <w:t>Mood swings – HCUPnet ICD-9 296.99 ($22,084)</w:t>
            </w:r>
          </w:p>
          <w:p w14:paraId="029878CE" w14:textId="77777777" w:rsidR="001A7B4A" w:rsidRPr="002A2F05" w:rsidRDefault="001A7B4A" w:rsidP="00CD0186">
            <w:pPr>
              <w:pStyle w:val="Tablebulletlevel1"/>
              <w:jc w:val="left"/>
              <w:rPr>
                <w:color w:val="auto"/>
              </w:rPr>
            </w:pPr>
            <w:r w:rsidRPr="002A2F05">
              <w:rPr>
                <w:color w:val="auto"/>
              </w:rPr>
              <w:t>Face edema – HCUPnet ICD-9 784.2 ($33,018)</w:t>
            </w:r>
          </w:p>
          <w:p w14:paraId="2E5F30D5" w14:textId="77777777" w:rsidR="001A7B4A" w:rsidRPr="002A2F05" w:rsidRDefault="001A7B4A" w:rsidP="00CD0186">
            <w:pPr>
              <w:pStyle w:val="Tablebulletlevel1"/>
              <w:jc w:val="left"/>
              <w:rPr>
                <w:color w:val="auto"/>
              </w:rPr>
            </w:pPr>
            <w:r w:rsidRPr="002A2F05">
              <w:rPr>
                <w:color w:val="auto"/>
              </w:rPr>
              <w:t>Cushingoid – HCUPnet ICD-9 255 ($80,315)</w:t>
            </w:r>
          </w:p>
          <w:p w14:paraId="14E1257D" w14:textId="77777777" w:rsidR="001A7B4A" w:rsidRPr="002A2F05" w:rsidRDefault="001A7B4A" w:rsidP="00CD0186">
            <w:pPr>
              <w:pStyle w:val="Tablebulletlevel1"/>
              <w:jc w:val="left"/>
              <w:rPr>
                <w:color w:val="auto"/>
              </w:rPr>
            </w:pPr>
            <w:r w:rsidRPr="002A2F05">
              <w:rPr>
                <w:color w:val="auto"/>
              </w:rPr>
              <w:t>Hirsutism – HCUPnet ICD-9 704.1 ($59,767)</w:t>
            </w:r>
          </w:p>
          <w:p w14:paraId="1C67E92E" w14:textId="77777777" w:rsidR="001A7B4A" w:rsidRPr="002A2F05" w:rsidRDefault="001A7B4A" w:rsidP="00CD0186">
            <w:pPr>
              <w:pStyle w:val="Tablebulletlevel1"/>
              <w:jc w:val="left"/>
              <w:rPr>
                <w:color w:val="auto"/>
              </w:rPr>
            </w:pPr>
            <w:r w:rsidRPr="002A2F05">
              <w:rPr>
                <w:color w:val="auto"/>
              </w:rPr>
              <w:t>Upper respiratory tract infection – HCUPnet ICD-9 465.9 ($24,100)</w:t>
            </w:r>
          </w:p>
        </w:tc>
      </w:tr>
      <w:tr w:rsidR="001A7B4A" w:rsidRPr="002A2F05" w14:paraId="2ADC6891" w14:textId="77777777" w:rsidTr="00CD0186">
        <w:trPr>
          <w:trHeight w:val="20"/>
        </w:trPr>
        <w:tc>
          <w:tcPr>
            <w:tcW w:w="2105" w:type="dxa"/>
            <w:shd w:val="clear" w:color="auto" w:fill="auto"/>
          </w:tcPr>
          <w:p w14:paraId="3726378C" w14:textId="77777777" w:rsidR="001A7B4A" w:rsidRPr="002A2F05" w:rsidRDefault="001A7B4A" w:rsidP="00CD0186">
            <w:pPr>
              <w:pStyle w:val="Tablebulletlevel1"/>
              <w:numPr>
                <w:ilvl w:val="0"/>
                <w:numId w:val="0"/>
              </w:numPr>
              <w:jc w:val="left"/>
            </w:pPr>
            <w:r w:rsidRPr="002A2F05">
              <w:t>Post-transplant complications (per transplant)</w:t>
            </w:r>
          </w:p>
        </w:tc>
        <w:tc>
          <w:tcPr>
            <w:tcW w:w="2512" w:type="dxa"/>
            <w:shd w:val="clear" w:color="auto" w:fill="auto"/>
            <w:vAlign w:val="center"/>
          </w:tcPr>
          <w:p w14:paraId="502DCC2D" w14:textId="77777777" w:rsidR="001A7B4A" w:rsidRPr="002A2F05" w:rsidRDefault="001A7B4A" w:rsidP="00CD0186">
            <w:pPr>
              <w:pStyle w:val="Tablebulletlevel1"/>
              <w:jc w:val="left"/>
              <w:rPr>
                <w:color w:val="auto"/>
              </w:rPr>
            </w:pPr>
            <w:r w:rsidRPr="002A2F05">
              <w:rPr>
                <w:color w:val="auto"/>
              </w:rPr>
              <w:t>$1,212</w:t>
            </w:r>
          </w:p>
        </w:tc>
        <w:tc>
          <w:tcPr>
            <w:tcW w:w="4727" w:type="dxa"/>
            <w:shd w:val="clear" w:color="auto" w:fill="auto"/>
          </w:tcPr>
          <w:p w14:paraId="07FEBDC8" w14:textId="491427AC" w:rsidR="001A7B4A" w:rsidRPr="002A2F05" w:rsidRDefault="001A7B4A" w:rsidP="00CD0186">
            <w:pPr>
              <w:pStyle w:val="Tablebulletlevel1"/>
              <w:jc w:val="left"/>
              <w:rPr>
                <w:color w:val="auto"/>
              </w:rPr>
            </w:pPr>
            <w:r w:rsidRPr="002A2F05">
              <w:rPr>
                <w:color w:val="auto"/>
              </w:rPr>
              <w:t>Re-transplant – Millman, 2020</w:t>
            </w:r>
            <w:r w:rsidRPr="002A2F05">
              <w:rPr>
                <w:color w:val="auto"/>
              </w:rPr>
              <w:fldChar w:fldCharType="begin"/>
            </w:r>
            <w:r w:rsidR="00BC31E6">
              <w:rPr>
                <w:color w:val="auto"/>
              </w:rPr>
              <w:instrText xml:space="preserve"> ADDIN ZOTERO_ITEM CSL_CITATION {"citationID":"l6Rjf0Pl","properties":{"formattedCitation":"\\super 41\\nosupersub{}","plainCitation":"41","noteIndex":0},"citationItems":[{"id":6308,"uris":["http://zotero.org/groups/2828856/items/JP6GVDCP"],"itemData":{"id":6308,"type":"article-journal","language":"en","page":"24","source":"Zotero","title":"2020 U.S. organ and tissue transplants","issued":{"date-parts":[["2020"]]}}}],"schema":"https://github.com/citation-style-language/schema/raw/master/csl-citation.json"} </w:instrText>
            </w:r>
            <w:r w:rsidRPr="002A2F05">
              <w:rPr>
                <w:color w:val="auto"/>
              </w:rPr>
              <w:fldChar w:fldCharType="separate"/>
            </w:r>
            <w:r w:rsidR="00BC31E6" w:rsidRPr="00BC31E6">
              <w:rPr>
                <w:rFonts w:cs="Helvetica"/>
                <w:szCs w:val="24"/>
                <w:vertAlign w:val="superscript"/>
              </w:rPr>
              <w:t>41</w:t>
            </w:r>
            <w:r w:rsidRPr="002A2F05">
              <w:rPr>
                <w:color w:val="auto"/>
              </w:rPr>
              <w:fldChar w:fldCharType="end"/>
            </w:r>
            <w:r w:rsidRPr="002A2F05">
              <w:rPr>
                <w:color w:val="auto"/>
              </w:rPr>
              <w:t xml:space="preserve"> ($453,703)</w:t>
            </w:r>
          </w:p>
          <w:p w14:paraId="52C3568E" w14:textId="43885996" w:rsidR="001A7B4A" w:rsidRPr="002A2F05" w:rsidRDefault="001A7B4A" w:rsidP="00CD0186">
            <w:pPr>
              <w:pStyle w:val="Tablebulletlevel1"/>
              <w:jc w:val="left"/>
              <w:rPr>
                <w:color w:val="auto"/>
              </w:rPr>
            </w:pPr>
            <w:r w:rsidRPr="002A2F05">
              <w:rPr>
                <w:color w:val="auto"/>
              </w:rPr>
              <w:t>Dialysis – USRDS</w:t>
            </w:r>
            <w:r w:rsidRPr="002A2F05">
              <w:rPr>
                <w:color w:val="auto"/>
              </w:rPr>
              <w:fldChar w:fldCharType="begin"/>
            </w:r>
            <w:r w:rsidR="00BC31E6">
              <w:rPr>
                <w:color w:val="auto"/>
              </w:rPr>
              <w:instrText xml:space="preserve"> ADDIN ZOTERO_ITEM CSL_CITATION {"citationID":"du7s8pJl","properties":{"formattedCitation":"\\super 39\\nosupersub{}","plainCitation":"39","noteIndex":0},"citationItems":[{"id":6300,"uris":["http://zotero.org/groups/2828856/items/65PP5MHX"],"itemData":{"id":6300,"type":"webpage","abstract":"Unites States Renal Data System Annual Data Report","container-title":"USRDS","language":"en","title":"Annual Data Report","URL":"https://adr.usrds.org/2020/end-stage-renal-disease/9-healthcare-expenditures-for-persons-with-esrd","accessed":{"date-parts":[["2021",6,25]]},"issued":{"date-parts":[["2021",6,25]]}}}],"schema":"https://github.com/citation-style-language/schema/raw/master/csl-citation.json"} </w:instrText>
            </w:r>
            <w:r w:rsidRPr="002A2F05">
              <w:rPr>
                <w:color w:val="auto"/>
              </w:rPr>
              <w:fldChar w:fldCharType="separate"/>
            </w:r>
            <w:r w:rsidR="00BC31E6" w:rsidRPr="00BC31E6">
              <w:rPr>
                <w:rFonts w:cs="Helvetica"/>
                <w:szCs w:val="24"/>
                <w:vertAlign w:val="superscript"/>
              </w:rPr>
              <w:t>39</w:t>
            </w:r>
            <w:r w:rsidRPr="002A2F05">
              <w:rPr>
                <w:color w:val="auto"/>
              </w:rPr>
              <w:fldChar w:fldCharType="end"/>
            </w:r>
            <w:r w:rsidRPr="002A2F05">
              <w:rPr>
                <w:color w:val="auto"/>
              </w:rPr>
              <w:t xml:space="preserve"> ($8,664)</w:t>
            </w:r>
          </w:p>
        </w:tc>
      </w:tr>
      <w:tr w:rsidR="001A7B4A" w:rsidRPr="002A2F05" w14:paraId="4D69B4B4" w14:textId="77777777" w:rsidTr="00CD0186">
        <w:trPr>
          <w:trHeight w:val="20"/>
        </w:trPr>
        <w:tc>
          <w:tcPr>
            <w:tcW w:w="2105" w:type="dxa"/>
            <w:shd w:val="clear" w:color="auto" w:fill="auto"/>
            <w:vAlign w:val="center"/>
          </w:tcPr>
          <w:p w14:paraId="64A45A7D" w14:textId="77777777" w:rsidR="001A7B4A" w:rsidRPr="002A2F05" w:rsidRDefault="001A7B4A" w:rsidP="00CD0186">
            <w:pPr>
              <w:pStyle w:val="Tablebulletlevel1"/>
              <w:numPr>
                <w:ilvl w:val="0"/>
                <w:numId w:val="0"/>
              </w:numPr>
              <w:jc w:val="left"/>
            </w:pPr>
            <w:r w:rsidRPr="002A2F05">
              <w:t>Cost of mortality event</w:t>
            </w:r>
          </w:p>
        </w:tc>
        <w:tc>
          <w:tcPr>
            <w:tcW w:w="2512" w:type="dxa"/>
            <w:shd w:val="clear" w:color="auto" w:fill="auto"/>
          </w:tcPr>
          <w:p w14:paraId="1030691F" w14:textId="249FF57E" w:rsidR="001A7B4A" w:rsidRPr="002A2F05" w:rsidRDefault="001A7B4A" w:rsidP="00CD0186">
            <w:pPr>
              <w:pStyle w:val="Tablebulletlevel1"/>
              <w:jc w:val="left"/>
              <w:rPr>
                <w:color w:val="auto"/>
              </w:rPr>
            </w:pPr>
            <w:r w:rsidRPr="002A2F05">
              <w:rPr>
                <w:color w:val="auto"/>
              </w:rPr>
              <w:t xml:space="preserve">$17,057 (refer to </w:t>
            </w:r>
            <w:r w:rsidR="00B17623" w:rsidRPr="002A2F05">
              <w:rPr>
                <w:color w:val="auto"/>
              </w:rPr>
              <w:t>methods s</w:t>
            </w:r>
            <w:r w:rsidRPr="002A2F05">
              <w:rPr>
                <w:color w:val="auto"/>
              </w:rPr>
              <w:t>ection</w:t>
            </w:r>
            <w:r w:rsidR="00B17623" w:rsidRPr="002A2F05">
              <w:rPr>
                <w:color w:val="auto"/>
              </w:rPr>
              <w:t>: mortality costs</w:t>
            </w:r>
            <w:r w:rsidRPr="002A2F05">
              <w:rPr>
                <w:color w:val="auto"/>
              </w:rPr>
              <w:t>)</w:t>
            </w:r>
          </w:p>
        </w:tc>
        <w:tc>
          <w:tcPr>
            <w:tcW w:w="4727" w:type="dxa"/>
            <w:shd w:val="clear" w:color="auto" w:fill="auto"/>
            <w:vAlign w:val="center"/>
          </w:tcPr>
          <w:p w14:paraId="2C3D7978" w14:textId="749024BF" w:rsidR="001A7B4A" w:rsidRPr="002A2F05" w:rsidRDefault="001A7B4A" w:rsidP="00CD0186">
            <w:pPr>
              <w:pStyle w:val="Tablebulletlevel1"/>
              <w:jc w:val="left"/>
              <w:rPr>
                <w:color w:val="auto"/>
              </w:rPr>
            </w:pPr>
            <w:r w:rsidRPr="002A2F05">
              <w:rPr>
                <w:color w:val="auto"/>
              </w:rPr>
              <w:t>Cost of care last 3 months of life – Kerr et al., 2017</w:t>
            </w:r>
            <w:r w:rsidRPr="002A2F05">
              <w:rPr>
                <w:color w:val="auto"/>
              </w:rPr>
              <w:fldChar w:fldCharType="begin"/>
            </w:r>
            <w:r w:rsidR="00BC31E6">
              <w:rPr>
                <w:color w:val="auto"/>
              </w:rPr>
              <w:instrText xml:space="preserve"> ADDIN ZOTERO_ITEM CSL_CITATION {"citationID":"4QXcinIg","properties":{"formattedCitation":"\\super 42\\nosupersub{}","plainCitation":"42","noteIndex":0},"citationItems":[{"id":3915,"uris":["http://zotero.org/groups/2828856/items/KBJNCWA4"],"itemData":{"id":3915,"type":"webpage","title":"End-of-life care for people with chronic kidney disease: cause of death, place of death and hospital costs | Nephrology Dialysis Transplantation | Oxford Academic","URL":"https://academic.oup.com/ndt/article/32/9/1504/3059442","author":[{"family":"Kerr","given":"M."},{"family":"Matthews","given":"B."},{"family":"Medcalf","given":"J. F."}],"issued":{"date-parts":[["2017",9]]}}}],"schema":"https://github.com/citation-style-language/schema/raw/master/csl-citation.json"} </w:instrText>
            </w:r>
            <w:r w:rsidRPr="002A2F05">
              <w:rPr>
                <w:color w:val="auto"/>
              </w:rPr>
              <w:fldChar w:fldCharType="separate"/>
            </w:r>
            <w:r w:rsidR="00BC31E6" w:rsidRPr="00BC31E6">
              <w:rPr>
                <w:rFonts w:cs="Helvetica"/>
                <w:szCs w:val="24"/>
                <w:vertAlign w:val="superscript"/>
              </w:rPr>
              <w:t>42</w:t>
            </w:r>
            <w:r w:rsidRPr="002A2F05">
              <w:rPr>
                <w:color w:val="auto"/>
              </w:rPr>
              <w:fldChar w:fldCharType="end"/>
            </w:r>
            <w:r w:rsidRPr="002A2F05">
              <w:rPr>
                <w:color w:val="auto"/>
              </w:rPr>
              <w:t xml:space="preserve"> (</w:t>
            </w:r>
            <w:r w:rsidR="00422D8F" w:rsidRPr="002A2F05">
              <w:rPr>
                <w:color w:val="auto"/>
              </w:rPr>
              <w:t>£</w:t>
            </w:r>
            <w:r w:rsidR="00422D8F" w:rsidRPr="002A2F05">
              <w:rPr>
                <w:rFonts w:cs="Helvetica"/>
                <w:color w:val="auto"/>
              </w:rPr>
              <w:t>6,048)</w:t>
            </w:r>
            <w:r w:rsidRPr="002A2F05">
              <w:rPr>
                <w:rFonts w:cs="Helvetica"/>
                <w:color w:val="auto"/>
              </w:rPr>
              <w:t xml:space="preserve"> </w:t>
            </w:r>
          </w:p>
        </w:tc>
      </w:tr>
      <w:tr w:rsidR="001A7B4A" w:rsidRPr="002A2F05" w14:paraId="69D68F2C" w14:textId="77777777" w:rsidTr="00CD0186">
        <w:trPr>
          <w:trHeight w:val="20"/>
        </w:trPr>
        <w:tc>
          <w:tcPr>
            <w:tcW w:w="2105" w:type="dxa"/>
            <w:shd w:val="clear" w:color="auto" w:fill="auto"/>
            <w:vAlign w:val="center"/>
          </w:tcPr>
          <w:p w14:paraId="6B463B80" w14:textId="77777777" w:rsidR="001A7B4A" w:rsidRPr="002A2F05" w:rsidRDefault="001A7B4A" w:rsidP="00CD0186">
            <w:pPr>
              <w:pStyle w:val="Tablebulletlevel1"/>
              <w:numPr>
                <w:ilvl w:val="0"/>
                <w:numId w:val="0"/>
              </w:numPr>
              <w:jc w:val="left"/>
            </w:pPr>
            <w:r w:rsidRPr="002A2F05">
              <w:t xml:space="preserve">Indirect costs – productivity loss </w:t>
            </w:r>
          </w:p>
        </w:tc>
        <w:tc>
          <w:tcPr>
            <w:tcW w:w="2512" w:type="dxa"/>
            <w:shd w:val="clear" w:color="auto" w:fill="auto"/>
            <w:vAlign w:val="center"/>
          </w:tcPr>
          <w:p w14:paraId="00657CBD" w14:textId="07636C99" w:rsidR="001A7B4A" w:rsidRPr="002A2F05" w:rsidRDefault="001A7B4A" w:rsidP="00CD0186">
            <w:pPr>
              <w:pStyle w:val="Tablebulletlevel1"/>
              <w:jc w:val="left"/>
              <w:rPr>
                <w:color w:val="auto"/>
              </w:rPr>
            </w:pPr>
            <w:r w:rsidRPr="002A2F05">
              <w:rPr>
                <w:color w:val="auto"/>
              </w:rPr>
              <w:t xml:space="preserve">Refer to </w:t>
            </w:r>
            <w:r w:rsidR="006939C6" w:rsidRPr="002A2F05">
              <w:rPr>
                <w:color w:val="auto"/>
              </w:rPr>
              <w:t xml:space="preserve">Supplementary Table </w:t>
            </w:r>
            <w:r w:rsidR="008A3A2B">
              <w:rPr>
                <w:color w:val="auto"/>
              </w:rPr>
              <w:t>9</w:t>
            </w:r>
            <w:r w:rsidR="006939C6" w:rsidRPr="002A2F05">
              <w:rPr>
                <w:color w:val="auto"/>
              </w:rPr>
              <w:t>.</w:t>
            </w:r>
          </w:p>
        </w:tc>
        <w:tc>
          <w:tcPr>
            <w:tcW w:w="4727" w:type="dxa"/>
            <w:shd w:val="clear" w:color="auto" w:fill="auto"/>
          </w:tcPr>
          <w:p w14:paraId="506F0D0A" w14:textId="6E1D1B7F" w:rsidR="001A7B4A" w:rsidRPr="002A2F05" w:rsidRDefault="001A7B4A" w:rsidP="00CD0186">
            <w:pPr>
              <w:pStyle w:val="Tablebulletlevel1"/>
              <w:jc w:val="left"/>
              <w:rPr>
                <w:color w:val="auto"/>
              </w:rPr>
            </w:pPr>
            <w:r w:rsidRPr="002A2F05">
              <w:rPr>
                <w:color w:val="auto"/>
              </w:rPr>
              <w:t xml:space="preserve">Percentage of work hours missed </w:t>
            </w:r>
            <w:r w:rsidR="00444A29" w:rsidRPr="002A2F05">
              <w:rPr>
                <w:color w:val="auto"/>
              </w:rPr>
              <w:t>–</w:t>
            </w:r>
            <w:r w:rsidRPr="002A2F05">
              <w:rPr>
                <w:color w:val="auto"/>
              </w:rPr>
              <w:t xml:space="preserve"> Van Haalen et al., 2020</w:t>
            </w:r>
            <w:r w:rsidRPr="002A2F05">
              <w:rPr>
                <w:color w:val="auto"/>
              </w:rPr>
              <w:fldChar w:fldCharType="begin"/>
            </w:r>
            <w:r w:rsidR="00BC31E6">
              <w:rPr>
                <w:color w:val="auto"/>
              </w:rPr>
              <w:instrText xml:space="preserve"> ADDIN ZOTERO_ITEM CSL_CITATION {"citationID":"PCfIZsbJ","properties":{"formattedCitation":"\\super 45\\nosupersub{}","plainCitation":"45","noteIndex":0},"citationItems":[{"id":6312,"uris":["http://zotero.org/groups/2828856/items/HSB9UBDB"],"itemData":{"id":6312,"type":"article-journal","abstract":"Reductions in health-related quality of life (HRQoL) in patients with chronic kidney disease (CKD) are thought to be exacerbated by the low hemoglobin (Hb) levels that define anemia, a common complication of CKD. The current analysis evaluated the impact of anemia on HRQoL and work productivity in patients with non-dialysis dependent and dialysis-dependent CKD using real-world data.","container-title":"BMC Nephrology","DOI":"10.1186/s12882-020-01746-4","ISSN":"1471-2369","issue":"1","journalAbbreviation":"BMC Nephrology","page":"88","source":"BioMed Central","title":"Impact of chronic kidney disease and anemia on health-related quality of life and work productivity: analysis of multinational real-world data","title-short":"Impact of chronic kidney disease and anemia on health-related quality of life and work productivity","volume":"21","author":[{"family":"Haalen","given":"Heleen","non-dropping-particle":"van"},{"family":"Jackson","given":"James"},{"family":"Spinowitz","given":"Bruce"},{"family":"Milligan","given":"Gary"},{"family":"Moon","given":"Rebecca"}],"issued":{"date-parts":[["2020",3,7]]}}}],"schema":"https://github.com/citation-style-language/schema/raw/master/csl-citation.json"} </w:instrText>
            </w:r>
            <w:r w:rsidRPr="002A2F05">
              <w:rPr>
                <w:color w:val="auto"/>
              </w:rPr>
              <w:fldChar w:fldCharType="separate"/>
            </w:r>
            <w:r w:rsidR="00BC31E6" w:rsidRPr="00BC31E6">
              <w:rPr>
                <w:rFonts w:cs="Helvetica"/>
                <w:szCs w:val="24"/>
                <w:vertAlign w:val="superscript"/>
              </w:rPr>
              <w:t>45</w:t>
            </w:r>
            <w:r w:rsidRPr="002A2F05">
              <w:rPr>
                <w:color w:val="auto"/>
              </w:rPr>
              <w:fldChar w:fldCharType="end"/>
            </w:r>
          </w:p>
          <w:p w14:paraId="4F54232F" w14:textId="0F9A75C3" w:rsidR="001A7B4A" w:rsidRPr="002A2F05" w:rsidRDefault="001A7B4A" w:rsidP="00CD0186">
            <w:pPr>
              <w:pStyle w:val="Tablebulletlevel1"/>
              <w:jc w:val="left"/>
              <w:rPr>
                <w:color w:val="auto"/>
              </w:rPr>
            </w:pPr>
            <w:r w:rsidRPr="002A2F05">
              <w:rPr>
                <w:color w:val="auto"/>
              </w:rPr>
              <w:t xml:space="preserve">Average weekly wage in US (USD) </w:t>
            </w:r>
            <w:r w:rsidR="00444A29" w:rsidRPr="002A2F05">
              <w:rPr>
                <w:color w:val="auto"/>
              </w:rPr>
              <w:t>–</w:t>
            </w:r>
            <w:r w:rsidRPr="002A2F05">
              <w:rPr>
                <w:color w:val="auto"/>
              </w:rPr>
              <w:t xml:space="preserve"> Bureau of Labor and Statistics (Q1, 2021)</w:t>
            </w:r>
            <w:r w:rsidRPr="002A2F05">
              <w:rPr>
                <w:color w:val="auto"/>
              </w:rPr>
              <w:fldChar w:fldCharType="begin"/>
            </w:r>
            <w:r w:rsidR="00BC31E6">
              <w:rPr>
                <w:color w:val="auto"/>
              </w:rPr>
              <w:instrText xml:space="preserve"> ADDIN ZOTERO_ITEM CSL_CITATION {"citationID":"RK9dLG8n","properties":{"formattedCitation":"\\super 47\\nosupersub{}","plainCitation":"47","noteIndex":0},"citationItems":[{"id":6315,"uris":["http://zotero.org/groups/2828856/items/TB3TAWPB"],"itemData":{"id":6315,"type":"article-journal","language":"en","page":"10","source":"Zotero","title":"USUAL WEEKLY EARNINGS OF WAGE AND SALARY WORKERS FIRST QUARTER 2021"}}],"schema":"https://github.com/citation-style-language/schema/raw/master/csl-citation.json"} </w:instrText>
            </w:r>
            <w:r w:rsidRPr="002A2F05">
              <w:rPr>
                <w:color w:val="auto"/>
              </w:rPr>
              <w:fldChar w:fldCharType="separate"/>
            </w:r>
            <w:r w:rsidR="00BC31E6" w:rsidRPr="00BC31E6">
              <w:rPr>
                <w:rFonts w:cs="Helvetica"/>
                <w:szCs w:val="24"/>
                <w:vertAlign w:val="superscript"/>
              </w:rPr>
              <w:t>47</w:t>
            </w:r>
            <w:r w:rsidRPr="002A2F05">
              <w:rPr>
                <w:color w:val="auto"/>
              </w:rPr>
              <w:fldChar w:fldCharType="end"/>
            </w:r>
            <w:r w:rsidRPr="002A2F05">
              <w:rPr>
                <w:color w:val="auto"/>
              </w:rPr>
              <w:t xml:space="preserve"> </w:t>
            </w:r>
          </w:p>
        </w:tc>
      </w:tr>
    </w:tbl>
    <w:p w14:paraId="05D06360" w14:textId="5498ECA6" w:rsidR="00C81672" w:rsidRPr="002A2F05" w:rsidRDefault="00C81672" w:rsidP="00265658">
      <w:pPr>
        <w:pStyle w:val="tablelegend"/>
      </w:pPr>
      <w:r w:rsidRPr="002A2F05">
        <w:rPr>
          <w:b/>
        </w:rPr>
        <w:t>Abbreviations:</w:t>
      </w:r>
      <w:r w:rsidRPr="002A2F05">
        <w:t xml:space="preserve"> </w:t>
      </w:r>
      <w:r w:rsidR="00FD1AF2" w:rsidRPr="002A2F05">
        <w:t xml:space="preserve">AE, adverse event; </w:t>
      </w:r>
      <w:r w:rsidR="00EB2705" w:rsidRPr="002A2F05">
        <w:t xml:space="preserve">BSC, </w:t>
      </w:r>
      <w:r w:rsidR="00EB2705">
        <w:t>best supportive</w:t>
      </w:r>
      <w:r w:rsidR="00EB2705" w:rsidRPr="002A2F05">
        <w:t xml:space="preserve"> care; </w:t>
      </w:r>
      <w:r w:rsidR="00FD1AF2" w:rsidRPr="002A2F05">
        <w:t xml:space="preserve">CKD, chronic kidney disease; CMS, Centers for Medicare and Medicaid Services; CPI, consumer price index; CPT, current procedural terminology; </w:t>
      </w:r>
      <w:r w:rsidR="00EB2705">
        <w:t>CSR,</w:t>
      </w:r>
      <w:r w:rsidR="00CC1A19">
        <w:t xml:space="preserve"> clinical study report</w:t>
      </w:r>
      <w:r w:rsidR="00EB2705">
        <w:t xml:space="preserve">; </w:t>
      </w:r>
      <w:r w:rsidR="00FD1AF2" w:rsidRPr="002A2F05">
        <w:t>ESRD, end-stage renal disease</w:t>
      </w:r>
      <w:r w:rsidR="003C6E2F">
        <w:t>;</w:t>
      </w:r>
      <w:r w:rsidR="00FD1AF2" w:rsidRPr="002A2F05">
        <w:t xml:space="preserve"> FDA, Federal Drug Administration; GVHD, graft versus host disease; HCUP, Healthcare Cost and Utilization Project; HRQoL, health-related quality of life; ICER, Institute for Clinical and Economic Review; NA, not applicable</w:t>
      </w:r>
      <w:r w:rsidR="008B621E" w:rsidRPr="002A2F05">
        <w:t xml:space="preserve">; </w:t>
      </w:r>
      <w:r w:rsidR="00FD1AF2" w:rsidRPr="002A2F05">
        <w:t>tx, treatment; USD, United States Dollar; USRDS, United States Renal Data System.</w:t>
      </w:r>
    </w:p>
    <w:p w14:paraId="76B79B26" w14:textId="77777777" w:rsidR="007B105F" w:rsidRPr="002A2F05" w:rsidRDefault="007B105F" w:rsidP="00EE0017">
      <w:pPr>
        <w:widowControl w:val="0"/>
        <w:rPr>
          <w:rFonts w:cs="Arial"/>
          <w:b/>
          <w:bCs/>
        </w:rPr>
      </w:pPr>
    </w:p>
    <w:p w14:paraId="7EEAB1F9" w14:textId="77777777" w:rsidR="00867CBA" w:rsidRDefault="00867CBA">
      <w:pPr>
        <w:spacing w:line="240" w:lineRule="auto"/>
        <w:rPr>
          <w:rFonts w:cs="Arial"/>
          <w:b/>
          <w:bCs/>
        </w:rPr>
      </w:pPr>
      <w:r>
        <w:rPr>
          <w:rFonts w:cs="Arial"/>
          <w:b/>
          <w:bCs/>
        </w:rPr>
        <w:br w:type="page"/>
      </w:r>
    </w:p>
    <w:p w14:paraId="0D580ED2" w14:textId="17BE69BA" w:rsidR="003705F8" w:rsidRPr="002A2F05" w:rsidRDefault="003705F8" w:rsidP="00EE0017">
      <w:pPr>
        <w:widowControl w:val="0"/>
        <w:rPr>
          <w:rFonts w:cs="Arial"/>
          <w:b/>
          <w:bCs/>
        </w:rPr>
      </w:pPr>
      <w:r w:rsidRPr="002A2F05">
        <w:rPr>
          <w:rFonts w:cs="Arial"/>
          <w:b/>
          <w:bCs/>
        </w:rPr>
        <w:lastRenderedPageBreak/>
        <w:t xml:space="preserve">Supplementary Table </w:t>
      </w:r>
      <w:r w:rsidR="00C33C60" w:rsidRPr="002A2F05">
        <w:rPr>
          <w:rFonts w:cs="Arial"/>
          <w:b/>
          <w:bCs/>
        </w:rPr>
        <w:t>3</w:t>
      </w:r>
      <w:r w:rsidR="00265658" w:rsidRPr="002A2F05">
        <w:rPr>
          <w:rFonts w:cs="Arial"/>
          <w:b/>
          <w:bCs/>
        </w:rPr>
        <w:t>.</w:t>
      </w:r>
      <w:r w:rsidRPr="002A2F05">
        <w:rPr>
          <w:rFonts w:cs="Arial"/>
          <w:b/>
          <w:bCs/>
        </w:rPr>
        <w:t xml:space="preserve"> </w:t>
      </w:r>
      <w:r w:rsidR="00BF170F" w:rsidRPr="002A2F05">
        <w:rPr>
          <w:rFonts w:cs="Arial"/>
        </w:rPr>
        <w:t>Health state at diagnosis of IgAN</w:t>
      </w:r>
    </w:p>
    <w:tbl>
      <w:tblPr>
        <w:tblStyle w:val="TableTheme"/>
        <w:tblpPr w:leftFromText="180" w:rightFromText="180" w:vertAnchor="text" w:tblpY="1"/>
        <w:tblW w:w="5000" w:type="pct"/>
        <w:tblLook w:val="04A0" w:firstRow="1" w:lastRow="0" w:firstColumn="1" w:lastColumn="0" w:noHBand="0" w:noVBand="1"/>
      </w:tblPr>
      <w:tblGrid>
        <w:gridCol w:w="3136"/>
        <w:gridCol w:w="5494"/>
      </w:tblGrid>
      <w:tr w:rsidR="00DB26E8" w:rsidRPr="002A2F05" w14:paraId="25FE1ADC" w14:textId="77777777" w:rsidTr="00DC37B7">
        <w:tc>
          <w:tcPr>
            <w:tcW w:w="1817" w:type="pct"/>
            <w:shd w:val="clear" w:color="auto" w:fill="808080" w:themeFill="background1" w:themeFillShade="80"/>
          </w:tcPr>
          <w:p w14:paraId="6A674971" w14:textId="77777777" w:rsidR="00DB26E8" w:rsidRPr="002A2F05" w:rsidRDefault="00DB26E8" w:rsidP="00DC37B7">
            <w:pPr>
              <w:snapToGrid w:val="0"/>
              <w:spacing w:before="40" w:after="40" w:line="240" w:lineRule="auto"/>
              <w:rPr>
                <w:b/>
                <w:color w:val="FFFFFF" w:themeColor="background1"/>
                <w:sz w:val="18"/>
                <w:szCs w:val="18"/>
              </w:rPr>
            </w:pPr>
            <w:r w:rsidRPr="002A2F05">
              <w:rPr>
                <w:b/>
                <w:color w:val="FFFFFF" w:themeColor="background1"/>
                <w:sz w:val="18"/>
                <w:szCs w:val="18"/>
              </w:rPr>
              <w:t>CKD stage</w:t>
            </w:r>
          </w:p>
        </w:tc>
        <w:tc>
          <w:tcPr>
            <w:tcW w:w="3183" w:type="pct"/>
            <w:shd w:val="clear" w:color="auto" w:fill="808080" w:themeFill="background1" w:themeFillShade="80"/>
          </w:tcPr>
          <w:p w14:paraId="17795D54" w14:textId="77777777" w:rsidR="00DB26E8" w:rsidRPr="002A2F05" w:rsidRDefault="00DB26E8" w:rsidP="00DC37B7">
            <w:pPr>
              <w:snapToGrid w:val="0"/>
              <w:spacing w:before="40" w:after="40" w:line="240" w:lineRule="auto"/>
              <w:rPr>
                <w:b/>
                <w:color w:val="FFFFFF" w:themeColor="background1"/>
                <w:sz w:val="18"/>
                <w:szCs w:val="18"/>
              </w:rPr>
            </w:pPr>
            <w:r w:rsidRPr="002A2F05">
              <w:rPr>
                <w:b/>
                <w:color w:val="FFFFFF" w:themeColor="background1"/>
                <w:sz w:val="18"/>
                <w:szCs w:val="18"/>
              </w:rPr>
              <w:t>Patients at diagnosis (%)</w:t>
            </w:r>
          </w:p>
        </w:tc>
      </w:tr>
      <w:tr w:rsidR="00DB26E8" w:rsidRPr="002A2F05" w14:paraId="7CA0EFD9" w14:textId="77777777" w:rsidTr="00CD0186">
        <w:trPr>
          <w:trHeight w:val="319"/>
        </w:trPr>
        <w:tc>
          <w:tcPr>
            <w:tcW w:w="1817" w:type="pct"/>
          </w:tcPr>
          <w:p w14:paraId="20593E5E" w14:textId="77777777" w:rsidR="00DB26E8" w:rsidRPr="002A2F05" w:rsidRDefault="00DB26E8" w:rsidP="00CD0186">
            <w:pPr>
              <w:pStyle w:val="Tablebulletlevel1"/>
              <w:numPr>
                <w:ilvl w:val="0"/>
                <w:numId w:val="0"/>
              </w:numPr>
              <w:ind w:left="144" w:hanging="144"/>
            </w:pPr>
            <w:r w:rsidRPr="002A2F05">
              <w:t>CKD 1*</w:t>
            </w:r>
          </w:p>
        </w:tc>
        <w:tc>
          <w:tcPr>
            <w:tcW w:w="3183" w:type="pct"/>
            <w:vAlign w:val="center"/>
          </w:tcPr>
          <w:p w14:paraId="1ABA6AD3" w14:textId="77777777" w:rsidR="00DB26E8" w:rsidRPr="002A2F05" w:rsidRDefault="00DB26E8" w:rsidP="00CD0186">
            <w:pPr>
              <w:pStyle w:val="Tablebulletlevel1"/>
              <w:numPr>
                <w:ilvl w:val="0"/>
                <w:numId w:val="0"/>
              </w:numPr>
              <w:ind w:left="144" w:hanging="144"/>
              <w:jc w:val="left"/>
            </w:pPr>
            <w:r w:rsidRPr="002A2F05">
              <w:t>3%</w:t>
            </w:r>
          </w:p>
        </w:tc>
      </w:tr>
      <w:tr w:rsidR="00DB26E8" w:rsidRPr="002A2F05" w14:paraId="128A1345" w14:textId="77777777" w:rsidTr="00CD0186">
        <w:trPr>
          <w:trHeight w:val="319"/>
        </w:trPr>
        <w:tc>
          <w:tcPr>
            <w:tcW w:w="1817" w:type="pct"/>
          </w:tcPr>
          <w:p w14:paraId="451E57CF" w14:textId="77777777" w:rsidR="00DB26E8" w:rsidRPr="002A2F05" w:rsidRDefault="00DB26E8" w:rsidP="00CD0186">
            <w:pPr>
              <w:pStyle w:val="Tablebulletlevel1"/>
              <w:numPr>
                <w:ilvl w:val="0"/>
                <w:numId w:val="0"/>
              </w:numPr>
              <w:rPr>
                <w:color w:val="000000" w:themeColor="text1"/>
              </w:rPr>
            </w:pPr>
            <w:r w:rsidRPr="002A2F05">
              <w:rPr>
                <w:color w:val="000000" w:themeColor="text1"/>
              </w:rPr>
              <w:t>CKD 2*</w:t>
            </w:r>
          </w:p>
        </w:tc>
        <w:tc>
          <w:tcPr>
            <w:tcW w:w="3183" w:type="pct"/>
            <w:vAlign w:val="center"/>
          </w:tcPr>
          <w:p w14:paraId="381B8355" w14:textId="77777777" w:rsidR="00DB26E8" w:rsidRPr="002A2F05" w:rsidRDefault="00DB26E8" w:rsidP="00CD0186">
            <w:pPr>
              <w:pStyle w:val="Tablebulletlevel1"/>
              <w:numPr>
                <w:ilvl w:val="0"/>
                <w:numId w:val="0"/>
              </w:numPr>
              <w:ind w:left="144" w:hanging="144"/>
              <w:jc w:val="left"/>
              <w:rPr>
                <w:color w:val="000000" w:themeColor="text1"/>
              </w:rPr>
            </w:pPr>
            <w:r w:rsidRPr="002A2F05">
              <w:rPr>
                <w:color w:val="000000" w:themeColor="text1"/>
              </w:rPr>
              <w:t>34%</w:t>
            </w:r>
          </w:p>
        </w:tc>
      </w:tr>
      <w:tr w:rsidR="00DB26E8" w:rsidRPr="002A2F05" w14:paraId="6905489D" w14:textId="77777777" w:rsidTr="00CD0186">
        <w:trPr>
          <w:trHeight w:val="319"/>
        </w:trPr>
        <w:tc>
          <w:tcPr>
            <w:tcW w:w="1817" w:type="pct"/>
          </w:tcPr>
          <w:p w14:paraId="56120B2B" w14:textId="77777777" w:rsidR="00DB26E8" w:rsidRPr="002A2F05" w:rsidRDefault="00DB26E8" w:rsidP="00CD0186">
            <w:pPr>
              <w:pStyle w:val="Tablebulletlevel1"/>
              <w:numPr>
                <w:ilvl w:val="0"/>
                <w:numId w:val="0"/>
              </w:numPr>
              <w:rPr>
                <w:bCs w:val="0"/>
                <w:color w:val="000000" w:themeColor="text1"/>
              </w:rPr>
            </w:pPr>
            <w:r w:rsidRPr="002A2F05">
              <w:rPr>
                <w:bCs w:val="0"/>
                <w:color w:val="000000" w:themeColor="text1"/>
              </w:rPr>
              <w:t>CKD 3a*</w:t>
            </w:r>
          </w:p>
        </w:tc>
        <w:tc>
          <w:tcPr>
            <w:tcW w:w="3183" w:type="pct"/>
            <w:vAlign w:val="center"/>
          </w:tcPr>
          <w:p w14:paraId="0D4346F1" w14:textId="77777777" w:rsidR="00DB26E8" w:rsidRPr="002A2F05" w:rsidRDefault="00DB26E8" w:rsidP="00CD0186">
            <w:pPr>
              <w:pStyle w:val="Tablebulletlevel1"/>
              <w:numPr>
                <w:ilvl w:val="0"/>
                <w:numId w:val="0"/>
              </w:numPr>
              <w:ind w:left="144" w:hanging="144"/>
              <w:jc w:val="left"/>
              <w:rPr>
                <w:color w:val="000000" w:themeColor="text1"/>
              </w:rPr>
            </w:pPr>
            <w:r w:rsidRPr="002A2F05">
              <w:rPr>
                <w:color w:val="000000" w:themeColor="text1"/>
              </w:rPr>
              <w:t>39%</w:t>
            </w:r>
          </w:p>
        </w:tc>
      </w:tr>
      <w:tr w:rsidR="00DB26E8" w:rsidRPr="002A2F05" w14:paraId="697208B0" w14:textId="77777777" w:rsidTr="00CD0186">
        <w:trPr>
          <w:trHeight w:val="319"/>
        </w:trPr>
        <w:tc>
          <w:tcPr>
            <w:tcW w:w="1817" w:type="pct"/>
          </w:tcPr>
          <w:p w14:paraId="0ABFB0AA" w14:textId="77777777" w:rsidR="00DB26E8" w:rsidRPr="002A2F05" w:rsidRDefault="00DB26E8" w:rsidP="00CD0186">
            <w:pPr>
              <w:pStyle w:val="Tablebulletlevel1"/>
              <w:numPr>
                <w:ilvl w:val="0"/>
                <w:numId w:val="0"/>
              </w:numPr>
              <w:rPr>
                <w:color w:val="000000" w:themeColor="text1"/>
              </w:rPr>
            </w:pPr>
            <w:r w:rsidRPr="002A2F05">
              <w:rPr>
                <w:color w:val="000000" w:themeColor="text1"/>
              </w:rPr>
              <w:t>CKD 3b*</w:t>
            </w:r>
          </w:p>
        </w:tc>
        <w:tc>
          <w:tcPr>
            <w:tcW w:w="3183" w:type="pct"/>
            <w:vAlign w:val="center"/>
          </w:tcPr>
          <w:p w14:paraId="76E9265F" w14:textId="77777777" w:rsidR="00DB26E8" w:rsidRPr="002A2F05" w:rsidRDefault="00DB26E8" w:rsidP="00CD0186">
            <w:pPr>
              <w:pStyle w:val="Tablebulletlevel1"/>
              <w:numPr>
                <w:ilvl w:val="0"/>
                <w:numId w:val="0"/>
              </w:numPr>
              <w:ind w:left="144" w:hanging="144"/>
              <w:jc w:val="left"/>
              <w:rPr>
                <w:color w:val="000000" w:themeColor="text1"/>
              </w:rPr>
            </w:pPr>
            <w:r w:rsidRPr="002A2F05">
              <w:rPr>
                <w:color w:val="000000" w:themeColor="text1"/>
              </w:rPr>
              <w:t>24%</w:t>
            </w:r>
          </w:p>
        </w:tc>
      </w:tr>
      <w:tr w:rsidR="00DB26E8" w:rsidRPr="002A2F05" w14:paraId="0D8EF3B4" w14:textId="77777777" w:rsidTr="00CD0186">
        <w:trPr>
          <w:trHeight w:val="319"/>
        </w:trPr>
        <w:tc>
          <w:tcPr>
            <w:tcW w:w="1817" w:type="pct"/>
          </w:tcPr>
          <w:p w14:paraId="56C443A5" w14:textId="77777777" w:rsidR="00DB26E8" w:rsidRPr="002A2F05" w:rsidRDefault="00DB26E8" w:rsidP="00CD0186">
            <w:pPr>
              <w:pStyle w:val="Tablebulletlevel1"/>
              <w:numPr>
                <w:ilvl w:val="0"/>
                <w:numId w:val="0"/>
              </w:numPr>
              <w:rPr>
                <w:color w:val="000000" w:themeColor="text1"/>
              </w:rPr>
            </w:pPr>
            <w:r w:rsidRPr="002A2F05">
              <w:rPr>
                <w:color w:val="000000" w:themeColor="text1"/>
              </w:rPr>
              <w:t>CKD 4</w:t>
            </w:r>
          </w:p>
        </w:tc>
        <w:tc>
          <w:tcPr>
            <w:tcW w:w="3183" w:type="pct"/>
            <w:vAlign w:val="center"/>
          </w:tcPr>
          <w:p w14:paraId="4263E682" w14:textId="77777777" w:rsidR="00DB26E8" w:rsidRPr="002A2F05" w:rsidRDefault="00DB26E8" w:rsidP="00CD0186">
            <w:pPr>
              <w:pStyle w:val="Tablebulletlevel1"/>
              <w:numPr>
                <w:ilvl w:val="0"/>
                <w:numId w:val="0"/>
              </w:numPr>
              <w:ind w:left="144" w:hanging="144"/>
              <w:jc w:val="left"/>
              <w:rPr>
                <w:color w:val="000000" w:themeColor="text1"/>
              </w:rPr>
            </w:pPr>
            <w:r w:rsidRPr="002A2F05">
              <w:rPr>
                <w:color w:val="000000" w:themeColor="text1"/>
              </w:rPr>
              <w:t>0%</w:t>
            </w:r>
          </w:p>
        </w:tc>
      </w:tr>
      <w:tr w:rsidR="00DB26E8" w:rsidRPr="002A2F05" w14:paraId="0A8D7FF3" w14:textId="77777777" w:rsidTr="00CD0186">
        <w:trPr>
          <w:trHeight w:val="319"/>
        </w:trPr>
        <w:tc>
          <w:tcPr>
            <w:tcW w:w="1817" w:type="pct"/>
          </w:tcPr>
          <w:p w14:paraId="4027F823" w14:textId="77777777" w:rsidR="00DB26E8" w:rsidRPr="002A2F05" w:rsidRDefault="00DB26E8" w:rsidP="00CD0186">
            <w:pPr>
              <w:pStyle w:val="Tablebulletlevel1"/>
              <w:numPr>
                <w:ilvl w:val="0"/>
                <w:numId w:val="0"/>
              </w:numPr>
              <w:rPr>
                <w:color w:val="000000" w:themeColor="text1"/>
              </w:rPr>
            </w:pPr>
            <w:r w:rsidRPr="002A2F05">
              <w:rPr>
                <w:color w:val="000000" w:themeColor="text1"/>
              </w:rPr>
              <w:t>ESRD without dialysis</w:t>
            </w:r>
          </w:p>
        </w:tc>
        <w:tc>
          <w:tcPr>
            <w:tcW w:w="3183" w:type="pct"/>
            <w:vAlign w:val="center"/>
          </w:tcPr>
          <w:p w14:paraId="586735F3" w14:textId="77777777" w:rsidR="00DB26E8" w:rsidRPr="002A2F05" w:rsidRDefault="00DB26E8" w:rsidP="00CD0186">
            <w:pPr>
              <w:pStyle w:val="Tablebulletlevel1"/>
              <w:numPr>
                <w:ilvl w:val="0"/>
                <w:numId w:val="0"/>
              </w:numPr>
              <w:ind w:left="144" w:hanging="144"/>
              <w:jc w:val="left"/>
              <w:rPr>
                <w:color w:val="000000" w:themeColor="text1"/>
              </w:rPr>
            </w:pPr>
            <w:r w:rsidRPr="002A2F05">
              <w:rPr>
                <w:color w:val="000000" w:themeColor="text1"/>
              </w:rPr>
              <w:t>0%</w:t>
            </w:r>
          </w:p>
        </w:tc>
      </w:tr>
      <w:tr w:rsidR="00DB26E8" w:rsidRPr="002A2F05" w14:paraId="5718A732" w14:textId="77777777" w:rsidTr="00CD0186">
        <w:trPr>
          <w:trHeight w:val="319"/>
        </w:trPr>
        <w:tc>
          <w:tcPr>
            <w:tcW w:w="1817" w:type="pct"/>
          </w:tcPr>
          <w:p w14:paraId="71724A7E" w14:textId="77777777" w:rsidR="00DB26E8" w:rsidRPr="002A2F05" w:rsidRDefault="00DB26E8" w:rsidP="00CD0186">
            <w:pPr>
              <w:pStyle w:val="Tablebulletlevel1"/>
              <w:numPr>
                <w:ilvl w:val="0"/>
                <w:numId w:val="0"/>
              </w:numPr>
              <w:rPr>
                <w:color w:val="000000" w:themeColor="text1"/>
              </w:rPr>
            </w:pPr>
            <w:r w:rsidRPr="002A2F05">
              <w:rPr>
                <w:color w:val="000000" w:themeColor="text1"/>
              </w:rPr>
              <w:t>ESRD with dialysis</w:t>
            </w:r>
          </w:p>
        </w:tc>
        <w:tc>
          <w:tcPr>
            <w:tcW w:w="3183" w:type="pct"/>
            <w:vAlign w:val="center"/>
          </w:tcPr>
          <w:p w14:paraId="48A0ACF9" w14:textId="77777777" w:rsidR="00DB26E8" w:rsidRPr="002A2F05" w:rsidRDefault="00DB26E8" w:rsidP="00CD0186">
            <w:pPr>
              <w:pStyle w:val="Tablebulletlevel1"/>
              <w:numPr>
                <w:ilvl w:val="0"/>
                <w:numId w:val="0"/>
              </w:numPr>
              <w:ind w:left="144" w:hanging="144"/>
              <w:jc w:val="left"/>
              <w:rPr>
                <w:color w:val="000000" w:themeColor="text1"/>
              </w:rPr>
            </w:pPr>
            <w:r w:rsidRPr="002A2F05">
              <w:rPr>
                <w:color w:val="000000" w:themeColor="text1"/>
              </w:rPr>
              <w:t>0%</w:t>
            </w:r>
          </w:p>
        </w:tc>
      </w:tr>
      <w:tr w:rsidR="00DB26E8" w:rsidRPr="002A2F05" w14:paraId="13CB9D85" w14:textId="77777777" w:rsidTr="00CD0186">
        <w:trPr>
          <w:trHeight w:val="319"/>
        </w:trPr>
        <w:tc>
          <w:tcPr>
            <w:tcW w:w="1817" w:type="pct"/>
          </w:tcPr>
          <w:p w14:paraId="67D301BA" w14:textId="77777777" w:rsidR="00DB26E8" w:rsidRPr="002A2F05" w:rsidRDefault="00DB26E8" w:rsidP="00CD0186">
            <w:pPr>
              <w:pStyle w:val="Tablebulletlevel1"/>
              <w:numPr>
                <w:ilvl w:val="0"/>
                <w:numId w:val="0"/>
              </w:numPr>
              <w:rPr>
                <w:color w:val="000000" w:themeColor="text1"/>
              </w:rPr>
            </w:pPr>
            <w:r w:rsidRPr="002A2F05">
              <w:rPr>
                <w:color w:val="000000" w:themeColor="text1"/>
              </w:rPr>
              <w:t>Post-transplant</w:t>
            </w:r>
          </w:p>
        </w:tc>
        <w:tc>
          <w:tcPr>
            <w:tcW w:w="3183" w:type="pct"/>
            <w:vAlign w:val="center"/>
          </w:tcPr>
          <w:p w14:paraId="24F6313C" w14:textId="77777777" w:rsidR="00DB26E8" w:rsidRPr="002A2F05" w:rsidRDefault="00DB26E8" w:rsidP="00CD0186">
            <w:pPr>
              <w:pStyle w:val="Tablebulletlevel1"/>
              <w:numPr>
                <w:ilvl w:val="0"/>
                <w:numId w:val="0"/>
              </w:numPr>
              <w:ind w:left="144" w:hanging="144"/>
              <w:jc w:val="left"/>
              <w:rPr>
                <w:color w:val="000000" w:themeColor="text1"/>
              </w:rPr>
            </w:pPr>
            <w:r w:rsidRPr="002A2F05">
              <w:rPr>
                <w:color w:val="000000" w:themeColor="text1"/>
              </w:rPr>
              <w:t>0%</w:t>
            </w:r>
          </w:p>
        </w:tc>
      </w:tr>
      <w:tr w:rsidR="00DB26E8" w:rsidRPr="002A2F05" w14:paraId="6ECE0785" w14:textId="77777777" w:rsidTr="00CD0186">
        <w:trPr>
          <w:trHeight w:val="319"/>
        </w:trPr>
        <w:tc>
          <w:tcPr>
            <w:tcW w:w="1817" w:type="pct"/>
          </w:tcPr>
          <w:p w14:paraId="0566BF2D" w14:textId="77777777" w:rsidR="00DB26E8" w:rsidRPr="002A2F05" w:rsidRDefault="00DB26E8" w:rsidP="00CD0186">
            <w:pPr>
              <w:pStyle w:val="Tablebulletlevel1"/>
              <w:numPr>
                <w:ilvl w:val="0"/>
                <w:numId w:val="0"/>
              </w:numPr>
              <w:rPr>
                <w:color w:val="000000" w:themeColor="text1"/>
              </w:rPr>
            </w:pPr>
            <w:r w:rsidRPr="002A2F05">
              <w:rPr>
                <w:color w:val="000000" w:themeColor="text1"/>
              </w:rPr>
              <w:t>Total</w:t>
            </w:r>
          </w:p>
        </w:tc>
        <w:tc>
          <w:tcPr>
            <w:tcW w:w="3183" w:type="pct"/>
            <w:vAlign w:val="center"/>
          </w:tcPr>
          <w:p w14:paraId="51C0DC3E" w14:textId="77777777" w:rsidR="00DB26E8" w:rsidRPr="002A2F05" w:rsidRDefault="00DB26E8" w:rsidP="00CD0186">
            <w:pPr>
              <w:pStyle w:val="Tablebulletlevel1"/>
              <w:numPr>
                <w:ilvl w:val="0"/>
                <w:numId w:val="0"/>
              </w:numPr>
              <w:ind w:left="144" w:hanging="144"/>
              <w:jc w:val="left"/>
              <w:rPr>
                <w:color w:val="000000" w:themeColor="text1"/>
              </w:rPr>
            </w:pPr>
            <w:r w:rsidRPr="002A2F05">
              <w:rPr>
                <w:color w:val="000000" w:themeColor="text1"/>
              </w:rPr>
              <w:t>100%</w:t>
            </w:r>
          </w:p>
        </w:tc>
      </w:tr>
    </w:tbl>
    <w:p w14:paraId="26AF14BE" w14:textId="002F973C" w:rsidR="00DB26E8" w:rsidRDefault="00DB26E8" w:rsidP="00265658">
      <w:pPr>
        <w:pStyle w:val="tablelegend"/>
      </w:pPr>
      <w:r w:rsidRPr="002A2F05">
        <w:rPr>
          <w:b/>
        </w:rPr>
        <w:t>Abbreviations:</w:t>
      </w:r>
      <w:r w:rsidRPr="002A2F05">
        <w:t xml:space="preserve"> </w:t>
      </w:r>
      <w:r w:rsidR="001F1E2C" w:rsidRPr="002A2F05">
        <w:t>CKD, chronic kidney disease;</w:t>
      </w:r>
      <w:r w:rsidR="00DF4CF8">
        <w:t xml:space="preserve"> </w:t>
      </w:r>
      <w:r w:rsidR="00DF4CF8" w:rsidRPr="004B6361">
        <w:rPr>
          <w:rFonts w:ascii="Arial" w:hAnsi="Arial" w:cs="Arial"/>
        </w:rPr>
        <w:t>eGFR, estimated glomerular filtration rate;</w:t>
      </w:r>
      <w:r w:rsidR="001F1E2C" w:rsidRPr="002A2F05">
        <w:t xml:space="preserve"> ESRD, end-stage renal disease</w:t>
      </w:r>
      <w:r w:rsidR="00601A63">
        <w:t xml:space="preserve">; IgAN, </w:t>
      </w:r>
      <w:r w:rsidR="00601A63" w:rsidRPr="00601A63">
        <w:t>immunoglobulin A nephropathy</w:t>
      </w:r>
      <w:r w:rsidR="001F1E2C" w:rsidRPr="002A2F05">
        <w:t>.</w:t>
      </w:r>
    </w:p>
    <w:p w14:paraId="3CC979FE" w14:textId="77777777" w:rsidR="00650A07" w:rsidRPr="002A2F05" w:rsidRDefault="00650A07" w:rsidP="00265658">
      <w:pPr>
        <w:pStyle w:val="tablelegend"/>
      </w:pPr>
    </w:p>
    <w:p w14:paraId="37C8B402" w14:textId="1AB6C591" w:rsidR="00650A07" w:rsidRDefault="00026D9B" w:rsidP="00650A07">
      <w:pPr>
        <w:pStyle w:val="Bibliography"/>
        <w:rPr>
          <w:color w:val="000000"/>
          <w:vertAlign w:val="superscript"/>
        </w:rPr>
      </w:pPr>
      <w:r w:rsidRPr="00026D9B">
        <w:rPr>
          <w:bCs/>
        </w:rPr>
        <w:t>Data from</w:t>
      </w:r>
      <w:r w:rsidR="00650A07" w:rsidRPr="00650A07">
        <w:rPr>
          <w:color w:val="000000"/>
        </w:rPr>
        <w:t xml:space="preserve"> </w:t>
      </w:r>
      <w:r w:rsidR="00650A07" w:rsidRPr="00D41398">
        <w:rPr>
          <w:color w:val="000000"/>
        </w:rPr>
        <w:t xml:space="preserve">Barratt </w:t>
      </w:r>
      <w:r>
        <w:rPr>
          <w:color w:val="000000"/>
        </w:rPr>
        <w:t>et al</w:t>
      </w:r>
      <w:r w:rsidR="00650A07">
        <w:rPr>
          <w:color w:val="000000"/>
        </w:rPr>
        <w:t>.</w:t>
      </w:r>
      <w:r w:rsidR="00650A07" w:rsidRPr="00650A07">
        <w:rPr>
          <w:color w:val="000000"/>
          <w:vertAlign w:val="superscript"/>
        </w:rPr>
        <w:t>2</w:t>
      </w:r>
      <w:r w:rsidR="00650A07">
        <w:rPr>
          <w:color w:val="000000"/>
          <w:vertAlign w:val="superscript"/>
        </w:rPr>
        <w:t>9</w:t>
      </w:r>
    </w:p>
    <w:p w14:paraId="5F4ED6FB" w14:textId="0A609F37" w:rsidR="00807181" w:rsidRPr="00650A07" w:rsidRDefault="00253211" w:rsidP="00650A07">
      <w:pPr>
        <w:pStyle w:val="Bibliography"/>
        <w:rPr>
          <w:color w:val="000000"/>
        </w:rPr>
      </w:pPr>
      <w:r w:rsidRPr="002A2F05">
        <w:rPr>
          <w:rFonts w:cs="Arial"/>
          <w:b/>
          <w:bCs/>
          <w:sz w:val="16"/>
          <w:szCs w:val="16"/>
        </w:rPr>
        <w:t>Note:</w:t>
      </w:r>
      <w:r w:rsidRPr="002A2F05">
        <w:rPr>
          <w:rFonts w:cs="Arial"/>
          <w:sz w:val="16"/>
          <w:szCs w:val="16"/>
        </w:rPr>
        <w:t xml:space="preserve"> </w:t>
      </w:r>
      <w:r w:rsidR="00F22A54" w:rsidRPr="002A2F05">
        <w:rPr>
          <w:rFonts w:cs="Arial"/>
          <w:sz w:val="16"/>
          <w:szCs w:val="16"/>
        </w:rPr>
        <w:t xml:space="preserve">In NefIgArd Part A, </w:t>
      </w:r>
      <w:r w:rsidR="005B29C4">
        <w:rPr>
          <w:rFonts w:cs="Arial"/>
          <w:sz w:val="16"/>
          <w:szCs w:val="16"/>
        </w:rPr>
        <w:t xml:space="preserve">the inclusion criteria required </w:t>
      </w:r>
      <w:r w:rsidR="00F22A54" w:rsidRPr="002A2F05">
        <w:rPr>
          <w:rFonts w:cs="Arial"/>
          <w:sz w:val="16"/>
          <w:szCs w:val="16"/>
        </w:rPr>
        <w:t>p</w:t>
      </w:r>
      <w:r w:rsidRPr="002A2F05">
        <w:rPr>
          <w:rFonts w:cs="Arial"/>
          <w:sz w:val="16"/>
          <w:szCs w:val="16"/>
        </w:rPr>
        <w:t>atients</w:t>
      </w:r>
      <w:r w:rsidR="005B29C4">
        <w:rPr>
          <w:rFonts w:cs="Arial"/>
          <w:sz w:val="16"/>
          <w:szCs w:val="16"/>
        </w:rPr>
        <w:t xml:space="preserve"> to</w:t>
      </w:r>
      <w:r w:rsidRPr="002A2F05">
        <w:rPr>
          <w:rFonts w:cs="Arial"/>
          <w:sz w:val="16"/>
          <w:szCs w:val="16"/>
        </w:rPr>
        <w:t xml:space="preserve"> have </w:t>
      </w:r>
      <w:r w:rsidR="005B29C4">
        <w:rPr>
          <w:rFonts w:cs="Arial"/>
          <w:sz w:val="16"/>
          <w:szCs w:val="16"/>
        </w:rPr>
        <w:t>an</w:t>
      </w:r>
      <w:r w:rsidRPr="002A2F05">
        <w:rPr>
          <w:rFonts w:cs="Arial"/>
          <w:sz w:val="16"/>
          <w:szCs w:val="16"/>
        </w:rPr>
        <w:t xml:space="preserve"> eGFR </w:t>
      </w:r>
      <w:r w:rsidR="00ED4C78" w:rsidRPr="002A2F05">
        <w:rPr>
          <w:rFonts w:cs="Arial"/>
          <w:sz w:val="16"/>
          <w:szCs w:val="16"/>
        </w:rPr>
        <w:t>≥</w:t>
      </w:r>
      <w:r w:rsidRPr="002A2F05">
        <w:rPr>
          <w:rFonts w:cs="Arial"/>
          <w:sz w:val="16"/>
          <w:szCs w:val="16"/>
        </w:rPr>
        <w:t>35 mL/min per 1.73 m</w:t>
      </w:r>
      <w:r w:rsidRPr="002A2F05">
        <w:rPr>
          <w:rFonts w:cs="Arial"/>
          <w:sz w:val="16"/>
          <w:szCs w:val="16"/>
          <w:vertAlign w:val="superscript"/>
        </w:rPr>
        <w:t>2</w:t>
      </w:r>
      <w:r w:rsidRPr="002A2F05">
        <w:rPr>
          <w:rFonts w:cs="Arial"/>
          <w:sz w:val="16"/>
          <w:szCs w:val="16"/>
        </w:rPr>
        <w:t xml:space="preserve"> and </w:t>
      </w:r>
      <w:r w:rsidR="00ED4C78" w:rsidRPr="002A2F05">
        <w:rPr>
          <w:rFonts w:cs="Arial"/>
          <w:sz w:val="16"/>
          <w:szCs w:val="16"/>
        </w:rPr>
        <w:t>≤</w:t>
      </w:r>
      <w:r w:rsidRPr="002A2F05">
        <w:rPr>
          <w:rFonts w:cs="Arial"/>
          <w:sz w:val="16"/>
          <w:szCs w:val="16"/>
        </w:rPr>
        <w:t>90 mL/min per 1.73m</w:t>
      </w:r>
      <w:r w:rsidRPr="002A2F05">
        <w:rPr>
          <w:rFonts w:cs="Arial"/>
          <w:sz w:val="16"/>
          <w:szCs w:val="16"/>
          <w:vertAlign w:val="superscript"/>
        </w:rPr>
        <w:t>2</w:t>
      </w:r>
      <w:r w:rsidRPr="002A2F05">
        <w:rPr>
          <w:rFonts w:cs="Arial"/>
          <w:sz w:val="16"/>
          <w:szCs w:val="16"/>
        </w:rPr>
        <w:t xml:space="preserve"> using the CKD-EPI formula, confirmed by the central laboratory at </w:t>
      </w:r>
      <w:r w:rsidR="00497CEF" w:rsidRPr="002A2F05">
        <w:rPr>
          <w:rFonts w:cs="Arial"/>
          <w:sz w:val="16"/>
          <w:szCs w:val="16"/>
        </w:rPr>
        <w:t>s</w:t>
      </w:r>
      <w:r w:rsidRPr="002A2F05">
        <w:rPr>
          <w:rFonts w:cs="Arial"/>
          <w:sz w:val="16"/>
          <w:szCs w:val="16"/>
        </w:rPr>
        <w:t xml:space="preserve">tudy </w:t>
      </w:r>
      <w:r w:rsidR="00497CEF" w:rsidRPr="002A2F05">
        <w:rPr>
          <w:rFonts w:cs="Arial"/>
          <w:sz w:val="16"/>
          <w:szCs w:val="16"/>
        </w:rPr>
        <w:t>v</w:t>
      </w:r>
      <w:r w:rsidRPr="002A2F05">
        <w:rPr>
          <w:rFonts w:cs="Arial"/>
          <w:sz w:val="16"/>
          <w:szCs w:val="16"/>
        </w:rPr>
        <w:t xml:space="preserve">isit 1 or </w:t>
      </w:r>
      <w:r w:rsidR="00497CEF" w:rsidRPr="002A2F05">
        <w:rPr>
          <w:rFonts w:cs="Arial"/>
          <w:sz w:val="16"/>
          <w:szCs w:val="16"/>
        </w:rPr>
        <w:t>s</w:t>
      </w:r>
      <w:r w:rsidRPr="002A2F05">
        <w:rPr>
          <w:rFonts w:cs="Arial"/>
          <w:sz w:val="16"/>
          <w:szCs w:val="16"/>
        </w:rPr>
        <w:t xml:space="preserve">tudy </w:t>
      </w:r>
      <w:r w:rsidR="00497CEF" w:rsidRPr="002A2F05">
        <w:rPr>
          <w:rFonts w:cs="Arial"/>
          <w:sz w:val="16"/>
          <w:szCs w:val="16"/>
        </w:rPr>
        <w:t>v</w:t>
      </w:r>
      <w:r w:rsidRPr="002A2F05">
        <w:rPr>
          <w:rFonts w:cs="Arial"/>
          <w:sz w:val="16"/>
          <w:szCs w:val="16"/>
        </w:rPr>
        <w:t>isit 3.</w:t>
      </w:r>
      <w:r w:rsidR="00F22A54" w:rsidRPr="002A2F05">
        <w:rPr>
          <w:rFonts w:cs="Arial"/>
          <w:sz w:val="16"/>
          <w:szCs w:val="16"/>
        </w:rPr>
        <w:t xml:space="preserve"> As a result of averaging of results across the two visits, </w:t>
      </w:r>
      <w:r w:rsidR="009E5ADE" w:rsidRPr="002A2F05">
        <w:rPr>
          <w:rFonts w:cs="Arial"/>
          <w:sz w:val="16"/>
          <w:szCs w:val="16"/>
        </w:rPr>
        <w:t xml:space="preserve">five </w:t>
      </w:r>
      <w:r w:rsidR="00F22A54" w:rsidRPr="002A2F05">
        <w:rPr>
          <w:rFonts w:cs="Arial"/>
          <w:sz w:val="16"/>
          <w:szCs w:val="16"/>
        </w:rPr>
        <w:t xml:space="preserve">patients had eGFR </w:t>
      </w:r>
      <w:r w:rsidR="009E5ADE" w:rsidRPr="002A2F05">
        <w:rPr>
          <w:rFonts w:cs="Arial"/>
          <w:sz w:val="16"/>
          <w:szCs w:val="16"/>
        </w:rPr>
        <w:t>&gt;</w:t>
      </w:r>
      <w:r w:rsidR="00F22A54" w:rsidRPr="002A2F05">
        <w:rPr>
          <w:rFonts w:cs="Arial"/>
          <w:sz w:val="16"/>
          <w:szCs w:val="16"/>
        </w:rPr>
        <w:t>90 mL/min per 1.73m</w:t>
      </w:r>
      <w:r w:rsidR="00F22A54" w:rsidRPr="002A2F05">
        <w:rPr>
          <w:rFonts w:cs="Arial"/>
          <w:sz w:val="16"/>
          <w:szCs w:val="16"/>
          <w:vertAlign w:val="superscript"/>
        </w:rPr>
        <w:t>2</w:t>
      </w:r>
      <w:r w:rsidR="009E5ADE" w:rsidRPr="002A2F05">
        <w:rPr>
          <w:rFonts w:cs="Arial"/>
          <w:sz w:val="16"/>
          <w:szCs w:val="16"/>
        </w:rPr>
        <w:t xml:space="preserve"> and are classified as CKD stage 1</w:t>
      </w:r>
      <w:r w:rsidR="00C471F5" w:rsidRPr="002A2F05">
        <w:rPr>
          <w:rFonts w:cs="Arial"/>
          <w:sz w:val="16"/>
          <w:szCs w:val="16"/>
        </w:rPr>
        <w:t xml:space="preserve"> at baseline</w:t>
      </w:r>
      <w:r w:rsidR="009E5ADE" w:rsidRPr="002A2F05">
        <w:rPr>
          <w:rFonts w:cs="Arial"/>
          <w:sz w:val="16"/>
          <w:szCs w:val="16"/>
        </w:rPr>
        <w:t>.</w:t>
      </w:r>
    </w:p>
    <w:p w14:paraId="683C98DA" w14:textId="287A1C43" w:rsidR="00E509CE" w:rsidRPr="002A2F05" w:rsidRDefault="00976B8B" w:rsidP="00976B8B">
      <w:pPr>
        <w:widowControl w:val="0"/>
        <w:rPr>
          <w:rFonts w:cs="Arial"/>
        </w:rPr>
      </w:pPr>
      <w:r w:rsidRPr="002A2F05">
        <w:rPr>
          <w:rFonts w:cs="Arial"/>
          <w:b/>
          <w:bCs/>
        </w:rPr>
        <w:t xml:space="preserve">Supplementary Table </w:t>
      </w:r>
      <w:r w:rsidR="00C33C60" w:rsidRPr="002A2F05">
        <w:rPr>
          <w:rFonts w:cs="Arial"/>
          <w:b/>
          <w:bCs/>
        </w:rPr>
        <w:t>4</w:t>
      </w:r>
      <w:r w:rsidR="00265658" w:rsidRPr="002A2F05">
        <w:rPr>
          <w:rFonts w:cs="Arial"/>
          <w:b/>
          <w:bCs/>
        </w:rPr>
        <w:t>.</w:t>
      </w:r>
      <w:r w:rsidRPr="002A2F05">
        <w:rPr>
          <w:rFonts w:cs="Arial"/>
          <w:b/>
          <w:bCs/>
        </w:rPr>
        <w:t xml:space="preserve"> </w:t>
      </w:r>
      <w:r w:rsidR="00A601C7" w:rsidRPr="002A2F05">
        <w:rPr>
          <w:rFonts w:cs="Arial"/>
        </w:rPr>
        <w:t xml:space="preserve">Markov transition probabilities – CKD </w:t>
      </w:r>
      <w:r w:rsidR="00C36092" w:rsidRPr="002A2F05">
        <w:rPr>
          <w:rFonts w:cs="Arial"/>
        </w:rPr>
        <w:t xml:space="preserve">and ESRD </w:t>
      </w:r>
      <w:r w:rsidR="00A601C7" w:rsidRPr="002A2F05">
        <w:rPr>
          <w:rFonts w:cs="Arial"/>
        </w:rPr>
        <w:t>health states</w:t>
      </w:r>
    </w:p>
    <w:tbl>
      <w:tblPr>
        <w:tblStyle w:val="TableTheme"/>
        <w:tblpPr w:leftFromText="180" w:rightFromText="180" w:vertAnchor="text" w:tblpY="1"/>
        <w:tblW w:w="5000" w:type="pct"/>
        <w:tblLook w:val="04A0" w:firstRow="1" w:lastRow="0" w:firstColumn="1" w:lastColumn="0" w:noHBand="0" w:noVBand="1"/>
      </w:tblPr>
      <w:tblGrid>
        <w:gridCol w:w="1061"/>
        <w:gridCol w:w="1080"/>
        <w:gridCol w:w="1082"/>
        <w:gridCol w:w="1082"/>
        <w:gridCol w:w="1080"/>
        <w:gridCol w:w="1082"/>
        <w:gridCol w:w="1084"/>
        <w:gridCol w:w="1079"/>
      </w:tblGrid>
      <w:tr w:rsidR="00E509CE" w:rsidRPr="002A2F05" w14:paraId="6C80E302" w14:textId="77777777" w:rsidTr="00DC37B7">
        <w:tc>
          <w:tcPr>
            <w:tcW w:w="614" w:type="pct"/>
            <w:tcBorders>
              <w:bottom w:val="single" w:sz="4" w:space="0" w:color="auto"/>
              <w:right w:val="single" w:sz="4" w:space="0" w:color="auto"/>
            </w:tcBorders>
            <w:shd w:val="clear" w:color="auto" w:fill="808080" w:themeFill="background1" w:themeFillShade="80"/>
            <w:vAlign w:val="center"/>
          </w:tcPr>
          <w:p w14:paraId="03BCA167" w14:textId="77777777" w:rsidR="00E509CE" w:rsidRPr="002A2F05" w:rsidRDefault="00E509CE" w:rsidP="00DC37B7">
            <w:pPr>
              <w:keepNext/>
              <w:keepLines/>
              <w:snapToGrid w:val="0"/>
              <w:spacing w:before="60" w:after="60" w:line="240" w:lineRule="auto"/>
              <w:rPr>
                <w:b/>
                <w:color w:val="FFFFFF" w:themeColor="background1"/>
                <w:sz w:val="18"/>
                <w:szCs w:val="18"/>
              </w:rPr>
            </w:pPr>
          </w:p>
        </w:tc>
        <w:tc>
          <w:tcPr>
            <w:tcW w:w="3760" w:type="pct"/>
            <w:gridSpan w:val="6"/>
            <w:tcBorders>
              <w:left w:val="single" w:sz="4" w:space="0" w:color="auto"/>
              <w:bottom w:val="single" w:sz="4" w:space="0" w:color="auto"/>
              <w:right w:val="single" w:sz="4" w:space="0" w:color="auto"/>
            </w:tcBorders>
            <w:shd w:val="clear" w:color="auto" w:fill="808080" w:themeFill="background1" w:themeFillShade="80"/>
            <w:vAlign w:val="center"/>
          </w:tcPr>
          <w:p w14:paraId="76889E64" w14:textId="52686052" w:rsidR="00E509CE" w:rsidRPr="002A2F05" w:rsidRDefault="00E509CE" w:rsidP="00DC37B7">
            <w:pPr>
              <w:keepNext/>
              <w:keepLines/>
              <w:snapToGrid w:val="0"/>
              <w:spacing w:before="60" w:after="60" w:line="240" w:lineRule="auto"/>
              <w:rPr>
                <w:b/>
                <w:color w:val="FFFFFF" w:themeColor="background1"/>
                <w:sz w:val="18"/>
                <w:szCs w:val="18"/>
              </w:rPr>
            </w:pPr>
            <w:r w:rsidRPr="002A2F05">
              <w:rPr>
                <w:b/>
                <w:color w:val="FFFFFF" w:themeColor="background1"/>
                <w:sz w:val="18"/>
                <w:szCs w:val="18"/>
              </w:rPr>
              <w:t>Transition rate between health states – on-treatment (</w:t>
            </w:r>
            <w:r w:rsidR="00EB6C06" w:rsidRPr="002A2F05">
              <w:rPr>
                <w:b/>
                <w:color w:val="FFFFFF" w:themeColor="background1"/>
                <w:sz w:val="18"/>
                <w:szCs w:val="18"/>
              </w:rPr>
              <w:t>Nefecon</w:t>
            </w:r>
            <w:r w:rsidR="00D56F03" w:rsidRPr="002A2F05">
              <w:rPr>
                <w:b/>
                <w:color w:val="FFFFFF" w:themeColor="background1"/>
                <w:sz w:val="18"/>
                <w:szCs w:val="18"/>
              </w:rPr>
              <w:t>)</w:t>
            </w:r>
          </w:p>
        </w:tc>
        <w:tc>
          <w:tcPr>
            <w:tcW w:w="625" w:type="pct"/>
            <w:tcBorders>
              <w:left w:val="single" w:sz="4" w:space="0" w:color="auto"/>
              <w:bottom w:val="single" w:sz="4" w:space="0" w:color="auto"/>
            </w:tcBorders>
            <w:shd w:val="clear" w:color="auto" w:fill="808080" w:themeFill="background1" w:themeFillShade="80"/>
            <w:vAlign w:val="center"/>
          </w:tcPr>
          <w:p w14:paraId="72316872" w14:textId="77777777" w:rsidR="00E509CE" w:rsidRPr="002A2F05" w:rsidRDefault="00E509CE" w:rsidP="00DC37B7">
            <w:pPr>
              <w:keepNext/>
              <w:keepLines/>
              <w:snapToGrid w:val="0"/>
              <w:spacing w:before="60" w:after="60" w:line="240" w:lineRule="auto"/>
              <w:rPr>
                <w:b/>
                <w:color w:val="FFFFFF" w:themeColor="background1"/>
                <w:sz w:val="18"/>
                <w:szCs w:val="18"/>
              </w:rPr>
            </w:pPr>
          </w:p>
        </w:tc>
      </w:tr>
      <w:tr w:rsidR="00E509CE" w:rsidRPr="002A2F05" w14:paraId="30431B5A" w14:textId="77777777" w:rsidTr="00DC37B7">
        <w:tc>
          <w:tcPr>
            <w:tcW w:w="614" w:type="pct"/>
            <w:vMerge w:val="restart"/>
            <w:tcBorders>
              <w:top w:val="single" w:sz="4" w:space="0" w:color="auto"/>
              <w:bottom w:val="single" w:sz="4" w:space="0" w:color="auto"/>
              <w:right w:val="single" w:sz="4" w:space="0" w:color="auto"/>
            </w:tcBorders>
            <w:shd w:val="clear" w:color="auto" w:fill="808080" w:themeFill="background1" w:themeFillShade="80"/>
            <w:vAlign w:val="center"/>
          </w:tcPr>
          <w:p w14:paraId="2791BED6" w14:textId="77777777" w:rsidR="00E509CE" w:rsidRPr="002A2F05" w:rsidRDefault="00E509CE" w:rsidP="00DC37B7">
            <w:pPr>
              <w:keepNext/>
              <w:keepLines/>
              <w:snapToGrid w:val="0"/>
              <w:spacing w:before="60" w:after="60" w:line="240" w:lineRule="auto"/>
              <w:rPr>
                <w:b/>
                <w:color w:val="FFFFFF" w:themeColor="background1"/>
                <w:sz w:val="18"/>
                <w:szCs w:val="18"/>
              </w:rPr>
            </w:pPr>
            <w:r w:rsidRPr="002A2F05">
              <w:rPr>
                <w:b/>
                <w:color w:val="FFFFFF" w:themeColor="background1"/>
                <w:sz w:val="18"/>
                <w:szCs w:val="18"/>
              </w:rPr>
              <w:t>From health state</w:t>
            </w:r>
          </w:p>
        </w:tc>
        <w:tc>
          <w:tcPr>
            <w:tcW w:w="3760" w:type="pct"/>
            <w:gridSpan w:val="6"/>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D52DC01" w14:textId="77777777" w:rsidR="00E509CE" w:rsidRPr="002A2F05" w:rsidRDefault="00E509CE" w:rsidP="00DC37B7">
            <w:pPr>
              <w:keepNext/>
              <w:keepLines/>
              <w:snapToGrid w:val="0"/>
              <w:spacing w:before="60" w:after="60" w:line="240" w:lineRule="auto"/>
              <w:rPr>
                <w:b/>
                <w:color w:val="FFFFFF" w:themeColor="background1"/>
                <w:sz w:val="18"/>
                <w:szCs w:val="18"/>
              </w:rPr>
            </w:pPr>
            <w:r w:rsidRPr="002A2F05">
              <w:rPr>
                <w:b/>
                <w:color w:val="FFFFFF" w:themeColor="background1"/>
                <w:sz w:val="18"/>
                <w:szCs w:val="18"/>
              </w:rPr>
              <w:t>To health state</w:t>
            </w:r>
          </w:p>
        </w:tc>
        <w:tc>
          <w:tcPr>
            <w:tcW w:w="625" w:type="pct"/>
            <w:tcBorders>
              <w:top w:val="single" w:sz="4" w:space="0" w:color="auto"/>
              <w:left w:val="single" w:sz="4" w:space="0" w:color="auto"/>
              <w:bottom w:val="single" w:sz="4" w:space="0" w:color="auto"/>
            </w:tcBorders>
            <w:shd w:val="clear" w:color="auto" w:fill="808080" w:themeFill="background1" w:themeFillShade="80"/>
            <w:vAlign w:val="center"/>
          </w:tcPr>
          <w:p w14:paraId="0ECED80D" w14:textId="77777777" w:rsidR="00E509CE" w:rsidRPr="002A2F05" w:rsidRDefault="00E509CE" w:rsidP="00DC37B7">
            <w:pPr>
              <w:keepNext/>
              <w:keepLines/>
              <w:snapToGrid w:val="0"/>
              <w:spacing w:before="60" w:after="60" w:line="240" w:lineRule="auto"/>
              <w:rPr>
                <w:b/>
                <w:color w:val="FFFFFF" w:themeColor="background1"/>
                <w:sz w:val="18"/>
                <w:szCs w:val="18"/>
              </w:rPr>
            </w:pPr>
          </w:p>
        </w:tc>
      </w:tr>
      <w:tr w:rsidR="001227A2" w:rsidRPr="002A2F05" w14:paraId="18F3B594" w14:textId="77777777" w:rsidTr="00DC37B7">
        <w:trPr>
          <w:trHeight w:val="288"/>
        </w:trPr>
        <w:tc>
          <w:tcPr>
            <w:tcW w:w="614" w:type="pct"/>
            <w:vMerge/>
            <w:tcBorders>
              <w:top w:val="single" w:sz="4" w:space="0" w:color="auto"/>
              <w:bottom w:val="single" w:sz="4" w:space="0" w:color="auto"/>
            </w:tcBorders>
            <w:shd w:val="clear" w:color="auto" w:fill="A6A6A6" w:themeFill="background1" w:themeFillShade="A6"/>
            <w:vAlign w:val="center"/>
          </w:tcPr>
          <w:p w14:paraId="197D211E" w14:textId="77777777" w:rsidR="00E509CE" w:rsidRPr="002A2F05" w:rsidRDefault="00E509CE" w:rsidP="00DC37B7">
            <w:pPr>
              <w:keepNext/>
              <w:keepLines/>
              <w:spacing w:before="60" w:after="60" w:line="240" w:lineRule="auto"/>
              <w:rPr>
                <w:sz w:val="18"/>
                <w:szCs w:val="18"/>
              </w:rPr>
            </w:pPr>
          </w:p>
        </w:tc>
        <w:tc>
          <w:tcPr>
            <w:tcW w:w="626" w:type="pct"/>
            <w:tcBorders>
              <w:top w:val="single" w:sz="4" w:space="0" w:color="auto"/>
              <w:bottom w:val="single" w:sz="4" w:space="0" w:color="auto"/>
              <w:right w:val="single" w:sz="4" w:space="0" w:color="auto"/>
            </w:tcBorders>
            <w:shd w:val="clear" w:color="auto" w:fill="A6A6A6" w:themeFill="background1" w:themeFillShade="A6"/>
            <w:vAlign w:val="center"/>
          </w:tcPr>
          <w:p w14:paraId="706C3212" w14:textId="77777777" w:rsidR="00E509CE" w:rsidRPr="002A2F05" w:rsidRDefault="00E509CE" w:rsidP="00DC37B7">
            <w:pPr>
              <w:keepNext/>
              <w:keepLines/>
              <w:spacing w:before="60" w:after="60" w:line="240" w:lineRule="auto"/>
              <w:rPr>
                <w:b/>
                <w:bCs/>
                <w:sz w:val="18"/>
                <w:szCs w:val="18"/>
              </w:rPr>
            </w:pPr>
            <w:r w:rsidRPr="002A2F05">
              <w:rPr>
                <w:b/>
                <w:bCs/>
                <w:sz w:val="18"/>
                <w:szCs w:val="18"/>
              </w:rPr>
              <w:t>CKD 1</w:t>
            </w:r>
          </w:p>
        </w:tc>
        <w:tc>
          <w:tcPr>
            <w:tcW w:w="62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1C9C2E5" w14:textId="77777777" w:rsidR="00E509CE" w:rsidRPr="002A2F05" w:rsidRDefault="00E509CE" w:rsidP="00DC37B7">
            <w:pPr>
              <w:keepNext/>
              <w:keepLines/>
              <w:spacing w:before="60" w:after="60" w:line="240" w:lineRule="auto"/>
              <w:rPr>
                <w:b/>
                <w:bCs/>
                <w:sz w:val="18"/>
                <w:szCs w:val="18"/>
              </w:rPr>
            </w:pPr>
            <w:r w:rsidRPr="002A2F05">
              <w:rPr>
                <w:b/>
                <w:bCs/>
                <w:sz w:val="18"/>
                <w:szCs w:val="18"/>
              </w:rPr>
              <w:t>CKD 2</w:t>
            </w:r>
          </w:p>
        </w:tc>
        <w:tc>
          <w:tcPr>
            <w:tcW w:w="62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4468377" w14:textId="77777777" w:rsidR="00E509CE" w:rsidRPr="002A2F05" w:rsidRDefault="00E509CE" w:rsidP="00DC37B7">
            <w:pPr>
              <w:keepNext/>
              <w:keepLines/>
              <w:spacing w:before="60" w:after="60" w:line="240" w:lineRule="auto"/>
              <w:rPr>
                <w:b/>
                <w:bCs/>
                <w:sz w:val="18"/>
                <w:szCs w:val="18"/>
              </w:rPr>
            </w:pPr>
            <w:r w:rsidRPr="002A2F05">
              <w:rPr>
                <w:b/>
                <w:bCs/>
                <w:sz w:val="18"/>
                <w:szCs w:val="18"/>
              </w:rPr>
              <w:t>CKD 3a</w:t>
            </w:r>
          </w:p>
        </w:tc>
        <w:tc>
          <w:tcPr>
            <w:tcW w:w="62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02E2F86" w14:textId="77777777" w:rsidR="00E509CE" w:rsidRPr="002A2F05" w:rsidRDefault="00E509CE" w:rsidP="00DC37B7">
            <w:pPr>
              <w:keepNext/>
              <w:keepLines/>
              <w:spacing w:before="60" w:after="60" w:line="240" w:lineRule="auto"/>
              <w:rPr>
                <w:b/>
                <w:bCs/>
                <w:sz w:val="18"/>
                <w:szCs w:val="18"/>
              </w:rPr>
            </w:pPr>
            <w:r w:rsidRPr="002A2F05">
              <w:rPr>
                <w:b/>
                <w:bCs/>
                <w:sz w:val="18"/>
                <w:szCs w:val="18"/>
              </w:rPr>
              <w:t>CKD 3b</w:t>
            </w:r>
          </w:p>
        </w:tc>
        <w:tc>
          <w:tcPr>
            <w:tcW w:w="62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6E1D024" w14:textId="77777777" w:rsidR="00E509CE" w:rsidRPr="002A2F05" w:rsidRDefault="00E509CE" w:rsidP="00DC37B7">
            <w:pPr>
              <w:keepNext/>
              <w:keepLines/>
              <w:spacing w:before="60" w:after="60" w:line="240" w:lineRule="auto"/>
              <w:rPr>
                <w:b/>
                <w:bCs/>
                <w:sz w:val="18"/>
                <w:szCs w:val="18"/>
              </w:rPr>
            </w:pPr>
            <w:r w:rsidRPr="002A2F05">
              <w:rPr>
                <w:b/>
                <w:bCs/>
                <w:sz w:val="18"/>
                <w:szCs w:val="18"/>
              </w:rPr>
              <w:t>CKD 4</w:t>
            </w:r>
          </w:p>
        </w:tc>
        <w:tc>
          <w:tcPr>
            <w:tcW w:w="62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FFAD237" w14:textId="77777777" w:rsidR="00E509CE" w:rsidRPr="002A2F05" w:rsidRDefault="00E509CE" w:rsidP="00DC37B7">
            <w:pPr>
              <w:keepNext/>
              <w:keepLines/>
              <w:spacing w:before="60" w:after="60" w:line="240" w:lineRule="auto"/>
              <w:rPr>
                <w:b/>
                <w:bCs/>
                <w:sz w:val="18"/>
                <w:szCs w:val="18"/>
              </w:rPr>
            </w:pPr>
            <w:r w:rsidRPr="002A2F05">
              <w:rPr>
                <w:b/>
                <w:bCs/>
                <w:sz w:val="18"/>
                <w:szCs w:val="18"/>
              </w:rPr>
              <w:t xml:space="preserve">ESRD </w:t>
            </w:r>
          </w:p>
        </w:tc>
        <w:tc>
          <w:tcPr>
            <w:tcW w:w="62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45F595A" w14:textId="77777777" w:rsidR="00E509CE" w:rsidRPr="002A2F05" w:rsidRDefault="00E509CE" w:rsidP="00DC37B7">
            <w:pPr>
              <w:keepNext/>
              <w:keepLines/>
              <w:spacing w:before="60" w:after="60" w:line="240" w:lineRule="auto"/>
              <w:rPr>
                <w:b/>
                <w:bCs/>
                <w:sz w:val="18"/>
                <w:szCs w:val="18"/>
              </w:rPr>
            </w:pPr>
            <w:r w:rsidRPr="002A2F05">
              <w:rPr>
                <w:b/>
                <w:bCs/>
                <w:sz w:val="18"/>
                <w:szCs w:val="18"/>
              </w:rPr>
              <w:t>Total</w:t>
            </w:r>
          </w:p>
        </w:tc>
      </w:tr>
      <w:tr w:rsidR="00E509CE" w:rsidRPr="002A2F05" w14:paraId="56A27646" w14:textId="77777777" w:rsidTr="001227A2">
        <w:trPr>
          <w:trHeight w:val="288"/>
        </w:trPr>
        <w:tc>
          <w:tcPr>
            <w:tcW w:w="614" w:type="pct"/>
            <w:tcBorders>
              <w:top w:val="single" w:sz="4" w:space="0" w:color="auto"/>
            </w:tcBorders>
            <w:vAlign w:val="center"/>
          </w:tcPr>
          <w:p w14:paraId="5889A71C" w14:textId="77777777" w:rsidR="00E509CE" w:rsidRPr="002A2F05" w:rsidRDefault="00E509CE" w:rsidP="00CC706A">
            <w:pPr>
              <w:keepNext/>
              <w:keepLines/>
              <w:spacing w:before="60" w:after="60" w:line="240" w:lineRule="auto"/>
              <w:rPr>
                <w:b/>
                <w:bCs/>
                <w:sz w:val="18"/>
                <w:szCs w:val="18"/>
              </w:rPr>
            </w:pPr>
            <w:r w:rsidRPr="002A2F05">
              <w:rPr>
                <w:b/>
                <w:bCs/>
                <w:sz w:val="18"/>
                <w:szCs w:val="18"/>
              </w:rPr>
              <w:t>CKD 1</w:t>
            </w:r>
          </w:p>
        </w:tc>
        <w:tc>
          <w:tcPr>
            <w:tcW w:w="626" w:type="pct"/>
            <w:tcBorders>
              <w:top w:val="single" w:sz="4" w:space="0" w:color="auto"/>
              <w:bottom w:val="dotted" w:sz="4" w:space="0" w:color="auto"/>
              <w:right w:val="dotted" w:sz="4" w:space="0" w:color="auto"/>
            </w:tcBorders>
            <w:vAlign w:val="center"/>
          </w:tcPr>
          <w:p w14:paraId="33DCCDCA" w14:textId="77777777" w:rsidR="00E509CE" w:rsidRPr="002A2F05" w:rsidRDefault="00E509CE" w:rsidP="00CC706A">
            <w:pPr>
              <w:keepNext/>
              <w:keepLines/>
              <w:spacing w:before="60" w:after="60" w:line="240" w:lineRule="auto"/>
              <w:rPr>
                <w:sz w:val="18"/>
                <w:szCs w:val="18"/>
              </w:rPr>
            </w:pPr>
            <w:r w:rsidRPr="002A2F05">
              <w:rPr>
                <w:sz w:val="18"/>
                <w:szCs w:val="18"/>
              </w:rPr>
              <w:t>95.4%</w:t>
            </w:r>
          </w:p>
        </w:tc>
        <w:tc>
          <w:tcPr>
            <w:tcW w:w="627" w:type="pct"/>
            <w:tcBorders>
              <w:top w:val="single" w:sz="4" w:space="0" w:color="auto"/>
              <w:left w:val="dotted" w:sz="4" w:space="0" w:color="auto"/>
              <w:bottom w:val="dotted" w:sz="4" w:space="0" w:color="auto"/>
              <w:right w:val="dotted" w:sz="4" w:space="0" w:color="auto"/>
            </w:tcBorders>
            <w:vAlign w:val="center"/>
          </w:tcPr>
          <w:p w14:paraId="38CF9873" w14:textId="77777777" w:rsidR="00E509CE" w:rsidRPr="002A2F05" w:rsidRDefault="00E509CE" w:rsidP="00CC706A">
            <w:pPr>
              <w:keepNext/>
              <w:keepLines/>
              <w:spacing w:before="60" w:after="60" w:line="240" w:lineRule="auto"/>
              <w:rPr>
                <w:sz w:val="18"/>
                <w:szCs w:val="18"/>
              </w:rPr>
            </w:pPr>
            <w:r w:rsidRPr="002A2F05">
              <w:rPr>
                <w:sz w:val="18"/>
                <w:szCs w:val="18"/>
              </w:rPr>
              <w:t>4.6%</w:t>
            </w:r>
          </w:p>
        </w:tc>
        <w:tc>
          <w:tcPr>
            <w:tcW w:w="627" w:type="pct"/>
            <w:tcBorders>
              <w:top w:val="single" w:sz="4" w:space="0" w:color="auto"/>
              <w:left w:val="dotted" w:sz="4" w:space="0" w:color="auto"/>
              <w:bottom w:val="dotted" w:sz="4" w:space="0" w:color="auto"/>
              <w:right w:val="dotted" w:sz="4" w:space="0" w:color="auto"/>
            </w:tcBorders>
            <w:shd w:val="clear" w:color="auto" w:fill="D9D9D9" w:themeFill="background1" w:themeFillShade="D9"/>
            <w:vAlign w:val="center"/>
          </w:tcPr>
          <w:p w14:paraId="0F1833FF" w14:textId="77777777" w:rsidR="00E509CE" w:rsidRPr="002A2F05" w:rsidRDefault="00E509CE" w:rsidP="00CC706A">
            <w:pPr>
              <w:keepNext/>
              <w:keepLines/>
              <w:spacing w:before="60" w:after="60" w:line="240" w:lineRule="auto"/>
              <w:rPr>
                <w:sz w:val="18"/>
                <w:szCs w:val="18"/>
              </w:rPr>
            </w:pPr>
          </w:p>
        </w:tc>
        <w:tc>
          <w:tcPr>
            <w:tcW w:w="626" w:type="pct"/>
            <w:tcBorders>
              <w:top w:val="single" w:sz="4" w:space="0" w:color="auto"/>
              <w:left w:val="dotted" w:sz="4" w:space="0" w:color="auto"/>
              <w:bottom w:val="dotted" w:sz="4" w:space="0" w:color="auto"/>
              <w:right w:val="dotted" w:sz="4" w:space="0" w:color="auto"/>
            </w:tcBorders>
            <w:shd w:val="clear" w:color="auto" w:fill="D9D9D9" w:themeFill="background1" w:themeFillShade="D9"/>
            <w:vAlign w:val="center"/>
          </w:tcPr>
          <w:p w14:paraId="2E8F644D" w14:textId="77777777" w:rsidR="00E509CE" w:rsidRPr="002A2F05" w:rsidRDefault="00E509CE" w:rsidP="00CC706A">
            <w:pPr>
              <w:keepNext/>
              <w:keepLines/>
              <w:spacing w:before="60" w:after="60" w:line="240" w:lineRule="auto"/>
              <w:rPr>
                <w:sz w:val="18"/>
                <w:szCs w:val="18"/>
              </w:rPr>
            </w:pPr>
          </w:p>
        </w:tc>
        <w:tc>
          <w:tcPr>
            <w:tcW w:w="627" w:type="pct"/>
            <w:tcBorders>
              <w:top w:val="single" w:sz="4" w:space="0" w:color="auto"/>
              <w:left w:val="dotted" w:sz="4" w:space="0" w:color="auto"/>
              <w:bottom w:val="dotted" w:sz="4" w:space="0" w:color="auto"/>
              <w:right w:val="dotted" w:sz="4" w:space="0" w:color="auto"/>
            </w:tcBorders>
            <w:shd w:val="clear" w:color="auto" w:fill="D9D9D9" w:themeFill="background1" w:themeFillShade="D9"/>
            <w:vAlign w:val="center"/>
          </w:tcPr>
          <w:p w14:paraId="4E07AD52" w14:textId="77777777" w:rsidR="00E509CE" w:rsidRPr="002A2F05" w:rsidRDefault="00E509CE" w:rsidP="00CC706A">
            <w:pPr>
              <w:keepNext/>
              <w:keepLines/>
              <w:spacing w:before="60" w:after="60" w:line="240" w:lineRule="auto"/>
              <w:rPr>
                <w:sz w:val="18"/>
                <w:szCs w:val="18"/>
              </w:rPr>
            </w:pPr>
          </w:p>
        </w:tc>
        <w:tc>
          <w:tcPr>
            <w:tcW w:w="628" w:type="pct"/>
            <w:tcBorders>
              <w:top w:val="single" w:sz="4" w:space="0" w:color="auto"/>
              <w:left w:val="dotted" w:sz="4" w:space="0" w:color="auto"/>
              <w:bottom w:val="dotted" w:sz="4" w:space="0" w:color="auto"/>
              <w:right w:val="single" w:sz="4" w:space="0" w:color="auto"/>
            </w:tcBorders>
            <w:shd w:val="clear" w:color="auto" w:fill="D9D9D9" w:themeFill="background1" w:themeFillShade="D9"/>
            <w:vAlign w:val="center"/>
          </w:tcPr>
          <w:p w14:paraId="17910A58" w14:textId="77777777" w:rsidR="00E509CE" w:rsidRPr="002A2F05" w:rsidRDefault="00E509CE" w:rsidP="00CC706A">
            <w:pPr>
              <w:keepNext/>
              <w:keepLines/>
              <w:spacing w:before="60" w:after="60" w:line="240" w:lineRule="auto"/>
              <w:rPr>
                <w:sz w:val="18"/>
                <w:szCs w:val="18"/>
              </w:rPr>
            </w:pPr>
          </w:p>
        </w:tc>
        <w:tc>
          <w:tcPr>
            <w:tcW w:w="625" w:type="pct"/>
            <w:tcBorders>
              <w:top w:val="single" w:sz="4" w:space="0" w:color="auto"/>
              <w:left w:val="single" w:sz="4" w:space="0" w:color="auto"/>
              <w:bottom w:val="dotted" w:sz="4" w:space="0" w:color="auto"/>
            </w:tcBorders>
            <w:vAlign w:val="center"/>
          </w:tcPr>
          <w:p w14:paraId="3246867F" w14:textId="77777777" w:rsidR="00E509CE" w:rsidRPr="002A2F05" w:rsidRDefault="00E509CE" w:rsidP="00CC706A">
            <w:pPr>
              <w:keepNext/>
              <w:keepLines/>
              <w:spacing w:before="60" w:after="60" w:line="240" w:lineRule="auto"/>
              <w:rPr>
                <w:sz w:val="18"/>
                <w:szCs w:val="18"/>
              </w:rPr>
            </w:pPr>
            <w:r w:rsidRPr="002A2F05">
              <w:rPr>
                <w:sz w:val="18"/>
                <w:szCs w:val="18"/>
              </w:rPr>
              <w:t>100%</w:t>
            </w:r>
          </w:p>
        </w:tc>
      </w:tr>
      <w:tr w:rsidR="00E509CE" w:rsidRPr="002A2F05" w14:paraId="19C134F5" w14:textId="77777777" w:rsidTr="00CD0186">
        <w:trPr>
          <w:trHeight w:val="288"/>
        </w:trPr>
        <w:tc>
          <w:tcPr>
            <w:tcW w:w="614" w:type="pct"/>
            <w:vAlign w:val="center"/>
          </w:tcPr>
          <w:p w14:paraId="31A047DA" w14:textId="77777777" w:rsidR="00E509CE" w:rsidRPr="002A2F05" w:rsidRDefault="00E509CE" w:rsidP="00CC706A">
            <w:pPr>
              <w:keepNext/>
              <w:keepLines/>
              <w:spacing w:before="60" w:after="60" w:line="240" w:lineRule="auto"/>
              <w:rPr>
                <w:b/>
                <w:bCs/>
                <w:sz w:val="18"/>
                <w:szCs w:val="18"/>
              </w:rPr>
            </w:pPr>
            <w:r w:rsidRPr="002A2F05">
              <w:rPr>
                <w:b/>
                <w:bCs/>
                <w:sz w:val="18"/>
                <w:szCs w:val="18"/>
              </w:rPr>
              <w:t>CKD 2</w:t>
            </w:r>
          </w:p>
        </w:tc>
        <w:tc>
          <w:tcPr>
            <w:tcW w:w="626" w:type="pct"/>
            <w:tcBorders>
              <w:top w:val="dotted" w:sz="4" w:space="0" w:color="auto"/>
              <w:bottom w:val="dotted" w:sz="4" w:space="0" w:color="auto"/>
              <w:right w:val="dotted" w:sz="4" w:space="0" w:color="auto"/>
            </w:tcBorders>
            <w:vAlign w:val="center"/>
          </w:tcPr>
          <w:p w14:paraId="6CF149AA" w14:textId="77777777" w:rsidR="00E509CE" w:rsidRPr="002A2F05" w:rsidRDefault="00E509CE" w:rsidP="00CC706A">
            <w:pPr>
              <w:keepNext/>
              <w:keepLines/>
              <w:spacing w:before="60" w:after="60" w:line="240" w:lineRule="auto"/>
              <w:rPr>
                <w:sz w:val="18"/>
                <w:szCs w:val="18"/>
              </w:rPr>
            </w:pPr>
            <w:r w:rsidRPr="002A2F05">
              <w:rPr>
                <w:sz w:val="18"/>
                <w:szCs w:val="18"/>
              </w:rPr>
              <w:t>1.6%</w:t>
            </w:r>
          </w:p>
        </w:tc>
        <w:tc>
          <w:tcPr>
            <w:tcW w:w="627" w:type="pct"/>
            <w:tcBorders>
              <w:top w:val="dotted" w:sz="4" w:space="0" w:color="auto"/>
              <w:left w:val="dotted" w:sz="4" w:space="0" w:color="auto"/>
              <w:bottom w:val="dotted" w:sz="4" w:space="0" w:color="auto"/>
              <w:right w:val="dotted" w:sz="4" w:space="0" w:color="auto"/>
            </w:tcBorders>
            <w:vAlign w:val="center"/>
          </w:tcPr>
          <w:p w14:paraId="7FA3E5EE" w14:textId="77777777" w:rsidR="00E509CE" w:rsidRPr="002A2F05" w:rsidRDefault="00E509CE" w:rsidP="00CC706A">
            <w:pPr>
              <w:keepNext/>
              <w:keepLines/>
              <w:spacing w:before="60" w:after="60" w:line="240" w:lineRule="auto"/>
              <w:rPr>
                <w:sz w:val="18"/>
                <w:szCs w:val="18"/>
              </w:rPr>
            </w:pPr>
            <w:r w:rsidRPr="002A2F05">
              <w:rPr>
                <w:sz w:val="18"/>
                <w:szCs w:val="18"/>
              </w:rPr>
              <w:t>96.4%</w:t>
            </w:r>
          </w:p>
        </w:tc>
        <w:tc>
          <w:tcPr>
            <w:tcW w:w="627" w:type="pct"/>
            <w:tcBorders>
              <w:top w:val="dotted" w:sz="4" w:space="0" w:color="auto"/>
              <w:left w:val="dotted" w:sz="4" w:space="0" w:color="auto"/>
              <w:bottom w:val="dotted" w:sz="4" w:space="0" w:color="auto"/>
              <w:right w:val="dotted" w:sz="4" w:space="0" w:color="auto"/>
            </w:tcBorders>
            <w:vAlign w:val="center"/>
          </w:tcPr>
          <w:p w14:paraId="4DB8E04F" w14:textId="77777777" w:rsidR="00E509CE" w:rsidRPr="002A2F05" w:rsidRDefault="00E509CE" w:rsidP="00CC706A">
            <w:pPr>
              <w:keepNext/>
              <w:keepLines/>
              <w:spacing w:before="60" w:after="60" w:line="240" w:lineRule="auto"/>
              <w:rPr>
                <w:sz w:val="18"/>
                <w:szCs w:val="18"/>
              </w:rPr>
            </w:pPr>
            <w:r w:rsidRPr="002A2F05">
              <w:rPr>
                <w:sz w:val="18"/>
                <w:szCs w:val="18"/>
              </w:rPr>
              <w:t>2.0%</w:t>
            </w:r>
          </w:p>
        </w:tc>
        <w:tc>
          <w:tcPr>
            <w:tcW w:w="626"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4882127C" w14:textId="77777777" w:rsidR="00E509CE" w:rsidRPr="002A2F05" w:rsidRDefault="00E509CE" w:rsidP="00CC706A">
            <w:pPr>
              <w:keepNext/>
              <w:keepLines/>
              <w:spacing w:before="60" w:after="60" w:line="240" w:lineRule="auto"/>
              <w:rPr>
                <w:sz w:val="18"/>
                <w:szCs w:val="18"/>
              </w:rPr>
            </w:pPr>
          </w:p>
        </w:tc>
        <w:tc>
          <w:tcPr>
            <w:tcW w:w="627"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410C0C71" w14:textId="77777777" w:rsidR="00E509CE" w:rsidRPr="002A2F05" w:rsidRDefault="00E509CE" w:rsidP="00CC706A">
            <w:pPr>
              <w:keepNext/>
              <w:keepLines/>
              <w:spacing w:before="60" w:after="60" w:line="240" w:lineRule="auto"/>
              <w:rPr>
                <w:sz w:val="18"/>
                <w:szCs w:val="18"/>
              </w:rPr>
            </w:pPr>
          </w:p>
        </w:tc>
        <w:tc>
          <w:tcPr>
            <w:tcW w:w="628" w:type="pct"/>
            <w:tcBorders>
              <w:top w:val="dotted" w:sz="4" w:space="0" w:color="auto"/>
              <w:left w:val="dotted" w:sz="4" w:space="0" w:color="auto"/>
              <w:bottom w:val="dotted" w:sz="4" w:space="0" w:color="auto"/>
              <w:right w:val="single" w:sz="4" w:space="0" w:color="auto"/>
            </w:tcBorders>
            <w:shd w:val="clear" w:color="auto" w:fill="D9D9D9" w:themeFill="background1" w:themeFillShade="D9"/>
            <w:vAlign w:val="center"/>
          </w:tcPr>
          <w:p w14:paraId="06462C63" w14:textId="77777777" w:rsidR="00E509CE" w:rsidRPr="002A2F05" w:rsidRDefault="00E509CE" w:rsidP="00CC706A">
            <w:pPr>
              <w:keepNext/>
              <w:keepLines/>
              <w:spacing w:before="60" w:after="60" w:line="240" w:lineRule="auto"/>
              <w:rPr>
                <w:sz w:val="18"/>
                <w:szCs w:val="18"/>
              </w:rPr>
            </w:pPr>
          </w:p>
        </w:tc>
        <w:tc>
          <w:tcPr>
            <w:tcW w:w="625" w:type="pct"/>
            <w:tcBorders>
              <w:top w:val="dotted" w:sz="4" w:space="0" w:color="auto"/>
              <w:left w:val="single" w:sz="4" w:space="0" w:color="auto"/>
              <w:bottom w:val="dotted" w:sz="4" w:space="0" w:color="auto"/>
            </w:tcBorders>
            <w:vAlign w:val="center"/>
          </w:tcPr>
          <w:p w14:paraId="4D218391" w14:textId="77777777" w:rsidR="00E509CE" w:rsidRPr="002A2F05" w:rsidRDefault="00E509CE" w:rsidP="00CC706A">
            <w:pPr>
              <w:keepNext/>
              <w:keepLines/>
              <w:spacing w:before="60" w:after="60" w:line="240" w:lineRule="auto"/>
              <w:rPr>
                <w:sz w:val="18"/>
                <w:szCs w:val="18"/>
              </w:rPr>
            </w:pPr>
            <w:r w:rsidRPr="002A2F05">
              <w:rPr>
                <w:sz w:val="18"/>
                <w:szCs w:val="18"/>
              </w:rPr>
              <w:t>100%</w:t>
            </w:r>
          </w:p>
        </w:tc>
      </w:tr>
      <w:tr w:rsidR="00E509CE" w:rsidRPr="002A2F05" w14:paraId="168EF537" w14:textId="77777777" w:rsidTr="00CD0186">
        <w:trPr>
          <w:trHeight w:val="288"/>
        </w:trPr>
        <w:tc>
          <w:tcPr>
            <w:tcW w:w="614" w:type="pct"/>
            <w:tcBorders>
              <w:right w:val="single" w:sz="4" w:space="0" w:color="auto"/>
            </w:tcBorders>
            <w:vAlign w:val="center"/>
          </w:tcPr>
          <w:p w14:paraId="24196855" w14:textId="77777777" w:rsidR="00E509CE" w:rsidRPr="002A2F05" w:rsidRDefault="00E509CE" w:rsidP="00CC706A">
            <w:pPr>
              <w:keepNext/>
              <w:keepLines/>
              <w:spacing w:before="60" w:after="60" w:line="240" w:lineRule="auto"/>
              <w:rPr>
                <w:b/>
                <w:bCs/>
                <w:sz w:val="18"/>
                <w:szCs w:val="18"/>
              </w:rPr>
            </w:pPr>
            <w:r w:rsidRPr="002A2F05">
              <w:rPr>
                <w:b/>
                <w:bCs/>
                <w:sz w:val="18"/>
                <w:szCs w:val="18"/>
              </w:rPr>
              <w:t>CKD 3a</w:t>
            </w:r>
          </w:p>
        </w:tc>
        <w:tc>
          <w:tcPr>
            <w:tcW w:w="626" w:type="pct"/>
            <w:tcBorders>
              <w:top w:val="dotted" w:sz="4" w:space="0" w:color="auto"/>
              <w:left w:val="single" w:sz="4" w:space="0" w:color="auto"/>
              <w:bottom w:val="nil"/>
              <w:right w:val="dotted" w:sz="4" w:space="0" w:color="auto"/>
            </w:tcBorders>
            <w:shd w:val="clear" w:color="auto" w:fill="D9D9D9" w:themeFill="background1" w:themeFillShade="D9"/>
            <w:vAlign w:val="center"/>
          </w:tcPr>
          <w:p w14:paraId="7DC449BC" w14:textId="77777777" w:rsidR="00E509CE" w:rsidRPr="002A2F05" w:rsidRDefault="00E509CE" w:rsidP="00CC706A">
            <w:pPr>
              <w:keepNext/>
              <w:keepLines/>
              <w:spacing w:before="60" w:after="60" w:line="240" w:lineRule="auto"/>
              <w:rPr>
                <w:sz w:val="18"/>
                <w:szCs w:val="18"/>
              </w:rPr>
            </w:pPr>
          </w:p>
        </w:tc>
        <w:tc>
          <w:tcPr>
            <w:tcW w:w="627" w:type="pct"/>
            <w:tcBorders>
              <w:top w:val="dotted" w:sz="4" w:space="0" w:color="auto"/>
              <w:left w:val="dotted" w:sz="4" w:space="0" w:color="auto"/>
              <w:bottom w:val="dotted" w:sz="4" w:space="0" w:color="auto"/>
              <w:right w:val="dotted" w:sz="4" w:space="0" w:color="auto"/>
            </w:tcBorders>
            <w:vAlign w:val="center"/>
          </w:tcPr>
          <w:p w14:paraId="6E4DAEB9" w14:textId="77777777" w:rsidR="00E509CE" w:rsidRPr="002A2F05" w:rsidRDefault="00E509CE" w:rsidP="00CC706A">
            <w:pPr>
              <w:keepNext/>
              <w:keepLines/>
              <w:spacing w:before="60" w:after="60" w:line="240" w:lineRule="auto"/>
              <w:rPr>
                <w:sz w:val="18"/>
                <w:szCs w:val="18"/>
              </w:rPr>
            </w:pPr>
            <w:r w:rsidRPr="002A2F05">
              <w:rPr>
                <w:sz w:val="18"/>
                <w:szCs w:val="18"/>
              </w:rPr>
              <w:t>4.2%</w:t>
            </w:r>
          </w:p>
        </w:tc>
        <w:tc>
          <w:tcPr>
            <w:tcW w:w="627" w:type="pct"/>
            <w:tcBorders>
              <w:top w:val="dotted" w:sz="4" w:space="0" w:color="auto"/>
              <w:left w:val="dotted" w:sz="4" w:space="0" w:color="auto"/>
              <w:bottom w:val="dotted" w:sz="4" w:space="0" w:color="auto"/>
              <w:right w:val="dotted" w:sz="4" w:space="0" w:color="auto"/>
            </w:tcBorders>
            <w:vAlign w:val="center"/>
          </w:tcPr>
          <w:p w14:paraId="3534F21C" w14:textId="77777777" w:rsidR="00E509CE" w:rsidRPr="002A2F05" w:rsidRDefault="00E509CE" w:rsidP="00CC706A">
            <w:pPr>
              <w:keepNext/>
              <w:keepLines/>
              <w:spacing w:before="60" w:after="60" w:line="240" w:lineRule="auto"/>
              <w:rPr>
                <w:sz w:val="18"/>
                <w:szCs w:val="18"/>
              </w:rPr>
            </w:pPr>
            <w:r w:rsidRPr="002A2F05">
              <w:rPr>
                <w:sz w:val="18"/>
                <w:szCs w:val="18"/>
              </w:rPr>
              <w:t>92.7%</w:t>
            </w:r>
          </w:p>
        </w:tc>
        <w:tc>
          <w:tcPr>
            <w:tcW w:w="626" w:type="pct"/>
            <w:tcBorders>
              <w:top w:val="dotted" w:sz="4" w:space="0" w:color="auto"/>
              <w:left w:val="dotted" w:sz="4" w:space="0" w:color="auto"/>
              <w:bottom w:val="dotted" w:sz="4" w:space="0" w:color="auto"/>
              <w:right w:val="dotted" w:sz="4" w:space="0" w:color="auto"/>
            </w:tcBorders>
            <w:vAlign w:val="center"/>
          </w:tcPr>
          <w:p w14:paraId="4B38DC3C" w14:textId="77777777" w:rsidR="00E509CE" w:rsidRPr="002A2F05" w:rsidRDefault="00E509CE" w:rsidP="00CC706A">
            <w:pPr>
              <w:keepNext/>
              <w:keepLines/>
              <w:spacing w:before="60" w:after="60" w:line="240" w:lineRule="auto"/>
              <w:rPr>
                <w:sz w:val="18"/>
                <w:szCs w:val="18"/>
              </w:rPr>
            </w:pPr>
            <w:r w:rsidRPr="002A2F05">
              <w:rPr>
                <w:sz w:val="18"/>
                <w:szCs w:val="18"/>
              </w:rPr>
              <w:t>3.1%</w:t>
            </w:r>
          </w:p>
        </w:tc>
        <w:tc>
          <w:tcPr>
            <w:tcW w:w="627"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5F65CF40" w14:textId="77777777" w:rsidR="00E509CE" w:rsidRPr="002A2F05" w:rsidRDefault="00E509CE" w:rsidP="00CC706A">
            <w:pPr>
              <w:keepNext/>
              <w:keepLines/>
              <w:spacing w:before="60" w:after="60" w:line="240" w:lineRule="auto"/>
              <w:rPr>
                <w:sz w:val="18"/>
                <w:szCs w:val="18"/>
              </w:rPr>
            </w:pPr>
          </w:p>
        </w:tc>
        <w:tc>
          <w:tcPr>
            <w:tcW w:w="628" w:type="pct"/>
            <w:tcBorders>
              <w:top w:val="dotted" w:sz="4" w:space="0" w:color="auto"/>
              <w:left w:val="dotted" w:sz="4" w:space="0" w:color="auto"/>
              <w:bottom w:val="dotted" w:sz="4" w:space="0" w:color="auto"/>
              <w:right w:val="single" w:sz="4" w:space="0" w:color="auto"/>
            </w:tcBorders>
            <w:shd w:val="clear" w:color="auto" w:fill="D9D9D9" w:themeFill="background1" w:themeFillShade="D9"/>
            <w:vAlign w:val="center"/>
          </w:tcPr>
          <w:p w14:paraId="5FCCA1D7" w14:textId="77777777" w:rsidR="00E509CE" w:rsidRPr="002A2F05" w:rsidRDefault="00E509CE" w:rsidP="00CC706A">
            <w:pPr>
              <w:keepNext/>
              <w:keepLines/>
              <w:spacing w:before="60" w:after="60" w:line="240" w:lineRule="auto"/>
              <w:rPr>
                <w:sz w:val="18"/>
                <w:szCs w:val="18"/>
              </w:rPr>
            </w:pPr>
          </w:p>
        </w:tc>
        <w:tc>
          <w:tcPr>
            <w:tcW w:w="625" w:type="pct"/>
            <w:tcBorders>
              <w:top w:val="dotted" w:sz="4" w:space="0" w:color="auto"/>
              <w:left w:val="single" w:sz="4" w:space="0" w:color="auto"/>
              <w:bottom w:val="dotted" w:sz="4" w:space="0" w:color="auto"/>
            </w:tcBorders>
            <w:vAlign w:val="center"/>
          </w:tcPr>
          <w:p w14:paraId="48699BE8" w14:textId="77777777" w:rsidR="00E509CE" w:rsidRPr="002A2F05" w:rsidRDefault="00E509CE" w:rsidP="00CC706A">
            <w:pPr>
              <w:keepNext/>
              <w:keepLines/>
              <w:spacing w:before="60" w:after="60" w:line="240" w:lineRule="auto"/>
              <w:rPr>
                <w:sz w:val="18"/>
                <w:szCs w:val="18"/>
              </w:rPr>
            </w:pPr>
            <w:r w:rsidRPr="002A2F05">
              <w:rPr>
                <w:sz w:val="18"/>
                <w:szCs w:val="18"/>
              </w:rPr>
              <w:t>100%</w:t>
            </w:r>
          </w:p>
        </w:tc>
      </w:tr>
      <w:tr w:rsidR="00E509CE" w:rsidRPr="002A2F05" w14:paraId="249A68A4" w14:textId="77777777" w:rsidTr="00CD0186">
        <w:trPr>
          <w:trHeight w:val="288"/>
        </w:trPr>
        <w:tc>
          <w:tcPr>
            <w:tcW w:w="614" w:type="pct"/>
            <w:tcBorders>
              <w:right w:val="single" w:sz="4" w:space="0" w:color="auto"/>
            </w:tcBorders>
            <w:vAlign w:val="center"/>
          </w:tcPr>
          <w:p w14:paraId="056201F8" w14:textId="77777777" w:rsidR="00E509CE" w:rsidRPr="002A2F05" w:rsidRDefault="00E509CE" w:rsidP="00CC706A">
            <w:pPr>
              <w:keepNext/>
              <w:keepLines/>
              <w:spacing w:before="60" w:after="60" w:line="240" w:lineRule="auto"/>
              <w:rPr>
                <w:b/>
                <w:bCs/>
                <w:sz w:val="18"/>
                <w:szCs w:val="18"/>
              </w:rPr>
            </w:pPr>
            <w:r w:rsidRPr="002A2F05">
              <w:rPr>
                <w:b/>
                <w:bCs/>
                <w:sz w:val="18"/>
                <w:szCs w:val="18"/>
              </w:rPr>
              <w:t>CKD 3b</w:t>
            </w:r>
          </w:p>
        </w:tc>
        <w:tc>
          <w:tcPr>
            <w:tcW w:w="626" w:type="pct"/>
            <w:tcBorders>
              <w:top w:val="nil"/>
              <w:left w:val="single" w:sz="4" w:space="0" w:color="auto"/>
              <w:bottom w:val="nil"/>
              <w:right w:val="dotted" w:sz="4" w:space="0" w:color="auto"/>
            </w:tcBorders>
            <w:shd w:val="clear" w:color="auto" w:fill="D9D9D9" w:themeFill="background1" w:themeFillShade="D9"/>
            <w:vAlign w:val="center"/>
          </w:tcPr>
          <w:p w14:paraId="1BF24968" w14:textId="77777777" w:rsidR="00E509CE" w:rsidRPr="002A2F05" w:rsidRDefault="00E509CE" w:rsidP="00CC706A">
            <w:pPr>
              <w:keepNext/>
              <w:keepLines/>
              <w:spacing w:before="60" w:after="60" w:line="240" w:lineRule="auto"/>
              <w:rPr>
                <w:sz w:val="18"/>
                <w:szCs w:val="18"/>
              </w:rPr>
            </w:pPr>
          </w:p>
        </w:tc>
        <w:tc>
          <w:tcPr>
            <w:tcW w:w="627" w:type="pct"/>
            <w:tcBorders>
              <w:top w:val="dotted" w:sz="4" w:space="0" w:color="auto"/>
              <w:left w:val="dotted" w:sz="4" w:space="0" w:color="auto"/>
              <w:bottom w:val="nil"/>
              <w:right w:val="dotted" w:sz="4" w:space="0" w:color="auto"/>
            </w:tcBorders>
            <w:shd w:val="clear" w:color="auto" w:fill="D9D9D9" w:themeFill="background1" w:themeFillShade="D9"/>
            <w:vAlign w:val="center"/>
          </w:tcPr>
          <w:p w14:paraId="38F6EB1B" w14:textId="77777777" w:rsidR="00E509CE" w:rsidRPr="002A2F05" w:rsidRDefault="00E509CE" w:rsidP="00CC706A">
            <w:pPr>
              <w:keepNext/>
              <w:keepLines/>
              <w:spacing w:before="60" w:after="60" w:line="240" w:lineRule="auto"/>
              <w:rPr>
                <w:sz w:val="18"/>
                <w:szCs w:val="18"/>
              </w:rPr>
            </w:pPr>
          </w:p>
        </w:tc>
        <w:tc>
          <w:tcPr>
            <w:tcW w:w="627" w:type="pct"/>
            <w:tcBorders>
              <w:top w:val="dotted" w:sz="4" w:space="0" w:color="auto"/>
              <w:left w:val="dotted" w:sz="4" w:space="0" w:color="auto"/>
              <w:bottom w:val="dotted" w:sz="4" w:space="0" w:color="auto"/>
              <w:right w:val="dotted" w:sz="4" w:space="0" w:color="auto"/>
            </w:tcBorders>
            <w:vAlign w:val="center"/>
          </w:tcPr>
          <w:p w14:paraId="73A639DB" w14:textId="77777777" w:rsidR="00E509CE" w:rsidRPr="002A2F05" w:rsidRDefault="00E509CE" w:rsidP="00CC706A">
            <w:pPr>
              <w:keepNext/>
              <w:keepLines/>
              <w:spacing w:before="60" w:after="60" w:line="240" w:lineRule="auto"/>
              <w:rPr>
                <w:sz w:val="18"/>
                <w:szCs w:val="18"/>
              </w:rPr>
            </w:pPr>
            <w:r w:rsidRPr="002A2F05">
              <w:rPr>
                <w:sz w:val="18"/>
                <w:szCs w:val="18"/>
              </w:rPr>
              <w:t>3.1%</w:t>
            </w:r>
          </w:p>
        </w:tc>
        <w:tc>
          <w:tcPr>
            <w:tcW w:w="626" w:type="pct"/>
            <w:tcBorders>
              <w:top w:val="dotted" w:sz="4" w:space="0" w:color="auto"/>
              <w:left w:val="dotted" w:sz="4" w:space="0" w:color="auto"/>
              <w:bottom w:val="dotted" w:sz="4" w:space="0" w:color="auto"/>
              <w:right w:val="dotted" w:sz="4" w:space="0" w:color="auto"/>
            </w:tcBorders>
            <w:vAlign w:val="center"/>
          </w:tcPr>
          <w:p w14:paraId="4B067899" w14:textId="77777777" w:rsidR="00E509CE" w:rsidRPr="002A2F05" w:rsidRDefault="00E509CE" w:rsidP="00CC706A">
            <w:pPr>
              <w:keepNext/>
              <w:keepLines/>
              <w:spacing w:before="60" w:after="60" w:line="240" w:lineRule="auto"/>
              <w:rPr>
                <w:sz w:val="18"/>
                <w:szCs w:val="18"/>
              </w:rPr>
            </w:pPr>
            <w:r w:rsidRPr="002A2F05">
              <w:rPr>
                <w:sz w:val="18"/>
                <w:szCs w:val="18"/>
              </w:rPr>
              <w:t>95.7%</w:t>
            </w:r>
          </w:p>
        </w:tc>
        <w:tc>
          <w:tcPr>
            <w:tcW w:w="627" w:type="pct"/>
            <w:tcBorders>
              <w:top w:val="dotted" w:sz="4" w:space="0" w:color="auto"/>
              <w:left w:val="dotted" w:sz="4" w:space="0" w:color="auto"/>
              <w:bottom w:val="dotted" w:sz="4" w:space="0" w:color="auto"/>
              <w:right w:val="dotted" w:sz="4" w:space="0" w:color="auto"/>
            </w:tcBorders>
            <w:vAlign w:val="center"/>
          </w:tcPr>
          <w:p w14:paraId="524D711A" w14:textId="77777777" w:rsidR="00E509CE" w:rsidRPr="002A2F05" w:rsidRDefault="00E509CE" w:rsidP="00CC706A">
            <w:pPr>
              <w:keepNext/>
              <w:keepLines/>
              <w:spacing w:before="60" w:after="60" w:line="240" w:lineRule="auto"/>
              <w:rPr>
                <w:sz w:val="18"/>
                <w:szCs w:val="18"/>
              </w:rPr>
            </w:pPr>
            <w:r w:rsidRPr="002A2F05">
              <w:rPr>
                <w:sz w:val="18"/>
                <w:szCs w:val="18"/>
              </w:rPr>
              <w:t>1.2%</w:t>
            </w:r>
          </w:p>
        </w:tc>
        <w:tc>
          <w:tcPr>
            <w:tcW w:w="628" w:type="pct"/>
            <w:tcBorders>
              <w:top w:val="dotted" w:sz="4" w:space="0" w:color="auto"/>
              <w:left w:val="dotted" w:sz="4" w:space="0" w:color="auto"/>
              <w:bottom w:val="dotted" w:sz="4" w:space="0" w:color="auto"/>
              <w:right w:val="single" w:sz="4" w:space="0" w:color="auto"/>
            </w:tcBorders>
            <w:shd w:val="clear" w:color="auto" w:fill="D9D9D9" w:themeFill="background1" w:themeFillShade="D9"/>
            <w:vAlign w:val="center"/>
          </w:tcPr>
          <w:p w14:paraId="7FF8E562" w14:textId="77777777" w:rsidR="00E509CE" w:rsidRPr="002A2F05" w:rsidRDefault="00E509CE" w:rsidP="00CC706A">
            <w:pPr>
              <w:keepNext/>
              <w:keepLines/>
              <w:spacing w:before="60" w:after="60" w:line="240" w:lineRule="auto"/>
              <w:rPr>
                <w:sz w:val="18"/>
                <w:szCs w:val="18"/>
              </w:rPr>
            </w:pPr>
          </w:p>
        </w:tc>
        <w:tc>
          <w:tcPr>
            <w:tcW w:w="625" w:type="pct"/>
            <w:tcBorders>
              <w:top w:val="dotted" w:sz="4" w:space="0" w:color="auto"/>
              <w:left w:val="single" w:sz="4" w:space="0" w:color="auto"/>
              <w:bottom w:val="dotted" w:sz="4" w:space="0" w:color="auto"/>
            </w:tcBorders>
            <w:vAlign w:val="center"/>
          </w:tcPr>
          <w:p w14:paraId="0A84D2DF" w14:textId="77777777" w:rsidR="00E509CE" w:rsidRPr="002A2F05" w:rsidRDefault="00E509CE" w:rsidP="00CC706A">
            <w:pPr>
              <w:keepNext/>
              <w:keepLines/>
              <w:spacing w:before="60" w:after="60" w:line="240" w:lineRule="auto"/>
              <w:rPr>
                <w:sz w:val="18"/>
                <w:szCs w:val="18"/>
              </w:rPr>
            </w:pPr>
            <w:r w:rsidRPr="002A2F05">
              <w:rPr>
                <w:sz w:val="18"/>
                <w:szCs w:val="18"/>
              </w:rPr>
              <w:t>100%</w:t>
            </w:r>
          </w:p>
        </w:tc>
      </w:tr>
      <w:tr w:rsidR="00E509CE" w:rsidRPr="002A2F05" w14:paraId="21AA948E" w14:textId="77777777" w:rsidTr="00CD0186">
        <w:trPr>
          <w:trHeight w:val="288"/>
        </w:trPr>
        <w:tc>
          <w:tcPr>
            <w:tcW w:w="614" w:type="pct"/>
            <w:tcBorders>
              <w:bottom w:val="single" w:sz="4" w:space="0" w:color="auto"/>
              <w:right w:val="single" w:sz="4" w:space="0" w:color="auto"/>
            </w:tcBorders>
            <w:vAlign w:val="center"/>
          </w:tcPr>
          <w:p w14:paraId="52AD14D3" w14:textId="77777777" w:rsidR="00E509CE" w:rsidRPr="002A2F05" w:rsidRDefault="00E509CE" w:rsidP="00CC706A">
            <w:pPr>
              <w:keepNext/>
              <w:keepLines/>
              <w:spacing w:before="60" w:after="60" w:line="240" w:lineRule="auto"/>
              <w:rPr>
                <w:b/>
                <w:bCs/>
                <w:sz w:val="18"/>
                <w:szCs w:val="18"/>
              </w:rPr>
            </w:pPr>
            <w:r w:rsidRPr="002A2F05">
              <w:rPr>
                <w:b/>
                <w:bCs/>
                <w:sz w:val="18"/>
                <w:szCs w:val="18"/>
              </w:rPr>
              <w:t>CKD 4</w:t>
            </w:r>
          </w:p>
        </w:tc>
        <w:tc>
          <w:tcPr>
            <w:tcW w:w="626" w:type="pct"/>
            <w:tcBorders>
              <w:top w:val="nil"/>
              <w:left w:val="single" w:sz="4" w:space="0" w:color="auto"/>
              <w:bottom w:val="single" w:sz="4" w:space="0" w:color="auto"/>
              <w:right w:val="dotted" w:sz="4" w:space="0" w:color="auto"/>
            </w:tcBorders>
            <w:shd w:val="clear" w:color="auto" w:fill="D9D9D9" w:themeFill="background1" w:themeFillShade="D9"/>
            <w:vAlign w:val="center"/>
          </w:tcPr>
          <w:p w14:paraId="5504B3CC" w14:textId="77777777" w:rsidR="00E509CE" w:rsidRPr="002A2F05" w:rsidRDefault="00E509CE" w:rsidP="00CC706A">
            <w:pPr>
              <w:keepNext/>
              <w:keepLines/>
              <w:spacing w:before="60" w:after="60" w:line="240" w:lineRule="auto"/>
              <w:rPr>
                <w:sz w:val="18"/>
                <w:szCs w:val="18"/>
              </w:rPr>
            </w:pPr>
          </w:p>
        </w:tc>
        <w:tc>
          <w:tcPr>
            <w:tcW w:w="627" w:type="pct"/>
            <w:tcBorders>
              <w:top w:val="nil"/>
              <w:left w:val="dotted" w:sz="4" w:space="0" w:color="auto"/>
              <w:bottom w:val="single" w:sz="4" w:space="0" w:color="auto"/>
              <w:right w:val="dotted" w:sz="4" w:space="0" w:color="auto"/>
            </w:tcBorders>
            <w:shd w:val="clear" w:color="auto" w:fill="D9D9D9" w:themeFill="background1" w:themeFillShade="D9"/>
            <w:vAlign w:val="center"/>
          </w:tcPr>
          <w:p w14:paraId="30728E73" w14:textId="77777777" w:rsidR="00E509CE" w:rsidRPr="002A2F05" w:rsidRDefault="00E509CE" w:rsidP="00CC706A">
            <w:pPr>
              <w:keepNext/>
              <w:keepLines/>
              <w:spacing w:before="60" w:after="60" w:line="240" w:lineRule="auto"/>
              <w:rPr>
                <w:sz w:val="18"/>
                <w:szCs w:val="18"/>
              </w:rPr>
            </w:pPr>
          </w:p>
        </w:tc>
        <w:tc>
          <w:tcPr>
            <w:tcW w:w="627" w:type="pct"/>
            <w:tcBorders>
              <w:top w:val="dotted" w:sz="4" w:space="0" w:color="auto"/>
              <w:left w:val="dotted" w:sz="4" w:space="0" w:color="auto"/>
              <w:bottom w:val="single" w:sz="4" w:space="0" w:color="auto"/>
              <w:right w:val="dotted" w:sz="4" w:space="0" w:color="auto"/>
            </w:tcBorders>
            <w:shd w:val="clear" w:color="auto" w:fill="D9D9D9" w:themeFill="background1" w:themeFillShade="D9"/>
            <w:vAlign w:val="center"/>
          </w:tcPr>
          <w:p w14:paraId="35CF967D" w14:textId="77777777" w:rsidR="00E509CE" w:rsidRPr="002A2F05" w:rsidRDefault="00E509CE" w:rsidP="00CC706A">
            <w:pPr>
              <w:keepNext/>
              <w:keepLines/>
              <w:spacing w:before="60" w:after="60" w:line="240" w:lineRule="auto"/>
              <w:rPr>
                <w:sz w:val="18"/>
                <w:szCs w:val="18"/>
              </w:rPr>
            </w:pPr>
          </w:p>
        </w:tc>
        <w:tc>
          <w:tcPr>
            <w:tcW w:w="626" w:type="pct"/>
            <w:tcBorders>
              <w:top w:val="dotted" w:sz="4" w:space="0" w:color="auto"/>
              <w:left w:val="dotted" w:sz="4" w:space="0" w:color="auto"/>
              <w:bottom w:val="single" w:sz="4" w:space="0" w:color="auto"/>
              <w:right w:val="dotted" w:sz="4" w:space="0" w:color="auto"/>
            </w:tcBorders>
            <w:vAlign w:val="center"/>
          </w:tcPr>
          <w:p w14:paraId="77CD0289" w14:textId="77777777" w:rsidR="00E509CE" w:rsidRPr="002A2F05" w:rsidRDefault="00E509CE" w:rsidP="00CC706A">
            <w:pPr>
              <w:keepNext/>
              <w:keepLines/>
              <w:spacing w:before="60" w:after="60" w:line="240" w:lineRule="auto"/>
              <w:rPr>
                <w:sz w:val="18"/>
                <w:szCs w:val="18"/>
              </w:rPr>
            </w:pPr>
            <w:r w:rsidRPr="002A2F05">
              <w:rPr>
                <w:sz w:val="18"/>
                <w:szCs w:val="18"/>
              </w:rPr>
              <w:t>3.1%</w:t>
            </w:r>
          </w:p>
        </w:tc>
        <w:tc>
          <w:tcPr>
            <w:tcW w:w="627" w:type="pct"/>
            <w:tcBorders>
              <w:top w:val="dotted" w:sz="4" w:space="0" w:color="auto"/>
              <w:left w:val="dotted" w:sz="4" w:space="0" w:color="auto"/>
              <w:bottom w:val="single" w:sz="4" w:space="0" w:color="auto"/>
              <w:right w:val="dotted" w:sz="4" w:space="0" w:color="auto"/>
            </w:tcBorders>
            <w:vAlign w:val="center"/>
          </w:tcPr>
          <w:p w14:paraId="0EE74CC4" w14:textId="77777777" w:rsidR="00E509CE" w:rsidRPr="002A2F05" w:rsidRDefault="00E509CE" w:rsidP="00CC706A">
            <w:pPr>
              <w:keepNext/>
              <w:keepLines/>
              <w:spacing w:before="60" w:after="60" w:line="240" w:lineRule="auto"/>
              <w:rPr>
                <w:sz w:val="18"/>
                <w:szCs w:val="18"/>
              </w:rPr>
            </w:pPr>
            <w:r w:rsidRPr="002A2F05">
              <w:rPr>
                <w:sz w:val="18"/>
                <w:szCs w:val="18"/>
              </w:rPr>
              <w:t>95.7%</w:t>
            </w:r>
          </w:p>
        </w:tc>
        <w:tc>
          <w:tcPr>
            <w:tcW w:w="628" w:type="pct"/>
            <w:tcBorders>
              <w:top w:val="dotted" w:sz="4" w:space="0" w:color="auto"/>
              <w:left w:val="dotted" w:sz="4" w:space="0" w:color="auto"/>
              <w:bottom w:val="single" w:sz="4" w:space="0" w:color="auto"/>
              <w:right w:val="single" w:sz="4" w:space="0" w:color="auto"/>
            </w:tcBorders>
            <w:vAlign w:val="center"/>
          </w:tcPr>
          <w:p w14:paraId="5A78AC94" w14:textId="77777777" w:rsidR="00E509CE" w:rsidRPr="002A2F05" w:rsidRDefault="00E509CE" w:rsidP="00CC706A">
            <w:pPr>
              <w:keepNext/>
              <w:keepLines/>
              <w:spacing w:before="60" w:after="60" w:line="240" w:lineRule="auto"/>
              <w:rPr>
                <w:sz w:val="18"/>
                <w:szCs w:val="18"/>
              </w:rPr>
            </w:pPr>
            <w:r w:rsidRPr="002A2F05">
              <w:rPr>
                <w:sz w:val="18"/>
                <w:szCs w:val="18"/>
              </w:rPr>
              <w:t>1.2%</w:t>
            </w:r>
          </w:p>
        </w:tc>
        <w:tc>
          <w:tcPr>
            <w:tcW w:w="625" w:type="pct"/>
            <w:tcBorders>
              <w:top w:val="dotted" w:sz="4" w:space="0" w:color="auto"/>
              <w:left w:val="single" w:sz="4" w:space="0" w:color="auto"/>
              <w:bottom w:val="single" w:sz="4" w:space="0" w:color="auto"/>
            </w:tcBorders>
            <w:vAlign w:val="center"/>
          </w:tcPr>
          <w:p w14:paraId="62819E81" w14:textId="77777777" w:rsidR="00E509CE" w:rsidRPr="002A2F05" w:rsidRDefault="00E509CE" w:rsidP="00CC706A">
            <w:pPr>
              <w:keepNext/>
              <w:keepLines/>
              <w:spacing w:before="60" w:after="60" w:line="240" w:lineRule="auto"/>
              <w:rPr>
                <w:sz w:val="18"/>
                <w:szCs w:val="18"/>
              </w:rPr>
            </w:pPr>
            <w:r w:rsidRPr="002A2F05">
              <w:rPr>
                <w:sz w:val="18"/>
                <w:szCs w:val="18"/>
              </w:rPr>
              <w:t>100%</w:t>
            </w:r>
          </w:p>
        </w:tc>
      </w:tr>
      <w:tr w:rsidR="00E509CE" w:rsidRPr="002A2F05" w14:paraId="01AA72EB" w14:textId="77777777" w:rsidTr="00DC37B7">
        <w:trPr>
          <w:trHeight w:val="288"/>
        </w:trPr>
        <w:tc>
          <w:tcPr>
            <w:tcW w:w="614" w:type="pct"/>
            <w:vMerge w:val="restart"/>
            <w:tcBorders>
              <w:bottom w:val="nil"/>
              <w:right w:val="single" w:sz="4" w:space="0" w:color="4A1D6F"/>
            </w:tcBorders>
            <w:shd w:val="clear" w:color="auto" w:fill="808080" w:themeFill="background1" w:themeFillShade="80"/>
            <w:vAlign w:val="center"/>
          </w:tcPr>
          <w:p w14:paraId="2811CF53" w14:textId="77777777" w:rsidR="00E509CE" w:rsidRPr="002A2F05" w:rsidRDefault="00E509CE" w:rsidP="00CC706A">
            <w:pPr>
              <w:keepNext/>
              <w:keepLines/>
              <w:spacing w:before="60" w:after="60" w:line="240" w:lineRule="auto"/>
              <w:rPr>
                <w:sz w:val="18"/>
                <w:szCs w:val="18"/>
              </w:rPr>
            </w:pPr>
          </w:p>
        </w:tc>
        <w:tc>
          <w:tcPr>
            <w:tcW w:w="3760" w:type="pct"/>
            <w:gridSpan w:val="6"/>
            <w:tcBorders>
              <w:left w:val="single" w:sz="4" w:space="0" w:color="4A1D6F"/>
              <w:bottom w:val="nil"/>
              <w:right w:val="single" w:sz="4" w:space="0" w:color="4A1D6F"/>
            </w:tcBorders>
            <w:shd w:val="clear" w:color="auto" w:fill="808080" w:themeFill="background1" w:themeFillShade="80"/>
            <w:vAlign w:val="center"/>
          </w:tcPr>
          <w:p w14:paraId="4E4B5E6C" w14:textId="094407D4" w:rsidR="00E509CE" w:rsidRPr="002A2F05" w:rsidRDefault="00E509CE" w:rsidP="00CC706A">
            <w:pPr>
              <w:keepNext/>
              <w:keepLines/>
              <w:snapToGrid w:val="0"/>
              <w:spacing w:before="60" w:after="60" w:line="240" w:lineRule="auto"/>
              <w:rPr>
                <w:sz w:val="18"/>
                <w:szCs w:val="18"/>
              </w:rPr>
            </w:pPr>
            <w:r w:rsidRPr="002A2F05">
              <w:rPr>
                <w:b/>
                <w:color w:val="FFFFFF" w:themeColor="background1"/>
                <w:sz w:val="18"/>
                <w:szCs w:val="18"/>
              </w:rPr>
              <w:t>Transition rate between health states – off treatment (</w:t>
            </w:r>
            <w:r w:rsidR="002000EC" w:rsidRPr="002A2F05">
              <w:rPr>
                <w:b/>
                <w:color w:val="FFFFFF" w:themeColor="background1"/>
                <w:sz w:val="18"/>
                <w:szCs w:val="18"/>
              </w:rPr>
              <w:t>BSC</w:t>
            </w:r>
            <w:r w:rsidRPr="002A2F05">
              <w:rPr>
                <w:b/>
                <w:color w:val="FFFFFF" w:themeColor="background1"/>
                <w:sz w:val="18"/>
                <w:szCs w:val="18"/>
              </w:rPr>
              <w:t>)</w:t>
            </w:r>
          </w:p>
        </w:tc>
        <w:tc>
          <w:tcPr>
            <w:tcW w:w="625" w:type="pct"/>
            <w:tcBorders>
              <w:left w:val="single" w:sz="4" w:space="0" w:color="4A1D6F"/>
              <w:bottom w:val="nil"/>
            </w:tcBorders>
            <w:shd w:val="clear" w:color="auto" w:fill="808080" w:themeFill="background1" w:themeFillShade="80"/>
            <w:vAlign w:val="center"/>
          </w:tcPr>
          <w:p w14:paraId="3C7222B6" w14:textId="77777777" w:rsidR="00E509CE" w:rsidRPr="002A2F05" w:rsidRDefault="00E509CE" w:rsidP="00CC706A">
            <w:pPr>
              <w:keepNext/>
              <w:keepLines/>
              <w:snapToGrid w:val="0"/>
              <w:spacing w:before="60" w:after="60" w:line="240" w:lineRule="auto"/>
              <w:rPr>
                <w:b/>
                <w:color w:val="FFFFFF" w:themeColor="background1"/>
                <w:sz w:val="18"/>
                <w:szCs w:val="18"/>
              </w:rPr>
            </w:pPr>
          </w:p>
        </w:tc>
      </w:tr>
      <w:tr w:rsidR="00DC37B7" w:rsidRPr="002A2F05" w14:paraId="42F53B7B" w14:textId="77777777" w:rsidTr="00DC37B7">
        <w:trPr>
          <w:trHeight w:val="288"/>
        </w:trPr>
        <w:tc>
          <w:tcPr>
            <w:tcW w:w="614" w:type="pct"/>
            <w:vMerge/>
            <w:tcBorders>
              <w:bottom w:val="nil"/>
            </w:tcBorders>
            <w:shd w:val="clear" w:color="auto" w:fill="7030A0"/>
            <w:vAlign w:val="center"/>
          </w:tcPr>
          <w:p w14:paraId="030749D6" w14:textId="77777777" w:rsidR="00E509CE" w:rsidRPr="002A2F05" w:rsidRDefault="00E509CE" w:rsidP="00CC706A">
            <w:pPr>
              <w:keepNext/>
              <w:keepLines/>
              <w:spacing w:before="60" w:after="60" w:line="240" w:lineRule="auto"/>
              <w:rPr>
                <w:sz w:val="18"/>
                <w:szCs w:val="18"/>
              </w:rPr>
            </w:pPr>
          </w:p>
        </w:tc>
        <w:tc>
          <w:tcPr>
            <w:tcW w:w="626" w:type="pct"/>
            <w:tcBorders>
              <w:top w:val="nil"/>
              <w:bottom w:val="single" w:sz="4" w:space="0" w:color="auto"/>
            </w:tcBorders>
            <w:shd w:val="clear" w:color="auto" w:fill="A6A6A6" w:themeFill="background1" w:themeFillShade="A6"/>
            <w:vAlign w:val="center"/>
          </w:tcPr>
          <w:p w14:paraId="49A84D84" w14:textId="77777777" w:rsidR="00E509CE" w:rsidRPr="002A2F05" w:rsidRDefault="00E509CE" w:rsidP="00CC706A">
            <w:pPr>
              <w:keepNext/>
              <w:keepLines/>
              <w:spacing w:before="60" w:after="60" w:line="240" w:lineRule="auto"/>
              <w:rPr>
                <w:bCs/>
                <w:iCs/>
                <w:sz w:val="18"/>
                <w:szCs w:val="18"/>
              </w:rPr>
            </w:pPr>
            <w:r w:rsidRPr="002A2F05">
              <w:rPr>
                <w:b/>
                <w:bCs/>
                <w:sz w:val="18"/>
                <w:szCs w:val="18"/>
              </w:rPr>
              <w:t>CKD 1</w:t>
            </w:r>
          </w:p>
        </w:tc>
        <w:tc>
          <w:tcPr>
            <w:tcW w:w="627" w:type="pct"/>
            <w:tcBorders>
              <w:top w:val="nil"/>
              <w:bottom w:val="single" w:sz="4" w:space="0" w:color="auto"/>
            </w:tcBorders>
            <w:shd w:val="clear" w:color="auto" w:fill="A6A6A6" w:themeFill="background1" w:themeFillShade="A6"/>
            <w:vAlign w:val="center"/>
          </w:tcPr>
          <w:p w14:paraId="58B2A953" w14:textId="77777777" w:rsidR="00E509CE" w:rsidRPr="002A2F05" w:rsidRDefault="00E509CE" w:rsidP="00CC706A">
            <w:pPr>
              <w:keepNext/>
              <w:keepLines/>
              <w:spacing w:before="60" w:after="60" w:line="240" w:lineRule="auto"/>
              <w:rPr>
                <w:sz w:val="18"/>
                <w:szCs w:val="18"/>
              </w:rPr>
            </w:pPr>
            <w:r w:rsidRPr="002A2F05">
              <w:rPr>
                <w:b/>
                <w:bCs/>
                <w:sz w:val="18"/>
                <w:szCs w:val="18"/>
              </w:rPr>
              <w:t>CKD 2</w:t>
            </w:r>
          </w:p>
        </w:tc>
        <w:tc>
          <w:tcPr>
            <w:tcW w:w="627" w:type="pct"/>
            <w:tcBorders>
              <w:top w:val="nil"/>
              <w:bottom w:val="single" w:sz="4" w:space="0" w:color="auto"/>
            </w:tcBorders>
            <w:shd w:val="clear" w:color="auto" w:fill="A6A6A6" w:themeFill="background1" w:themeFillShade="A6"/>
            <w:vAlign w:val="center"/>
          </w:tcPr>
          <w:p w14:paraId="5916A852" w14:textId="77777777" w:rsidR="00E509CE" w:rsidRPr="002A2F05" w:rsidRDefault="00E509CE" w:rsidP="00CC706A">
            <w:pPr>
              <w:keepNext/>
              <w:keepLines/>
              <w:spacing w:before="60" w:after="60" w:line="240" w:lineRule="auto"/>
              <w:rPr>
                <w:sz w:val="18"/>
                <w:szCs w:val="18"/>
              </w:rPr>
            </w:pPr>
            <w:r w:rsidRPr="002A2F05">
              <w:rPr>
                <w:b/>
                <w:bCs/>
                <w:sz w:val="18"/>
                <w:szCs w:val="18"/>
              </w:rPr>
              <w:t>CKD 3a</w:t>
            </w:r>
          </w:p>
        </w:tc>
        <w:tc>
          <w:tcPr>
            <w:tcW w:w="626" w:type="pct"/>
            <w:tcBorders>
              <w:top w:val="nil"/>
              <w:bottom w:val="single" w:sz="4" w:space="0" w:color="auto"/>
            </w:tcBorders>
            <w:shd w:val="clear" w:color="auto" w:fill="A6A6A6" w:themeFill="background1" w:themeFillShade="A6"/>
            <w:vAlign w:val="center"/>
          </w:tcPr>
          <w:p w14:paraId="55444374" w14:textId="77777777" w:rsidR="00E509CE" w:rsidRPr="002A2F05" w:rsidRDefault="00E509CE" w:rsidP="00CC706A">
            <w:pPr>
              <w:keepNext/>
              <w:keepLines/>
              <w:spacing w:before="60" w:after="60" w:line="240" w:lineRule="auto"/>
              <w:rPr>
                <w:sz w:val="18"/>
                <w:szCs w:val="18"/>
              </w:rPr>
            </w:pPr>
            <w:r w:rsidRPr="002A2F05">
              <w:rPr>
                <w:b/>
                <w:bCs/>
                <w:sz w:val="18"/>
                <w:szCs w:val="18"/>
              </w:rPr>
              <w:t>CKD 3b</w:t>
            </w:r>
          </w:p>
        </w:tc>
        <w:tc>
          <w:tcPr>
            <w:tcW w:w="627" w:type="pct"/>
            <w:tcBorders>
              <w:top w:val="nil"/>
              <w:bottom w:val="single" w:sz="4" w:space="0" w:color="auto"/>
            </w:tcBorders>
            <w:shd w:val="clear" w:color="auto" w:fill="A6A6A6" w:themeFill="background1" w:themeFillShade="A6"/>
            <w:vAlign w:val="center"/>
          </w:tcPr>
          <w:p w14:paraId="36DCA809" w14:textId="77777777" w:rsidR="00E509CE" w:rsidRPr="002A2F05" w:rsidRDefault="00E509CE" w:rsidP="00CC706A">
            <w:pPr>
              <w:keepNext/>
              <w:keepLines/>
              <w:spacing w:before="60" w:after="60" w:line="240" w:lineRule="auto"/>
              <w:rPr>
                <w:sz w:val="18"/>
                <w:szCs w:val="18"/>
              </w:rPr>
            </w:pPr>
            <w:r w:rsidRPr="002A2F05">
              <w:rPr>
                <w:b/>
                <w:bCs/>
                <w:sz w:val="18"/>
                <w:szCs w:val="18"/>
              </w:rPr>
              <w:t>CKD 4</w:t>
            </w:r>
          </w:p>
        </w:tc>
        <w:tc>
          <w:tcPr>
            <w:tcW w:w="628" w:type="pct"/>
            <w:tcBorders>
              <w:top w:val="nil"/>
              <w:bottom w:val="single" w:sz="4" w:space="0" w:color="auto"/>
            </w:tcBorders>
            <w:shd w:val="clear" w:color="auto" w:fill="A6A6A6" w:themeFill="background1" w:themeFillShade="A6"/>
            <w:vAlign w:val="center"/>
          </w:tcPr>
          <w:p w14:paraId="4A273484" w14:textId="77777777" w:rsidR="00E509CE" w:rsidRPr="002A2F05" w:rsidRDefault="00E509CE" w:rsidP="00CC706A">
            <w:pPr>
              <w:keepNext/>
              <w:keepLines/>
              <w:spacing w:before="60" w:after="60" w:line="240" w:lineRule="auto"/>
              <w:rPr>
                <w:sz w:val="18"/>
                <w:szCs w:val="18"/>
              </w:rPr>
            </w:pPr>
            <w:r w:rsidRPr="002A2F05">
              <w:rPr>
                <w:b/>
                <w:bCs/>
                <w:sz w:val="18"/>
                <w:szCs w:val="18"/>
              </w:rPr>
              <w:t xml:space="preserve">ESRD </w:t>
            </w:r>
          </w:p>
        </w:tc>
        <w:tc>
          <w:tcPr>
            <w:tcW w:w="625" w:type="pct"/>
            <w:tcBorders>
              <w:top w:val="nil"/>
              <w:bottom w:val="single" w:sz="4" w:space="0" w:color="auto"/>
            </w:tcBorders>
            <w:shd w:val="clear" w:color="auto" w:fill="A6A6A6" w:themeFill="background1" w:themeFillShade="A6"/>
            <w:vAlign w:val="center"/>
          </w:tcPr>
          <w:p w14:paraId="5D167E39" w14:textId="77777777" w:rsidR="00E509CE" w:rsidRPr="002A2F05" w:rsidRDefault="00E509CE" w:rsidP="00CC706A">
            <w:pPr>
              <w:keepNext/>
              <w:keepLines/>
              <w:spacing w:before="60" w:after="60" w:line="240" w:lineRule="auto"/>
              <w:rPr>
                <w:b/>
                <w:bCs/>
                <w:sz w:val="18"/>
                <w:szCs w:val="18"/>
              </w:rPr>
            </w:pPr>
            <w:r w:rsidRPr="002A2F05">
              <w:rPr>
                <w:b/>
                <w:bCs/>
                <w:sz w:val="18"/>
                <w:szCs w:val="18"/>
              </w:rPr>
              <w:t>Total</w:t>
            </w:r>
          </w:p>
        </w:tc>
      </w:tr>
      <w:tr w:rsidR="00E509CE" w:rsidRPr="002A2F05" w14:paraId="683506A7" w14:textId="77777777" w:rsidTr="00CD0186">
        <w:trPr>
          <w:trHeight w:val="288"/>
        </w:trPr>
        <w:tc>
          <w:tcPr>
            <w:tcW w:w="614" w:type="pct"/>
            <w:tcBorders>
              <w:top w:val="nil"/>
            </w:tcBorders>
            <w:vAlign w:val="center"/>
          </w:tcPr>
          <w:p w14:paraId="54F7B14D" w14:textId="77777777" w:rsidR="00E509CE" w:rsidRPr="002A2F05" w:rsidRDefault="00E509CE" w:rsidP="00CC706A">
            <w:pPr>
              <w:keepNext/>
              <w:keepLines/>
              <w:spacing w:before="60" w:after="60" w:line="240" w:lineRule="auto"/>
              <w:rPr>
                <w:sz w:val="18"/>
                <w:szCs w:val="18"/>
              </w:rPr>
            </w:pPr>
            <w:r w:rsidRPr="002A2F05">
              <w:rPr>
                <w:b/>
                <w:bCs/>
                <w:sz w:val="18"/>
                <w:szCs w:val="18"/>
              </w:rPr>
              <w:t>CKD 1</w:t>
            </w:r>
          </w:p>
        </w:tc>
        <w:tc>
          <w:tcPr>
            <w:tcW w:w="626" w:type="pct"/>
            <w:tcBorders>
              <w:bottom w:val="dotted" w:sz="4" w:space="0" w:color="auto"/>
              <w:right w:val="dotted" w:sz="4" w:space="0" w:color="auto"/>
            </w:tcBorders>
            <w:vAlign w:val="center"/>
          </w:tcPr>
          <w:p w14:paraId="3D59CC16" w14:textId="77777777" w:rsidR="00E509CE" w:rsidRPr="002A2F05" w:rsidRDefault="00E509CE" w:rsidP="00CC706A">
            <w:pPr>
              <w:keepNext/>
              <w:keepLines/>
              <w:spacing w:before="60" w:after="60" w:line="240" w:lineRule="auto"/>
              <w:rPr>
                <w:bCs/>
                <w:iCs/>
                <w:sz w:val="18"/>
                <w:szCs w:val="18"/>
              </w:rPr>
            </w:pPr>
            <w:r w:rsidRPr="002A2F05">
              <w:rPr>
                <w:bCs/>
                <w:iCs/>
                <w:sz w:val="18"/>
                <w:szCs w:val="18"/>
              </w:rPr>
              <w:t>92.9%</w:t>
            </w:r>
          </w:p>
        </w:tc>
        <w:tc>
          <w:tcPr>
            <w:tcW w:w="627" w:type="pct"/>
            <w:tcBorders>
              <w:left w:val="dotted" w:sz="4" w:space="0" w:color="auto"/>
              <w:bottom w:val="dotted" w:sz="4" w:space="0" w:color="auto"/>
              <w:right w:val="dotted" w:sz="4" w:space="0" w:color="auto"/>
            </w:tcBorders>
            <w:vAlign w:val="center"/>
          </w:tcPr>
          <w:p w14:paraId="38F73E29" w14:textId="77777777" w:rsidR="00E509CE" w:rsidRPr="002A2F05" w:rsidRDefault="00E509CE" w:rsidP="00CC706A">
            <w:pPr>
              <w:keepNext/>
              <w:keepLines/>
              <w:spacing w:before="60" w:after="60" w:line="240" w:lineRule="auto"/>
              <w:rPr>
                <w:sz w:val="18"/>
                <w:szCs w:val="18"/>
              </w:rPr>
            </w:pPr>
            <w:r w:rsidRPr="002A2F05">
              <w:rPr>
                <w:sz w:val="18"/>
                <w:szCs w:val="18"/>
              </w:rPr>
              <w:t>7.1%</w:t>
            </w:r>
          </w:p>
        </w:tc>
        <w:tc>
          <w:tcPr>
            <w:tcW w:w="627"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00188064" w14:textId="77777777" w:rsidR="00E509CE" w:rsidRPr="002A2F05" w:rsidRDefault="00E509CE" w:rsidP="00CC706A">
            <w:pPr>
              <w:keepNext/>
              <w:keepLines/>
              <w:spacing w:before="60" w:after="60" w:line="240" w:lineRule="auto"/>
              <w:rPr>
                <w:sz w:val="18"/>
                <w:szCs w:val="18"/>
              </w:rPr>
            </w:pPr>
          </w:p>
        </w:tc>
        <w:tc>
          <w:tcPr>
            <w:tcW w:w="626"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47023978" w14:textId="77777777" w:rsidR="00E509CE" w:rsidRPr="002A2F05" w:rsidRDefault="00E509CE" w:rsidP="00CC706A">
            <w:pPr>
              <w:keepNext/>
              <w:keepLines/>
              <w:spacing w:before="60" w:after="60" w:line="240" w:lineRule="auto"/>
              <w:rPr>
                <w:sz w:val="18"/>
                <w:szCs w:val="18"/>
              </w:rPr>
            </w:pPr>
          </w:p>
        </w:tc>
        <w:tc>
          <w:tcPr>
            <w:tcW w:w="627"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3B6392D4" w14:textId="77777777" w:rsidR="00E509CE" w:rsidRPr="002A2F05" w:rsidRDefault="00E509CE" w:rsidP="00CC706A">
            <w:pPr>
              <w:keepNext/>
              <w:keepLines/>
              <w:spacing w:before="60" w:after="60" w:line="240" w:lineRule="auto"/>
              <w:rPr>
                <w:sz w:val="18"/>
                <w:szCs w:val="18"/>
              </w:rPr>
            </w:pPr>
          </w:p>
        </w:tc>
        <w:tc>
          <w:tcPr>
            <w:tcW w:w="628" w:type="pct"/>
            <w:tcBorders>
              <w:top w:val="single" w:sz="4" w:space="0" w:color="auto"/>
              <w:left w:val="dotted" w:sz="4" w:space="0" w:color="auto"/>
              <w:bottom w:val="dotted" w:sz="4" w:space="0" w:color="auto"/>
              <w:right w:val="single" w:sz="4" w:space="0" w:color="auto"/>
            </w:tcBorders>
            <w:shd w:val="clear" w:color="auto" w:fill="D9D9D9" w:themeFill="background1" w:themeFillShade="D9"/>
            <w:vAlign w:val="center"/>
          </w:tcPr>
          <w:p w14:paraId="76049525" w14:textId="77777777" w:rsidR="00E509CE" w:rsidRPr="002A2F05" w:rsidRDefault="00E509CE" w:rsidP="00CC706A">
            <w:pPr>
              <w:keepNext/>
              <w:keepLines/>
              <w:spacing w:before="60" w:after="60" w:line="240" w:lineRule="auto"/>
              <w:rPr>
                <w:sz w:val="18"/>
                <w:szCs w:val="18"/>
              </w:rPr>
            </w:pPr>
          </w:p>
        </w:tc>
        <w:tc>
          <w:tcPr>
            <w:tcW w:w="625" w:type="pct"/>
            <w:tcBorders>
              <w:left w:val="single" w:sz="4" w:space="0" w:color="auto"/>
              <w:bottom w:val="dotted" w:sz="4" w:space="0" w:color="auto"/>
            </w:tcBorders>
            <w:vAlign w:val="center"/>
          </w:tcPr>
          <w:p w14:paraId="28DAAD3F" w14:textId="77777777" w:rsidR="00E509CE" w:rsidRPr="002A2F05" w:rsidRDefault="00E509CE" w:rsidP="00CC706A">
            <w:pPr>
              <w:keepNext/>
              <w:keepLines/>
              <w:spacing w:before="60" w:after="60" w:line="240" w:lineRule="auto"/>
              <w:rPr>
                <w:sz w:val="18"/>
                <w:szCs w:val="18"/>
              </w:rPr>
            </w:pPr>
            <w:r w:rsidRPr="002A2F05">
              <w:rPr>
                <w:sz w:val="18"/>
                <w:szCs w:val="18"/>
              </w:rPr>
              <w:t>100%</w:t>
            </w:r>
          </w:p>
        </w:tc>
      </w:tr>
      <w:tr w:rsidR="00E509CE" w:rsidRPr="002A2F05" w14:paraId="02A34E0A" w14:textId="77777777" w:rsidTr="00CD0186">
        <w:trPr>
          <w:trHeight w:val="288"/>
        </w:trPr>
        <w:tc>
          <w:tcPr>
            <w:tcW w:w="614" w:type="pct"/>
            <w:vAlign w:val="center"/>
          </w:tcPr>
          <w:p w14:paraId="554D1A6B" w14:textId="77777777" w:rsidR="00E509CE" w:rsidRPr="002A2F05" w:rsidRDefault="00E509CE" w:rsidP="00CC706A">
            <w:pPr>
              <w:keepNext/>
              <w:keepLines/>
              <w:spacing w:before="60" w:after="60" w:line="240" w:lineRule="auto"/>
              <w:rPr>
                <w:sz w:val="18"/>
                <w:szCs w:val="18"/>
              </w:rPr>
            </w:pPr>
            <w:r w:rsidRPr="002A2F05">
              <w:rPr>
                <w:b/>
                <w:bCs/>
                <w:sz w:val="18"/>
                <w:szCs w:val="18"/>
              </w:rPr>
              <w:t>CKD 2</w:t>
            </w:r>
          </w:p>
        </w:tc>
        <w:tc>
          <w:tcPr>
            <w:tcW w:w="626" w:type="pct"/>
            <w:tcBorders>
              <w:top w:val="dotted" w:sz="4" w:space="0" w:color="auto"/>
              <w:bottom w:val="dotted" w:sz="4" w:space="0" w:color="auto"/>
              <w:right w:val="dotted" w:sz="4" w:space="0" w:color="auto"/>
            </w:tcBorders>
            <w:vAlign w:val="center"/>
          </w:tcPr>
          <w:p w14:paraId="09FB6E57" w14:textId="77777777" w:rsidR="00E509CE" w:rsidRPr="002A2F05" w:rsidRDefault="00E509CE" w:rsidP="00CC706A">
            <w:pPr>
              <w:keepNext/>
              <w:keepLines/>
              <w:spacing w:before="60" w:after="60" w:line="240" w:lineRule="auto"/>
              <w:rPr>
                <w:bCs/>
                <w:iCs/>
                <w:sz w:val="18"/>
                <w:szCs w:val="18"/>
              </w:rPr>
            </w:pPr>
            <w:r w:rsidRPr="002A2F05">
              <w:rPr>
                <w:bCs/>
                <w:iCs/>
                <w:sz w:val="18"/>
                <w:szCs w:val="18"/>
              </w:rPr>
              <w:t>0.6%</w:t>
            </w:r>
          </w:p>
        </w:tc>
        <w:tc>
          <w:tcPr>
            <w:tcW w:w="627" w:type="pct"/>
            <w:tcBorders>
              <w:top w:val="dotted" w:sz="4" w:space="0" w:color="auto"/>
              <w:left w:val="dotted" w:sz="4" w:space="0" w:color="auto"/>
              <w:bottom w:val="dotted" w:sz="4" w:space="0" w:color="auto"/>
              <w:right w:val="dotted" w:sz="4" w:space="0" w:color="auto"/>
            </w:tcBorders>
            <w:vAlign w:val="center"/>
          </w:tcPr>
          <w:p w14:paraId="0DC4AF90" w14:textId="77777777" w:rsidR="00E509CE" w:rsidRPr="002A2F05" w:rsidRDefault="00E509CE" w:rsidP="00CC706A">
            <w:pPr>
              <w:keepNext/>
              <w:keepLines/>
              <w:spacing w:before="60" w:after="60" w:line="240" w:lineRule="auto"/>
              <w:rPr>
                <w:sz w:val="18"/>
                <w:szCs w:val="18"/>
              </w:rPr>
            </w:pPr>
            <w:r w:rsidRPr="002A2F05">
              <w:rPr>
                <w:sz w:val="18"/>
                <w:szCs w:val="18"/>
              </w:rPr>
              <w:t>96.1%</w:t>
            </w:r>
          </w:p>
        </w:tc>
        <w:tc>
          <w:tcPr>
            <w:tcW w:w="627" w:type="pct"/>
            <w:tcBorders>
              <w:top w:val="dotted" w:sz="4" w:space="0" w:color="auto"/>
              <w:left w:val="dotted" w:sz="4" w:space="0" w:color="auto"/>
              <w:bottom w:val="dotted" w:sz="4" w:space="0" w:color="auto"/>
              <w:right w:val="dotted" w:sz="4" w:space="0" w:color="auto"/>
            </w:tcBorders>
            <w:vAlign w:val="center"/>
          </w:tcPr>
          <w:p w14:paraId="4D8FE461" w14:textId="77777777" w:rsidR="00E509CE" w:rsidRPr="002A2F05" w:rsidRDefault="00E509CE" w:rsidP="00CC706A">
            <w:pPr>
              <w:keepNext/>
              <w:keepLines/>
              <w:spacing w:before="60" w:after="60" w:line="240" w:lineRule="auto"/>
              <w:rPr>
                <w:sz w:val="18"/>
                <w:szCs w:val="18"/>
              </w:rPr>
            </w:pPr>
            <w:r w:rsidRPr="002A2F05">
              <w:rPr>
                <w:sz w:val="18"/>
                <w:szCs w:val="18"/>
              </w:rPr>
              <w:t>3.3%</w:t>
            </w:r>
          </w:p>
        </w:tc>
        <w:tc>
          <w:tcPr>
            <w:tcW w:w="626"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24393881" w14:textId="77777777" w:rsidR="00E509CE" w:rsidRPr="002A2F05" w:rsidRDefault="00E509CE" w:rsidP="00CC706A">
            <w:pPr>
              <w:keepNext/>
              <w:keepLines/>
              <w:spacing w:before="60" w:after="60" w:line="240" w:lineRule="auto"/>
              <w:rPr>
                <w:sz w:val="18"/>
                <w:szCs w:val="18"/>
              </w:rPr>
            </w:pPr>
          </w:p>
        </w:tc>
        <w:tc>
          <w:tcPr>
            <w:tcW w:w="627"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4239697B" w14:textId="77777777" w:rsidR="00E509CE" w:rsidRPr="002A2F05" w:rsidRDefault="00E509CE" w:rsidP="00CC706A">
            <w:pPr>
              <w:keepNext/>
              <w:keepLines/>
              <w:spacing w:before="60" w:after="60" w:line="240" w:lineRule="auto"/>
              <w:rPr>
                <w:sz w:val="18"/>
                <w:szCs w:val="18"/>
              </w:rPr>
            </w:pPr>
          </w:p>
        </w:tc>
        <w:tc>
          <w:tcPr>
            <w:tcW w:w="628" w:type="pct"/>
            <w:tcBorders>
              <w:top w:val="dotted" w:sz="4" w:space="0" w:color="auto"/>
              <w:left w:val="dotted" w:sz="4" w:space="0" w:color="auto"/>
              <w:bottom w:val="dotted" w:sz="4" w:space="0" w:color="auto"/>
              <w:right w:val="single" w:sz="4" w:space="0" w:color="auto"/>
            </w:tcBorders>
            <w:shd w:val="clear" w:color="auto" w:fill="D9D9D9" w:themeFill="background1" w:themeFillShade="D9"/>
            <w:vAlign w:val="center"/>
          </w:tcPr>
          <w:p w14:paraId="2F906B80" w14:textId="77777777" w:rsidR="00E509CE" w:rsidRPr="002A2F05" w:rsidRDefault="00E509CE" w:rsidP="00CC706A">
            <w:pPr>
              <w:keepNext/>
              <w:keepLines/>
              <w:spacing w:before="60" w:after="60" w:line="240" w:lineRule="auto"/>
              <w:rPr>
                <w:sz w:val="18"/>
                <w:szCs w:val="18"/>
              </w:rPr>
            </w:pPr>
          </w:p>
        </w:tc>
        <w:tc>
          <w:tcPr>
            <w:tcW w:w="625" w:type="pct"/>
            <w:tcBorders>
              <w:top w:val="dotted" w:sz="4" w:space="0" w:color="auto"/>
              <w:left w:val="single" w:sz="4" w:space="0" w:color="auto"/>
              <w:bottom w:val="dotted" w:sz="4" w:space="0" w:color="auto"/>
              <w:right w:val="single" w:sz="4" w:space="0" w:color="auto"/>
            </w:tcBorders>
            <w:vAlign w:val="center"/>
          </w:tcPr>
          <w:p w14:paraId="5278E2D8" w14:textId="77777777" w:rsidR="00E509CE" w:rsidRPr="002A2F05" w:rsidRDefault="00E509CE" w:rsidP="00CC706A">
            <w:pPr>
              <w:keepNext/>
              <w:keepLines/>
              <w:spacing w:before="60" w:after="60" w:line="240" w:lineRule="auto"/>
              <w:rPr>
                <w:sz w:val="18"/>
                <w:szCs w:val="18"/>
              </w:rPr>
            </w:pPr>
            <w:r w:rsidRPr="002A2F05">
              <w:rPr>
                <w:sz w:val="18"/>
                <w:szCs w:val="18"/>
              </w:rPr>
              <w:t>100%</w:t>
            </w:r>
          </w:p>
        </w:tc>
      </w:tr>
      <w:tr w:rsidR="00E509CE" w:rsidRPr="002A2F05" w14:paraId="6A535592" w14:textId="77777777" w:rsidTr="00CD0186">
        <w:trPr>
          <w:trHeight w:val="288"/>
        </w:trPr>
        <w:tc>
          <w:tcPr>
            <w:tcW w:w="614" w:type="pct"/>
            <w:tcBorders>
              <w:right w:val="single" w:sz="4" w:space="0" w:color="auto"/>
            </w:tcBorders>
            <w:vAlign w:val="center"/>
          </w:tcPr>
          <w:p w14:paraId="4DF599BE" w14:textId="77777777" w:rsidR="00E509CE" w:rsidRPr="002A2F05" w:rsidRDefault="00E509CE" w:rsidP="00CC706A">
            <w:pPr>
              <w:keepNext/>
              <w:keepLines/>
              <w:spacing w:before="60" w:after="60" w:line="240" w:lineRule="auto"/>
              <w:rPr>
                <w:sz w:val="18"/>
                <w:szCs w:val="18"/>
              </w:rPr>
            </w:pPr>
            <w:r w:rsidRPr="002A2F05">
              <w:rPr>
                <w:b/>
                <w:bCs/>
                <w:sz w:val="18"/>
                <w:szCs w:val="18"/>
              </w:rPr>
              <w:t>CKD 3a</w:t>
            </w:r>
          </w:p>
        </w:tc>
        <w:tc>
          <w:tcPr>
            <w:tcW w:w="626" w:type="pct"/>
            <w:tcBorders>
              <w:top w:val="dotted" w:sz="4" w:space="0" w:color="auto"/>
              <w:left w:val="single" w:sz="4" w:space="0" w:color="auto"/>
              <w:bottom w:val="dotted" w:sz="4" w:space="0" w:color="auto"/>
              <w:right w:val="dotted" w:sz="4" w:space="0" w:color="auto"/>
            </w:tcBorders>
            <w:shd w:val="clear" w:color="auto" w:fill="D9D9D9" w:themeFill="background1" w:themeFillShade="D9"/>
            <w:vAlign w:val="center"/>
          </w:tcPr>
          <w:p w14:paraId="6217EC22" w14:textId="77777777" w:rsidR="00E509CE" w:rsidRPr="002A2F05" w:rsidRDefault="00E509CE" w:rsidP="00CC706A">
            <w:pPr>
              <w:keepNext/>
              <w:keepLines/>
              <w:spacing w:before="60" w:after="60" w:line="240" w:lineRule="auto"/>
              <w:rPr>
                <w:bCs/>
                <w:iCs/>
                <w:sz w:val="18"/>
                <w:szCs w:val="18"/>
              </w:rPr>
            </w:pPr>
          </w:p>
        </w:tc>
        <w:tc>
          <w:tcPr>
            <w:tcW w:w="627" w:type="pct"/>
            <w:tcBorders>
              <w:top w:val="dotted" w:sz="4" w:space="0" w:color="auto"/>
              <w:left w:val="dotted" w:sz="4" w:space="0" w:color="auto"/>
              <w:bottom w:val="dotted" w:sz="4" w:space="0" w:color="auto"/>
              <w:right w:val="dotted" w:sz="4" w:space="0" w:color="auto"/>
            </w:tcBorders>
            <w:vAlign w:val="center"/>
          </w:tcPr>
          <w:p w14:paraId="4ACACA97" w14:textId="77777777" w:rsidR="00E509CE" w:rsidRPr="002A2F05" w:rsidRDefault="00E509CE" w:rsidP="00CC706A">
            <w:pPr>
              <w:keepNext/>
              <w:keepLines/>
              <w:spacing w:before="60" w:after="60" w:line="240" w:lineRule="auto"/>
              <w:rPr>
                <w:sz w:val="18"/>
                <w:szCs w:val="18"/>
              </w:rPr>
            </w:pPr>
            <w:r w:rsidRPr="002A2F05">
              <w:rPr>
                <w:sz w:val="18"/>
                <w:szCs w:val="18"/>
              </w:rPr>
              <w:t>1.8%</w:t>
            </w:r>
          </w:p>
        </w:tc>
        <w:tc>
          <w:tcPr>
            <w:tcW w:w="627" w:type="pct"/>
            <w:tcBorders>
              <w:top w:val="dotted" w:sz="4" w:space="0" w:color="auto"/>
              <w:left w:val="dotted" w:sz="4" w:space="0" w:color="auto"/>
              <w:bottom w:val="dotted" w:sz="4" w:space="0" w:color="auto"/>
              <w:right w:val="dotted" w:sz="4" w:space="0" w:color="auto"/>
            </w:tcBorders>
            <w:vAlign w:val="center"/>
          </w:tcPr>
          <w:p w14:paraId="60CACE75" w14:textId="77777777" w:rsidR="00E509CE" w:rsidRPr="002A2F05" w:rsidRDefault="00E509CE" w:rsidP="00CC706A">
            <w:pPr>
              <w:keepNext/>
              <w:keepLines/>
              <w:spacing w:before="60" w:after="60" w:line="240" w:lineRule="auto"/>
              <w:rPr>
                <w:sz w:val="18"/>
                <w:szCs w:val="18"/>
              </w:rPr>
            </w:pPr>
            <w:r w:rsidRPr="002A2F05">
              <w:rPr>
                <w:sz w:val="18"/>
                <w:szCs w:val="18"/>
              </w:rPr>
              <w:t>93.1%</w:t>
            </w:r>
          </w:p>
        </w:tc>
        <w:tc>
          <w:tcPr>
            <w:tcW w:w="626" w:type="pct"/>
            <w:tcBorders>
              <w:top w:val="dotted" w:sz="4" w:space="0" w:color="auto"/>
              <w:left w:val="dotted" w:sz="4" w:space="0" w:color="auto"/>
              <w:bottom w:val="dotted" w:sz="4" w:space="0" w:color="auto"/>
              <w:right w:val="dotted" w:sz="4" w:space="0" w:color="auto"/>
            </w:tcBorders>
            <w:vAlign w:val="center"/>
          </w:tcPr>
          <w:p w14:paraId="5F5F42E8" w14:textId="77777777" w:rsidR="00E509CE" w:rsidRPr="002A2F05" w:rsidRDefault="00E509CE" w:rsidP="00CC706A">
            <w:pPr>
              <w:keepNext/>
              <w:keepLines/>
              <w:spacing w:before="60" w:after="60" w:line="240" w:lineRule="auto"/>
              <w:rPr>
                <w:sz w:val="18"/>
                <w:szCs w:val="18"/>
              </w:rPr>
            </w:pPr>
            <w:r w:rsidRPr="002A2F05">
              <w:rPr>
                <w:sz w:val="18"/>
                <w:szCs w:val="18"/>
              </w:rPr>
              <w:t>5.1%</w:t>
            </w:r>
          </w:p>
        </w:tc>
        <w:tc>
          <w:tcPr>
            <w:tcW w:w="627"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6496A767" w14:textId="77777777" w:rsidR="00E509CE" w:rsidRPr="002A2F05" w:rsidRDefault="00E509CE" w:rsidP="00CC706A">
            <w:pPr>
              <w:keepNext/>
              <w:keepLines/>
              <w:spacing w:before="60" w:after="60" w:line="240" w:lineRule="auto"/>
              <w:rPr>
                <w:sz w:val="18"/>
                <w:szCs w:val="18"/>
              </w:rPr>
            </w:pPr>
          </w:p>
        </w:tc>
        <w:tc>
          <w:tcPr>
            <w:tcW w:w="628" w:type="pct"/>
            <w:tcBorders>
              <w:top w:val="dotted" w:sz="4" w:space="0" w:color="auto"/>
              <w:left w:val="dotted" w:sz="4" w:space="0" w:color="auto"/>
              <w:bottom w:val="dotted" w:sz="4" w:space="0" w:color="auto"/>
              <w:right w:val="single" w:sz="4" w:space="0" w:color="auto"/>
            </w:tcBorders>
            <w:shd w:val="clear" w:color="auto" w:fill="D9D9D9" w:themeFill="background1" w:themeFillShade="D9"/>
            <w:vAlign w:val="center"/>
          </w:tcPr>
          <w:p w14:paraId="02A1148E" w14:textId="77777777" w:rsidR="00E509CE" w:rsidRPr="002A2F05" w:rsidRDefault="00E509CE" w:rsidP="00CC706A">
            <w:pPr>
              <w:keepNext/>
              <w:keepLines/>
              <w:spacing w:before="60" w:after="60" w:line="240" w:lineRule="auto"/>
              <w:rPr>
                <w:sz w:val="18"/>
                <w:szCs w:val="18"/>
              </w:rPr>
            </w:pPr>
          </w:p>
        </w:tc>
        <w:tc>
          <w:tcPr>
            <w:tcW w:w="625" w:type="pct"/>
            <w:tcBorders>
              <w:top w:val="dotted" w:sz="4" w:space="0" w:color="auto"/>
              <w:left w:val="single" w:sz="4" w:space="0" w:color="auto"/>
              <w:bottom w:val="dotted" w:sz="4" w:space="0" w:color="auto"/>
            </w:tcBorders>
            <w:vAlign w:val="center"/>
          </w:tcPr>
          <w:p w14:paraId="789E41E8" w14:textId="77777777" w:rsidR="00E509CE" w:rsidRPr="002A2F05" w:rsidRDefault="00E509CE" w:rsidP="00CC706A">
            <w:pPr>
              <w:keepNext/>
              <w:keepLines/>
              <w:spacing w:before="60" w:after="60" w:line="240" w:lineRule="auto"/>
              <w:rPr>
                <w:sz w:val="18"/>
                <w:szCs w:val="18"/>
              </w:rPr>
            </w:pPr>
            <w:r w:rsidRPr="002A2F05">
              <w:rPr>
                <w:sz w:val="18"/>
                <w:szCs w:val="18"/>
              </w:rPr>
              <w:t>100%</w:t>
            </w:r>
          </w:p>
        </w:tc>
      </w:tr>
      <w:tr w:rsidR="00E509CE" w:rsidRPr="002A2F05" w14:paraId="0E4DE83D" w14:textId="77777777" w:rsidTr="00CD0186">
        <w:trPr>
          <w:trHeight w:val="288"/>
        </w:trPr>
        <w:tc>
          <w:tcPr>
            <w:tcW w:w="614" w:type="pct"/>
            <w:tcBorders>
              <w:right w:val="single" w:sz="4" w:space="0" w:color="auto"/>
            </w:tcBorders>
            <w:vAlign w:val="center"/>
          </w:tcPr>
          <w:p w14:paraId="1A06AF5D" w14:textId="77777777" w:rsidR="00E509CE" w:rsidRPr="002A2F05" w:rsidRDefault="00E509CE" w:rsidP="00CC706A">
            <w:pPr>
              <w:keepNext/>
              <w:keepLines/>
              <w:spacing w:before="60" w:after="60" w:line="240" w:lineRule="auto"/>
              <w:rPr>
                <w:sz w:val="18"/>
                <w:szCs w:val="18"/>
              </w:rPr>
            </w:pPr>
            <w:r w:rsidRPr="002A2F05">
              <w:rPr>
                <w:b/>
                <w:bCs/>
                <w:sz w:val="18"/>
                <w:szCs w:val="18"/>
              </w:rPr>
              <w:t>CKD 3b</w:t>
            </w:r>
          </w:p>
        </w:tc>
        <w:tc>
          <w:tcPr>
            <w:tcW w:w="626" w:type="pct"/>
            <w:tcBorders>
              <w:top w:val="dotted" w:sz="4" w:space="0" w:color="auto"/>
              <w:left w:val="single" w:sz="4" w:space="0" w:color="auto"/>
              <w:bottom w:val="dotted" w:sz="4" w:space="0" w:color="auto"/>
              <w:right w:val="dotted" w:sz="4" w:space="0" w:color="auto"/>
            </w:tcBorders>
            <w:shd w:val="clear" w:color="auto" w:fill="D9D9D9" w:themeFill="background1" w:themeFillShade="D9"/>
            <w:vAlign w:val="center"/>
          </w:tcPr>
          <w:p w14:paraId="0D8236CA" w14:textId="77777777" w:rsidR="00E509CE" w:rsidRPr="002A2F05" w:rsidRDefault="00E509CE" w:rsidP="00CC706A">
            <w:pPr>
              <w:keepNext/>
              <w:keepLines/>
              <w:spacing w:before="60" w:after="60" w:line="240" w:lineRule="auto"/>
              <w:rPr>
                <w:bCs/>
                <w:iCs/>
                <w:sz w:val="18"/>
                <w:szCs w:val="18"/>
              </w:rPr>
            </w:pPr>
          </w:p>
        </w:tc>
        <w:tc>
          <w:tcPr>
            <w:tcW w:w="627"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577C991B" w14:textId="77777777" w:rsidR="00E509CE" w:rsidRPr="002A2F05" w:rsidRDefault="00E509CE" w:rsidP="00CC706A">
            <w:pPr>
              <w:keepNext/>
              <w:keepLines/>
              <w:spacing w:before="60" w:after="60" w:line="240" w:lineRule="auto"/>
              <w:rPr>
                <w:sz w:val="18"/>
                <w:szCs w:val="18"/>
              </w:rPr>
            </w:pPr>
          </w:p>
        </w:tc>
        <w:tc>
          <w:tcPr>
            <w:tcW w:w="627" w:type="pct"/>
            <w:tcBorders>
              <w:top w:val="dotted" w:sz="4" w:space="0" w:color="auto"/>
              <w:left w:val="dotted" w:sz="4" w:space="0" w:color="auto"/>
              <w:bottom w:val="dotted" w:sz="4" w:space="0" w:color="auto"/>
              <w:right w:val="dotted" w:sz="4" w:space="0" w:color="auto"/>
            </w:tcBorders>
            <w:vAlign w:val="center"/>
          </w:tcPr>
          <w:p w14:paraId="620A83B6" w14:textId="77777777" w:rsidR="00E509CE" w:rsidRPr="002A2F05" w:rsidRDefault="00E509CE" w:rsidP="00CC706A">
            <w:pPr>
              <w:keepNext/>
              <w:keepLines/>
              <w:spacing w:before="60" w:after="60" w:line="240" w:lineRule="auto"/>
              <w:rPr>
                <w:sz w:val="18"/>
                <w:szCs w:val="18"/>
              </w:rPr>
            </w:pPr>
            <w:r w:rsidRPr="002A2F05">
              <w:rPr>
                <w:sz w:val="18"/>
                <w:szCs w:val="18"/>
              </w:rPr>
              <w:t>1.3%</w:t>
            </w:r>
          </w:p>
        </w:tc>
        <w:tc>
          <w:tcPr>
            <w:tcW w:w="626" w:type="pct"/>
            <w:tcBorders>
              <w:top w:val="dotted" w:sz="4" w:space="0" w:color="auto"/>
              <w:left w:val="dotted" w:sz="4" w:space="0" w:color="auto"/>
              <w:bottom w:val="dotted" w:sz="4" w:space="0" w:color="auto"/>
              <w:right w:val="dotted" w:sz="4" w:space="0" w:color="auto"/>
            </w:tcBorders>
            <w:vAlign w:val="center"/>
          </w:tcPr>
          <w:p w14:paraId="486BD454" w14:textId="77777777" w:rsidR="00E509CE" w:rsidRPr="002A2F05" w:rsidRDefault="00E509CE" w:rsidP="00CC706A">
            <w:pPr>
              <w:keepNext/>
              <w:keepLines/>
              <w:spacing w:before="60" w:after="60" w:line="240" w:lineRule="auto"/>
              <w:rPr>
                <w:sz w:val="18"/>
                <w:szCs w:val="18"/>
              </w:rPr>
            </w:pPr>
            <w:r w:rsidRPr="002A2F05">
              <w:rPr>
                <w:sz w:val="18"/>
                <w:szCs w:val="18"/>
              </w:rPr>
              <w:t>96.7%</w:t>
            </w:r>
          </w:p>
        </w:tc>
        <w:tc>
          <w:tcPr>
            <w:tcW w:w="627" w:type="pct"/>
            <w:tcBorders>
              <w:top w:val="dotted" w:sz="4" w:space="0" w:color="auto"/>
              <w:left w:val="dotted" w:sz="4" w:space="0" w:color="auto"/>
              <w:bottom w:val="dotted" w:sz="4" w:space="0" w:color="auto"/>
              <w:right w:val="dotted" w:sz="4" w:space="0" w:color="auto"/>
            </w:tcBorders>
            <w:vAlign w:val="center"/>
          </w:tcPr>
          <w:p w14:paraId="6BBD73FA" w14:textId="77777777" w:rsidR="00E509CE" w:rsidRPr="002A2F05" w:rsidRDefault="00E509CE" w:rsidP="00CC706A">
            <w:pPr>
              <w:keepNext/>
              <w:keepLines/>
              <w:spacing w:before="60" w:after="60" w:line="240" w:lineRule="auto"/>
              <w:rPr>
                <w:sz w:val="18"/>
                <w:szCs w:val="18"/>
              </w:rPr>
            </w:pPr>
            <w:r w:rsidRPr="002A2F05">
              <w:rPr>
                <w:sz w:val="18"/>
                <w:szCs w:val="18"/>
              </w:rPr>
              <w:t>2.0%</w:t>
            </w:r>
          </w:p>
        </w:tc>
        <w:tc>
          <w:tcPr>
            <w:tcW w:w="628" w:type="pct"/>
            <w:tcBorders>
              <w:top w:val="dotted" w:sz="4" w:space="0" w:color="auto"/>
              <w:left w:val="dotted" w:sz="4" w:space="0" w:color="auto"/>
              <w:bottom w:val="dotted" w:sz="4" w:space="0" w:color="auto"/>
              <w:right w:val="single" w:sz="4" w:space="0" w:color="auto"/>
            </w:tcBorders>
            <w:shd w:val="clear" w:color="auto" w:fill="D9D9D9" w:themeFill="background1" w:themeFillShade="D9"/>
            <w:vAlign w:val="center"/>
          </w:tcPr>
          <w:p w14:paraId="5E173960" w14:textId="77777777" w:rsidR="00E509CE" w:rsidRPr="002A2F05" w:rsidRDefault="00E509CE" w:rsidP="00CC706A">
            <w:pPr>
              <w:keepNext/>
              <w:keepLines/>
              <w:spacing w:before="60" w:after="60" w:line="240" w:lineRule="auto"/>
              <w:rPr>
                <w:sz w:val="18"/>
                <w:szCs w:val="18"/>
              </w:rPr>
            </w:pPr>
          </w:p>
        </w:tc>
        <w:tc>
          <w:tcPr>
            <w:tcW w:w="625" w:type="pct"/>
            <w:tcBorders>
              <w:top w:val="dotted" w:sz="4" w:space="0" w:color="auto"/>
              <w:left w:val="single" w:sz="4" w:space="0" w:color="auto"/>
              <w:bottom w:val="dotted" w:sz="4" w:space="0" w:color="auto"/>
            </w:tcBorders>
            <w:vAlign w:val="center"/>
          </w:tcPr>
          <w:p w14:paraId="3C0105F2" w14:textId="77777777" w:rsidR="00E509CE" w:rsidRPr="002A2F05" w:rsidRDefault="00E509CE" w:rsidP="00CC706A">
            <w:pPr>
              <w:keepNext/>
              <w:keepLines/>
              <w:spacing w:before="60" w:after="60" w:line="240" w:lineRule="auto"/>
              <w:rPr>
                <w:sz w:val="18"/>
                <w:szCs w:val="18"/>
              </w:rPr>
            </w:pPr>
            <w:r w:rsidRPr="002A2F05">
              <w:rPr>
                <w:sz w:val="18"/>
                <w:szCs w:val="18"/>
              </w:rPr>
              <w:t>100%</w:t>
            </w:r>
          </w:p>
        </w:tc>
      </w:tr>
      <w:tr w:rsidR="00E509CE" w:rsidRPr="002A2F05" w14:paraId="0C47038F" w14:textId="77777777" w:rsidTr="00CD0186">
        <w:trPr>
          <w:trHeight w:val="288"/>
        </w:trPr>
        <w:tc>
          <w:tcPr>
            <w:tcW w:w="614" w:type="pct"/>
            <w:tcBorders>
              <w:right w:val="single" w:sz="4" w:space="0" w:color="auto"/>
            </w:tcBorders>
            <w:vAlign w:val="center"/>
          </w:tcPr>
          <w:p w14:paraId="5DD31F09" w14:textId="77777777" w:rsidR="00E509CE" w:rsidRPr="002A2F05" w:rsidRDefault="00E509CE" w:rsidP="00CC706A">
            <w:pPr>
              <w:keepNext/>
              <w:keepLines/>
              <w:spacing w:before="60" w:after="60" w:line="240" w:lineRule="auto"/>
              <w:rPr>
                <w:sz w:val="18"/>
                <w:szCs w:val="18"/>
              </w:rPr>
            </w:pPr>
            <w:r w:rsidRPr="002A2F05">
              <w:rPr>
                <w:b/>
                <w:bCs/>
                <w:sz w:val="18"/>
                <w:szCs w:val="18"/>
              </w:rPr>
              <w:t>CKD 4</w:t>
            </w:r>
          </w:p>
        </w:tc>
        <w:tc>
          <w:tcPr>
            <w:tcW w:w="626" w:type="pct"/>
            <w:tcBorders>
              <w:top w:val="dotted" w:sz="4" w:space="0" w:color="auto"/>
              <w:left w:val="single" w:sz="4" w:space="0" w:color="auto"/>
              <w:bottom w:val="single" w:sz="4" w:space="0" w:color="auto"/>
              <w:right w:val="dotted" w:sz="4" w:space="0" w:color="auto"/>
            </w:tcBorders>
            <w:shd w:val="clear" w:color="auto" w:fill="D9D9D9" w:themeFill="background1" w:themeFillShade="D9"/>
            <w:vAlign w:val="center"/>
          </w:tcPr>
          <w:p w14:paraId="075A82ED" w14:textId="77777777" w:rsidR="00E509CE" w:rsidRPr="002A2F05" w:rsidRDefault="00E509CE" w:rsidP="00CC706A">
            <w:pPr>
              <w:keepNext/>
              <w:keepLines/>
              <w:spacing w:before="60" w:after="60" w:line="240" w:lineRule="auto"/>
              <w:rPr>
                <w:bCs/>
                <w:iCs/>
                <w:sz w:val="18"/>
                <w:szCs w:val="18"/>
              </w:rPr>
            </w:pPr>
          </w:p>
        </w:tc>
        <w:tc>
          <w:tcPr>
            <w:tcW w:w="627" w:type="pct"/>
            <w:tcBorders>
              <w:top w:val="dotted" w:sz="4" w:space="0" w:color="auto"/>
              <w:left w:val="dotted" w:sz="4" w:space="0" w:color="auto"/>
              <w:bottom w:val="single" w:sz="4" w:space="0" w:color="auto"/>
              <w:right w:val="dotted" w:sz="4" w:space="0" w:color="auto"/>
            </w:tcBorders>
            <w:shd w:val="clear" w:color="auto" w:fill="D9D9D9" w:themeFill="background1" w:themeFillShade="D9"/>
            <w:vAlign w:val="center"/>
          </w:tcPr>
          <w:p w14:paraId="365D6BBB" w14:textId="77777777" w:rsidR="00E509CE" w:rsidRPr="002A2F05" w:rsidRDefault="00E509CE" w:rsidP="00CC706A">
            <w:pPr>
              <w:keepNext/>
              <w:keepLines/>
              <w:spacing w:before="60" w:after="60" w:line="240" w:lineRule="auto"/>
              <w:rPr>
                <w:sz w:val="18"/>
                <w:szCs w:val="18"/>
              </w:rPr>
            </w:pPr>
          </w:p>
        </w:tc>
        <w:tc>
          <w:tcPr>
            <w:tcW w:w="627" w:type="pct"/>
            <w:tcBorders>
              <w:top w:val="dotted" w:sz="4" w:space="0" w:color="auto"/>
              <w:left w:val="dotted" w:sz="4" w:space="0" w:color="auto"/>
              <w:bottom w:val="single" w:sz="4" w:space="0" w:color="auto"/>
              <w:right w:val="dotted" w:sz="4" w:space="0" w:color="auto"/>
            </w:tcBorders>
            <w:shd w:val="clear" w:color="auto" w:fill="D9D9D9" w:themeFill="background1" w:themeFillShade="D9"/>
            <w:vAlign w:val="center"/>
          </w:tcPr>
          <w:p w14:paraId="38FAB02A" w14:textId="77777777" w:rsidR="00E509CE" w:rsidRPr="002A2F05" w:rsidRDefault="00E509CE" w:rsidP="00CC706A">
            <w:pPr>
              <w:keepNext/>
              <w:keepLines/>
              <w:spacing w:before="60" w:after="60" w:line="240" w:lineRule="auto"/>
              <w:rPr>
                <w:sz w:val="18"/>
                <w:szCs w:val="18"/>
              </w:rPr>
            </w:pPr>
          </w:p>
        </w:tc>
        <w:tc>
          <w:tcPr>
            <w:tcW w:w="626" w:type="pct"/>
            <w:tcBorders>
              <w:top w:val="dotted" w:sz="4" w:space="0" w:color="auto"/>
              <w:left w:val="dotted" w:sz="4" w:space="0" w:color="auto"/>
              <w:right w:val="dotted" w:sz="4" w:space="0" w:color="auto"/>
            </w:tcBorders>
            <w:vAlign w:val="center"/>
          </w:tcPr>
          <w:p w14:paraId="0444FCD3" w14:textId="77777777" w:rsidR="00E509CE" w:rsidRPr="002A2F05" w:rsidRDefault="00E509CE" w:rsidP="00CC706A">
            <w:pPr>
              <w:keepNext/>
              <w:keepLines/>
              <w:spacing w:before="60" w:after="60" w:line="240" w:lineRule="auto"/>
              <w:rPr>
                <w:sz w:val="18"/>
                <w:szCs w:val="18"/>
              </w:rPr>
            </w:pPr>
            <w:r w:rsidRPr="002A2F05">
              <w:rPr>
                <w:sz w:val="18"/>
                <w:szCs w:val="18"/>
              </w:rPr>
              <w:t>1.3%</w:t>
            </w:r>
          </w:p>
        </w:tc>
        <w:tc>
          <w:tcPr>
            <w:tcW w:w="627" w:type="pct"/>
            <w:tcBorders>
              <w:top w:val="dotted" w:sz="4" w:space="0" w:color="auto"/>
              <w:left w:val="dotted" w:sz="4" w:space="0" w:color="auto"/>
              <w:right w:val="dotted" w:sz="4" w:space="0" w:color="auto"/>
            </w:tcBorders>
            <w:vAlign w:val="center"/>
          </w:tcPr>
          <w:p w14:paraId="65A3DBA7" w14:textId="77777777" w:rsidR="00E509CE" w:rsidRPr="002A2F05" w:rsidRDefault="00E509CE" w:rsidP="00CC706A">
            <w:pPr>
              <w:keepNext/>
              <w:keepLines/>
              <w:spacing w:before="60" w:after="60" w:line="240" w:lineRule="auto"/>
              <w:rPr>
                <w:sz w:val="18"/>
                <w:szCs w:val="18"/>
              </w:rPr>
            </w:pPr>
            <w:r w:rsidRPr="002A2F05">
              <w:rPr>
                <w:sz w:val="18"/>
                <w:szCs w:val="18"/>
              </w:rPr>
              <w:t>96.7%</w:t>
            </w:r>
          </w:p>
        </w:tc>
        <w:tc>
          <w:tcPr>
            <w:tcW w:w="628" w:type="pct"/>
            <w:tcBorders>
              <w:top w:val="dotted" w:sz="4" w:space="0" w:color="auto"/>
              <w:left w:val="dotted" w:sz="4" w:space="0" w:color="auto"/>
              <w:right w:val="single" w:sz="4" w:space="0" w:color="auto"/>
            </w:tcBorders>
            <w:vAlign w:val="center"/>
          </w:tcPr>
          <w:p w14:paraId="5A2E8DED" w14:textId="77777777" w:rsidR="00E509CE" w:rsidRPr="002A2F05" w:rsidRDefault="00E509CE" w:rsidP="00CC706A">
            <w:pPr>
              <w:keepNext/>
              <w:keepLines/>
              <w:spacing w:before="60" w:after="60" w:line="240" w:lineRule="auto"/>
              <w:rPr>
                <w:sz w:val="18"/>
                <w:szCs w:val="18"/>
              </w:rPr>
            </w:pPr>
            <w:r w:rsidRPr="002A2F05">
              <w:rPr>
                <w:sz w:val="18"/>
                <w:szCs w:val="18"/>
              </w:rPr>
              <w:t>2.0%</w:t>
            </w:r>
          </w:p>
        </w:tc>
        <w:tc>
          <w:tcPr>
            <w:tcW w:w="625" w:type="pct"/>
            <w:tcBorders>
              <w:top w:val="dotted" w:sz="4" w:space="0" w:color="auto"/>
              <w:left w:val="single" w:sz="4" w:space="0" w:color="auto"/>
            </w:tcBorders>
            <w:vAlign w:val="center"/>
          </w:tcPr>
          <w:p w14:paraId="4707AB64" w14:textId="77777777" w:rsidR="00E509CE" w:rsidRPr="002A2F05" w:rsidRDefault="00E509CE" w:rsidP="00CC706A">
            <w:pPr>
              <w:keepNext/>
              <w:keepLines/>
              <w:spacing w:before="60" w:after="60" w:line="240" w:lineRule="auto"/>
              <w:rPr>
                <w:sz w:val="18"/>
                <w:szCs w:val="18"/>
              </w:rPr>
            </w:pPr>
            <w:r w:rsidRPr="002A2F05">
              <w:rPr>
                <w:sz w:val="18"/>
                <w:szCs w:val="18"/>
              </w:rPr>
              <w:t>100%</w:t>
            </w:r>
          </w:p>
        </w:tc>
      </w:tr>
    </w:tbl>
    <w:p w14:paraId="02D4370D" w14:textId="37077438" w:rsidR="002E4382" w:rsidRPr="002A2F05" w:rsidRDefault="001227A2" w:rsidP="00265658">
      <w:pPr>
        <w:pStyle w:val="tablelegend"/>
      </w:pPr>
      <w:r w:rsidRPr="002A2F05">
        <w:rPr>
          <w:b/>
        </w:rPr>
        <w:t>Abbreviations:</w:t>
      </w:r>
      <w:r w:rsidRPr="002A2F05">
        <w:t xml:space="preserve"> </w:t>
      </w:r>
      <w:r w:rsidR="00F920EB" w:rsidRPr="002A2F05">
        <w:t xml:space="preserve">BSC, </w:t>
      </w:r>
      <w:r w:rsidR="00F920EB">
        <w:t>best supportive</w:t>
      </w:r>
      <w:r w:rsidR="00F920EB" w:rsidRPr="002A2F05">
        <w:t xml:space="preserve"> care; </w:t>
      </w:r>
      <w:r w:rsidR="002E4382" w:rsidRPr="002A2F05">
        <w:t>CKD, chronic kidney disease; ESRD, end-stage renal disease</w:t>
      </w:r>
      <w:r w:rsidR="00F920EB">
        <w:t>.</w:t>
      </w:r>
    </w:p>
    <w:p w14:paraId="7D72E6C1" w14:textId="1BB4A14B" w:rsidR="001227A2" w:rsidRPr="002A2F05" w:rsidRDefault="002E4382" w:rsidP="00265658">
      <w:pPr>
        <w:pStyle w:val="tablelegend"/>
      </w:pPr>
      <w:r w:rsidRPr="002A2F05">
        <w:rPr>
          <w:b/>
        </w:rPr>
        <w:t xml:space="preserve">Note: </w:t>
      </w:r>
      <w:r w:rsidRPr="002A2F05">
        <w:t xml:space="preserve">Transition probabilities from the CKD 4 state were assumed to be the same as transitions from the CKD 3 state. As no patient began the trial in CKD 4, transition probabilities could not be calculated from trial data. </w:t>
      </w:r>
    </w:p>
    <w:p w14:paraId="3049F455" w14:textId="77777777" w:rsidR="00DB26E8" w:rsidRPr="002A2F05" w:rsidRDefault="00DB26E8" w:rsidP="00EE0017">
      <w:pPr>
        <w:widowControl w:val="0"/>
        <w:rPr>
          <w:rFonts w:cs="Arial"/>
          <w:szCs w:val="20"/>
        </w:rPr>
      </w:pPr>
    </w:p>
    <w:p w14:paraId="570346AA" w14:textId="149FECAE" w:rsidR="00867CBA" w:rsidRDefault="00867CBA">
      <w:pPr>
        <w:spacing w:line="240" w:lineRule="auto"/>
        <w:rPr>
          <w:rFonts w:cs="Arial"/>
          <w:b/>
          <w:bCs/>
        </w:rPr>
      </w:pPr>
    </w:p>
    <w:p w14:paraId="0CA01B6A" w14:textId="3F4F0F1B" w:rsidR="00DB26E8" w:rsidRPr="002A2F05" w:rsidRDefault="002E4382" w:rsidP="00EE0017">
      <w:pPr>
        <w:widowControl w:val="0"/>
        <w:rPr>
          <w:rFonts w:cs="Arial"/>
        </w:rPr>
      </w:pPr>
      <w:r w:rsidRPr="002A2F05">
        <w:rPr>
          <w:rFonts w:cs="Arial"/>
          <w:b/>
          <w:bCs/>
        </w:rPr>
        <w:t xml:space="preserve">Supplementary Table </w:t>
      </w:r>
      <w:r w:rsidR="00C33C60" w:rsidRPr="002A2F05">
        <w:rPr>
          <w:rFonts w:cs="Arial"/>
          <w:b/>
          <w:bCs/>
        </w:rPr>
        <w:t>5</w:t>
      </w:r>
      <w:r w:rsidR="00265658" w:rsidRPr="002A2F05">
        <w:rPr>
          <w:rFonts w:cs="Arial"/>
          <w:b/>
          <w:bCs/>
        </w:rPr>
        <w:t>.</w:t>
      </w:r>
      <w:r w:rsidRPr="002A2F05">
        <w:rPr>
          <w:rFonts w:cs="Arial"/>
          <w:b/>
          <w:bCs/>
        </w:rPr>
        <w:t xml:space="preserve"> </w:t>
      </w:r>
      <w:r w:rsidR="009F0DDA" w:rsidRPr="002A2F05">
        <w:rPr>
          <w:rFonts w:cs="Arial"/>
        </w:rPr>
        <w:t xml:space="preserve">Transition probabilities </w:t>
      </w:r>
      <w:r w:rsidR="00001E16" w:rsidRPr="002A2F05">
        <w:rPr>
          <w:rFonts w:cs="Arial"/>
        </w:rPr>
        <w:t>f</w:t>
      </w:r>
      <w:r w:rsidR="00CE28D5" w:rsidRPr="002A2F05">
        <w:rPr>
          <w:rFonts w:cs="Arial"/>
        </w:rPr>
        <w:t>rom</w:t>
      </w:r>
      <w:r w:rsidR="009F0DDA" w:rsidRPr="002A2F05">
        <w:rPr>
          <w:rFonts w:cs="Arial"/>
        </w:rPr>
        <w:t xml:space="preserve"> ESRD to post-transplant health state</w:t>
      </w:r>
    </w:p>
    <w:tbl>
      <w:tblPr>
        <w:tblStyle w:val="TableTheme"/>
        <w:tblpPr w:leftFromText="180" w:rightFromText="180" w:vertAnchor="text" w:tblpY="1"/>
        <w:tblW w:w="5000" w:type="pct"/>
        <w:tblLook w:val="04A0" w:firstRow="1" w:lastRow="0" w:firstColumn="1" w:lastColumn="0" w:noHBand="0" w:noVBand="1"/>
      </w:tblPr>
      <w:tblGrid>
        <w:gridCol w:w="2238"/>
        <w:gridCol w:w="1599"/>
        <w:gridCol w:w="1598"/>
        <w:gridCol w:w="1598"/>
        <w:gridCol w:w="1597"/>
      </w:tblGrid>
      <w:tr w:rsidR="003001EB" w:rsidRPr="002A2F05" w14:paraId="388A444B" w14:textId="77777777" w:rsidTr="00DC37B7">
        <w:tc>
          <w:tcPr>
            <w:tcW w:w="1296" w:type="pct"/>
            <w:shd w:val="clear" w:color="auto" w:fill="808080" w:themeFill="background1" w:themeFillShade="80"/>
          </w:tcPr>
          <w:p w14:paraId="5E710FC7" w14:textId="77777777" w:rsidR="003001EB" w:rsidRPr="002A2F05" w:rsidRDefault="003001EB" w:rsidP="00DC37B7">
            <w:pPr>
              <w:snapToGrid w:val="0"/>
              <w:spacing w:before="40" w:after="40" w:line="240" w:lineRule="auto"/>
              <w:rPr>
                <w:b/>
                <w:color w:val="FFFFFF" w:themeColor="background1"/>
                <w:sz w:val="18"/>
                <w:szCs w:val="18"/>
              </w:rPr>
            </w:pPr>
            <w:r w:rsidRPr="002A2F05">
              <w:rPr>
                <w:b/>
                <w:color w:val="FFFFFF" w:themeColor="background1"/>
                <w:sz w:val="18"/>
                <w:szCs w:val="18"/>
              </w:rPr>
              <w:lastRenderedPageBreak/>
              <w:t>From health state</w:t>
            </w:r>
          </w:p>
        </w:tc>
        <w:tc>
          <w:tcPr>
            <w:tcW w:w="926" w:type="pct"/>
            <w:shd w:val="clear" w:color="auto" w:fill="808080" w:themeFill="background1" w:themeFillShade="80"/>
          </w:tcPr>
          <w:p w14:paraId="32773A1B" w14:textId="77777777" w:rsidR="003001EB" w:rsidRPr="002A2F05" w:rsidRDefault="003001EB" w:rsidP="00DC37B7">
            <w:pPr>
              <w:snapToGrid w:val="0"/>
              <w:spacing w:before="40" w:after="40" w:line="240" w:lineRule="auto"/>
              <w:rPr>
                <w:b/>
                <w:color w:val="FFFFFF" w:themeColor="background1"/>
                <w:sz w:val="18"/>
                <w:szCs w:val="18"/>
              </w:rPr>
            </w:pPr>
            <w:r w:rsidRPr="002A2F05">
              <w:rPr>
                <w:b/>
                <w:color w:val="FFFFFF" w:themeColor="background1"/>
                <w:sz w:val="18"/>
                <w:szCs w:val="18"/>
              </w:rPr>
              <w:t xml:space="preserve">Probability over study period </w:t>
            </w:r>
            <w:r w:rsidRPr="002A2F05">
              <w:rPr>
                <w:i/>
                <w:iCs/>
                <w:color w:val="FFFFFF" w:themeColor="background1"/>
                <w:lang w:eastAsia="ja-JP"/>
              </w:rPr>
              <w:t>(</w:t>
            </w:r>
            <m:oMath>
              <m:r>
                <w:rPr>
                  <w:rFonts w:ascii="Cambria Math" w:eastAsiaTheme="minorEastAsia" w:hAnsi="Cambria Math"/>
                  <w:lang w:eastAsia="ja-JP"/>
                </w:rPr>
                <m:t xml:space="preserve"> </m:t>
              </m:r>
              <m:r>
                <w:rPr>
                  <w:rFonts w:ascii="Cambria Math" w:eastAsiaTheme="minorEastAsia" w:hAnsi="Cambria Math"/>
                  <w:color w:val="FFFFFF" w:themeColor="background1"/>
                  <w:lang w:eastAsia="ja-JP"/>
                </w:rPr>
                <m:t>p</m:t>
              </m:r>
            </m:oMath>
            <w:r w:rsidRPr="002A2F05">
              <w:rPr>
                <w:i/>
                <w:iCs/>
                <w:color w:val="FFFFFF" w:themeColor="background1"/>
                <w:lang w:eastAsia="ja-JP"/>
              </w:rPr>
              <w:t xml:space="preserve"> )</w:t>
            </w:r>
          </w:p>
        </w:tc>
        <w:tc>
          <w:tcPr>
            <w:tcW w:w="926" w:type="pct"/>
            <w:shd w:val="clear" w:color="auto" w:fill="808080" w:themeFill="background1" w:themeFillShade="80"/>
          </w:tcPr>
          <w:p w14:paraId="22FCFE78" w14:textId="77777777" w:rsidR="003001EB" w:rsidRPr="002A2F05" w:rsidRDefault="003001EB" w:rsidP="00DC37B7">
            <w:pPr>
              <w:snapToGrid w:val="0"/>
              <w:spacing w:before="40" w:after="40" w:line="240" w:lineRule="auto"/>
              <w:rPr>
                <w:b/>
                <w:i/>
                <w:iCs/>
                <w:color w:val="FFFFFF" w:themeColor="background1"/>
                <w:sz w:val="18"/>
                <w:szCs w:val="18"/>
              </w:rPr>
            </w:pPr>
            <w:r w:rsidRPr="002A2F05">
              <w:rPr>
                <w:b/>
                <w:color w:val="FFFFFF" w:themeColor="background1"/>
                <w:sz w:val="18"/>
                <w:szCs w:val="18"/>
              </w:rPr>
              <w:t>Duration of study period (</w:t>
            </w:r>
            <w:r w:rsidRPr="002A2F05">
              <w:rPr>
                <w:b/>
                <w:i/>
                <w:iCs/>
                <w:color w:val="FFFFFF" w:themeColor="background1"/>
                <w:sz w:val="18"/>
                <w:szCs w:val="18"/>
              </w:rPr>
              <w:t>t)</w:t>
            </w:r>
          </w:p>
        </w:tc>
        <w:tc>
          <w:tcPr>
            <w:tcW w:w="926" w:type="pct"/>
            <w:shd w:val="clear" w:color="auto" w:fill="808080" w:themeFill="background1" w:themeFillShade="80"/>
          </w:tcPr>
          <w:p w14:paraId="5EBB0135" w14:textId="12CA2FD2" w:rsidR="003001EB" w:rsidRPr="002A2F05" w:rsidRDefault="003001EB" w:rsidP="00DC37B7">
            <w:pPr>
              <w:snapToGrid w:val="0"/>
              <w:spacing w:before="40" w:after="40" w:line="240" w:lineRule="auto"/>
              <w:rPr>
                <w:b/>
                <w:i/>
                <w:iCs/>
                <w:color w:val="FFFFFF" w:themeColor="background1"/>
                <w:sz w:val="18"/>
                <w:szCs w:val="18"/>
              </w:rPr>
            </w:pPr>
            <w:r w:rsidRPr="002A2F05">
              <w:rPr>
                <w:b/>
                <w:color w:val="FFFFFF" w:themeColor="background1"/>
                <w:sz w:val="18"/>
                <w:szCs w:val="18"/>
              </w:rPr>
              <w:t xml:space="preserve">Instant hazard rate </w:t>
            </w:r>
            <w:r w:rsidR="008D3A4B" w:rsidRPr="002A2F05">
              <w:rPr>
                <w:b/>
                <w:color w:val="FFFFFF" w:themeColor="background1"/>
                <w:sz w:val="18"/>
                <w:szCs w:val="18"/>
              </w:rPr>
              <w:t>(r)</w:t>
            </w:r>
          </w:p>
        </w:tc>
        <w:tc>
          <w:tcPr>
            <w:tcW w:w="925" w:type="pct"/>
            <w:shd w:val="clear" w:color="auto" w:fill="808080" w:themeFill="background1" w:themeFillShade="80"/>
          </w:tcPr>
          <w:p w14:paraId="472A3043" w14:textId="77777777" w:rsidR="003001EB" w:rsidRPr="002A2F05" w:rsidRDefault="003001EB" w:rsidP="00DC37B7">
            <w:pPr>
              <w:snapToGrid w:val="0"/>
              <w:spacing w:before="40" w:after="40" w:line="240" w:lineRule="auto"/>
              <w:rPr>
                <w:b/>
                <w:i/>
                <w:iCs/>
                <w:color w:val="FFFFFF" w:themeColor="background1"/>
                <w:sz w:val="18"/>
                <w:szCs w:val="18"/>
              </w:rPr>
            </w:pPr>
            <w:r w:rsidRPr="002A2F05">
              <w:rPr>
                <w:b/>
                <w:color w:val="FFFFFF" w:themeColor="background1"/>
                <w:sz w:val="18"/>
                <w:szCs w:val="18"/>
              </w:rPr>
              <w:t>Probability per cycle used in model (</w:t>
            </w:r>
            <m:oMath>
              <m:r>
                <w:rPr>
                  <w:rFonts w:ascii="Cambria Math" w:eastAsiaTheme="minorEastAsia" w:hAnsi="Cambria Math"/>
                  <w:lang w:eastAsia="ja-JP"/>
                </w:rPr>
                <m:t xml:space="preserve"> </m:t>
              </m:r>
              <m:r>
                <w:rPr>
                  <w:rFonts w:ascii="Cambria Math" w:eastAsiaTheme="minorEastAsia" w:hAnsi="Cambria Math"/>
                  <w:color w:val="FFFFFF" w:themeColor="background1"/>
                  <w:lang w:eastAsia="ja-JP"/>
                </w:rPr>
                <m:t>p</m:t>
              </m:r>
            </m:oMath>
            <w:r w:rsidRPr="002A2F05">
              <w:rPr>
                <w:b/>
                <w:i/>
                <w:iCs/>
                <w:color w:val="FFFFFF" w:themeColor="background1"/>
                <w:sz w:val="18"/>
                <w:szCs w:val="18"/>
              </w:rPr>
              <w:t xml:space="preserve"> )</w:t>
            </w:r>
          </w:p>
        </w:tc>
      </w:tr>
      <w:tr w:rsidR="003001EB" w:rsidRPr="002A2F05" w14:paraId="0C717FFF" w14:textId="77777777" w:rsidTr="00CD0186">
        <w:trPr>
          <w:trHeight w:val="319"/>
        </w:trPr>
        <w:tc>
          <w:tcPr>
            <w:tcW w:w="1296" w:type="pct"/>
            <w:vAlign w:val="center"/>
          </w:tcPr>
          <w:p w14:paraId="2B6AD5CD" w14:textId="77777777" w:rsidR="003001EB" w:rsidRPr="002A2F05" w:rsidRDefault="003001EB" w:rsidP="00CD0186">
            <w:pPr>
              <w:pStyle w:val="Tablebulletlevel1"/>
              <w:numPr>
                <w:ilvl w:val="0"/>
                <w:numId w:val="0"/>
              </w:numPr>
              <w:ind w:left="144" w:hanging="144"/>
              <w:jc w:val="left"/>
            </w:pPr>
            <w:r w:rsidRPr="002A2F05">
              <w:t>ESRD without dialysis</w:t>
            </w:r>
          </w:p>
        </w:tc>
        <w:tc>
          <w:tcPr>
            <w:tcW w:w="926" w:type="pct"/>
            <w:vAlign w:val="center"/>
          </w:tcPr>
          <w:p w14:paraId="3C98EA2C" w14:textId="77777777" w:rsidR="003001EB" w:rsidRPr="002A2F05" w:rsidRDefault="003001EB" w:rsidP="00CD0186">
            <w:pPr>
              <w:pStyle w:val="Tablebulletlevel1"/>
              <w:numPr>
                <w:ilvl w:val="0"/>
                <w:numId w:val="0"/>
              </w:numPr>
              <w:ind w:left="144" w:hanging="144"/>
              <w:jc w:val="left"/>
            </w:pPr>
            <w:r w:rsidRPr="002A2F05">
              <w:t>0.21</w:t>
            </w:r>
          </w:p>
        </w:tc>
        <w:tc>
          <w:tcPr>
            <w:tcW w:w="926" w:type="pct"/>
            <w:vAlign w:val="center"/>
          </w:tcPr>
          <w:p w14:paraId="515C6583" w14:textId="77777777" w:rsidR="003001EB" w:rsidRPr="002A2F05" w:rsidRDefault="003001EB" w:rsidP="00CD0186">
            <w:pPr>
              <w:pStyle w:val="Tablebulletlevel1"/>
              <w:numPr>
                <w:ilvl w:val="0"/>
                <w:numId w:val="0"/>
              </w:numPr>
              <w:ind w:left="144" w:hanging="144"/>
              <w:jc w:val="left"/>
            </w:pPr>
            <w:r w:rsidRPr="002A2F05">
              <w:t>58.80</w:t>
            </w:r>
          </w:p>
        </w:tc>
        <w:tc>
          <w:tcPr>
            <w:tcW w:w="926" w:type="pct"/>
            <w:vAlign w:val="center"/>
          </w:tcPr>
          <w:p w14:paraId="60AF3006" w14:textId="77777777" w:rsidR="003001EB" w:rsidRPr="002A2F05" w:rsidRDefault="003001EB" w:rsidP="00CD0186">
            <w:pPr>
              <w:pStyle w:val="Tablebulletlevel1"/>
              <w:numPr>
                <w:ilvl w:val="0"/>
                <w:numId w:val="0"/>
              </w:numPr>
              <w:ind w:left="144" w:hanging="144"/>
              <w:jc w:val="left"/>
            </w:pPr>
            <w:r w:rsidRPr="002A2F05">
              <w:t>0.4%</w:t>
            </w:r>
          </w:p>
        </w:tc>
        <w:tc>
          <w:tcPr>
            <w:tcW w:w="925" w:type="pct"/>
            <w:vAlign w:val="center"/>
          </w:tcPr>
          <w:p w14:paraId="3BD2436D" w14:textId="77777777" w:rsidR="003001EB" w:rsidRPr="002A2F05" w:rsidRDefault="003001EB" w:rsidP="00CD0186">
            <w:pPr>
              <w:pStyle w:val="Tablebulletlevel1"/>
              <w:numPr>
                <w:ilvl w:val="0"/>
                <w:numId w:val="0"/>
              </w:numPr>
              <w:ind w:left="144" w:hanging="144"/>
              <w:jc w:val="left"/>
              <w:rPr>
                <w:b/>
                <w:bCs w:val="0"/>
              </w:rPr>
            </w:pPr>
            <w:r w:rsidRPr="002A2F05">
              <w:rPr>
                <w:b/>
                <w:bCs w:val="0"/>
              </w:rPr>
              <w:t>0.4%</w:t>
            </w:r>
          </w:p>
        </w:tc>
      </w:tr>
      <w:tr w:rsidR="003001EB" w:rsidRPr="002A2F05" w14:paraId="62A7EC1A" w14:textId="77777777" w:rsidTr="00CD0186">
        <w:trPr>
          <w:trHeight w:val="319"/>
        </w:trPr>
        <w:tc>
          <w:tcPr>
            <w:tcW w:w="1296" w:type="pct"/>
            <w:vAlign w:val="center"/>
          </w:tcPr>
          <w:p w14:paraId="7948137A" w14:textId="77777777" w:rsidR="003001EB" w:rsidRPr="002A2F05" w:rsidRDefault="003001EB" w:rsidP="00CD0186">
            <w:pPr>
              <w:pStyle w:val="Tablebulletlevel1"/>
              <w:numPr>
                <w:ilvl w:val="0"/>
                <w:numId w:val="0"/>
              </w:numPr>
              <w:ind w:left="144" w:hanging="144"/>
              <w:jc w:val="left"/>
            </w:pPr>
            <w:r w:rsidRPr="002A2F05">
              <w:t>ESRD with dialysis</w:t>
            </w:r>
          </w:p>
        </w:tc>
        <w:tc>
          <w:tcPr>
            <w:tcW w:w="926" w:type="pct"/>
            <w:vAlign w:val="center"/>
          </w:tcPr>
          <w:p w14:paraId="5D203836" w14:textId="77777777" w:rsidR="003001EB" w:rsidRPr="002A2F05" w:rsidRDefault="003001EB" w:rsidP="00CD0186">
            <w:pPr>
              <w:pStyle w:val="Tablebulletlevel1"/>
              <w:numPr>
                <w:ilvl w:val="0"/>
                <w:numId w:val="0"/>
              </w:numPr>
              <w:ind w:left="144" w:hanging="144"/>
              <w:jc w:val="left"/>
            </w:pPr>
            <w:r w:rsidRPr="002A2F05">
              <w:t>0.24</w:t>
            </w:r>
          </w:p>
        </w:tc>
        <w:tc>
          <w:tcPr>
            <w:tcW w:w="926" w:type="pct"/>
            <w:vAlign w:val="center"/>
          </w:tcPr>
          <w:p w14:paraId="38196A6D" w14:textId="77777777" w:rsidR="003001EB" w:rsidRPr="002A2F05" w:rsidRDefault="003001EB" w:rsidP="00CD0186">
            <w:pPr>
              <w:pStyle w:val="Tablebulletlevel1"/>
              <w:numPr>
                <w:ilvl w:val="0"/>
                <w:numId w:val="0"/>
              </w:numPr>
              <w:ind w:left="144" w:hanging="144"/>
              <w:jc w:val="left"/>
            </w:pPr>
            <w:r w:rsidRPr="002A2F05">
              <w:t>58.80</w:t>
            </w:r>
          </w:p>
        </w:tc>
        <w:tc>
          <w:tcPr>
            <w:tcW w:w="926" w:type="pct"/>
            <w:vAlign w:val="center"/>
          </w:tcPr>
          <w:p w14:paraId="4214A646" w14:textId="77777777" w:rsidR="003001EB" w:rsidRPr="002A2F05" w:rsidRDefault="003001EB" w:rsidP="00CD0186">
            <w:pPr>
              <w:pStyle w:val="Tablebulletlevel1"/>
              <w:numPr>
                <w:ilvl w:val="0"/>
                <w:numId w:val="0"/>
              </w:numPr>
              <w:ind w:left="144" w:hanging="144"/>
              <w:jc w:val="left"/>
            </w:pPr>
            <w:r w:rsidRPr="002A2F05">
              <w:t>0.5%</w:t>
            </w:r>
          </w:p>
        </w:tc>
        <w:tc>
          <w:tcPr>
            <w:tcW w:w="925" w:type="pct"/>
            <w:vAlign w:val="center"/>
          </w:tcPr>
          <w:p w14:paraId="2D3B9AA1" w14:textId="77777777" w:rsidR="003001EB" w:rsidRPr="002A2F05" w:rsidRDefault="003001EB" w:rsidP="00CD0186">
            <w:pPr>
              <w:pStyle w:val="Tablebulletlevel1"/>
              <w:numPr>
                <w:ilvl w:val="0"/>
                <w:numId w:val="0"/>
              </w:numPr>
              <w:ind w:left="144" w:hanging="144"/>
              <w:jc w:val="left"/>
              <w:rPr>
                <w:b/>
                <w:bCs w:val="0"/>
              </w:rPr>
            </w:pPr>
            <w:r w:rsidRPr="002A2F05">
              <w:rPr>
                <w:b/>
                <w:bCs w:val="0"/>
              </w:rPr>
              <w:t>0.5%</w:t>
            </w:r>
          </w:p>
        </w:tc>
      </w:tr>
    </w:tbl>
    <w:p w14:paraId="74A6A649" w14:textId="52378301" w:rsidR="003001EB" w:rsidRPr="002A2F05" w:rsidRDefault="003001EB" w:rsidP="00265658">
      <w:pPr>
        <w:pStyle w:val="tablelegend"/>
      </w:pPr>
      <w:r w:rsidRPr="002A2F05">
        <w:rPr>
          <w:b/>
        </w:rPr>
        <w:t>Abbreviations:</w:t>
      </w:r>
      <w:r w:rsidRPr="002A2F05">
        <w:t xml:space="preserve"> ESRD, end-stage renal disease</w:t>
      </w:r>
      <w:r w:rsidR="001058A3" w:rsidRPr="002A2F05">
        <w:t>.</w:t>
      </w:r>
    </w:p>
    <w:p w14:paraId="56F073BD" w14:textId="727D6D2C" w:rsidR="00650A07" w:rsidRPr="00D41398" w:rsidRDefault="003617B3" w:rsidP="00650A07">
      <w:pPr>
        <w:pStyle w:val="Bibliography"/>
        <w:rPr>
          <w:color w:val="000000"/>
        </w:rPr>
      </w:pPr>
      <w:r w:rsidRPr="003617B3">
        <w:rPr>
          <w:bCs/>
        </w:rPr>
        <w:t>Data from</w:t>
      </w:r>
      <w:r w:rsidR="00650A07" w:rsidRPr="00650A07">
        <w:rPr>
          <w:color w:val="000000"/>
        </w:rPr>
        <w:t xml:space="preserve"> </w:t>
      </w:r>
      <w:r w:rsidR="00650A07" w:rsidRPr="00D41398">
        <w:rPr>
          <w:color w:val="000000"/>
        </w:rPr>
        <w:t xml:space="preserve">Calliditas Therapeutics AB. </w:t>
      </w:r>
      <w:r w:rsidR="00650A07" w:rsidRPr="00D41398">
        <w:rPr>
          <w:i/>
          <w:iCs/>
          <w:color w:val="000000"/>
        </w:rPr>
        <w:t>Data on File: Clinical Study Report - A Randomized, Double-Blind, Placebo-Controlled Study to Evaluate Efficacy and Safety of Nefecon in Patients with Primary IgA Nephropathy at Risk of Progressing to End-Stage Renal Disease (NefIgArd) (Data Cutoff Date of 05 October 2020 for Part A Analysis) - Version 1.0.</w:t>
      </w:r>
      <w:r w:rsidR="00650A07" w:rsidRPr="00D41398">
        <w:rPr>
          <w:color w:val="000000"/>
        </w:rPr>
        <w:t>; 2021.</w:t>
      </w:r>
      <w:r w:rsidR="00650A07" w:rsidRPr="00650A07">
        <w:rPr>
          <w:color w:val="000000"/>
          <w:vertAlign w:val="superscript"/>
        </w:rPr>
        <w:t>31</w:t>
      </w:r>
    </w:p>
    <w:p w14:paraId="013641D4" w14:textId="6194F00D" w:rsidR="00DB26E8" w:rsidRPr="002A2F05" w:rsidRDefault="00650A07" w:rsidP="00265658">
      <w:pPr>
        <w:pStyle w:val="tablelegend"/>
      </w:pPr>
      <w:r w:rsidRPr="002A2F05">
        <w:t xml:space="preserve"> </w:t>
      </w:r>
    </w:p>
    <w:p w14:paraId="16468EC4" w14:textId="77777777" w:rsidR="00265658" w:rsidRPr="002A2F05" w:rsidRDefault="00265658" w:rsidP="00265658"/>
    <w:p w14:paraId="7BECA671" w14:textId="5B0B1F3A" w:rsidR="00E04A32" w:rsidRPr="002A2F05" w:rsidRDefault="00E04A32" w:rsidP="00E04A32">
      <w:pPr>
        <w:widowControl w:val="0"/>
        <w:rPr>
          <w:rFonts w:cs="Arial"/>
        </w:rPr>
      </w:pPr>
      <w:r w:rsidRPr="002A2F05">
        <w:rPr>
          <w:rFonts w:cs="Arial"/>
          <w:b/>
          <w:bCs/>
        </w:rPr>
        <w:t xml:space="preserve">Supplementary Table </w:t>
      </w:r>
      <w:r w:rsidR="00C33C60" w:rsidRPr="002A2F05">
        <w:rPr>
          <w:rFonts w:cs="Arial"/>
          <w:b/>
          <w:bCs/>
        </w:rPr>
        <w:t>6</w:t>
      </w:r>
      <w:r w:rsidR="00265658" w:rsidRPr="002A2F05">
        <w:rPr>
          <w:rFonts w:cs="Arial"/>
          <w:b/>
          <w:bCs/>
        </w:rPr>
        <w:t>.</w:t>
      </w:r>
      <w:r w:rsidRPr="002A2F05">
        <w:rPr>
          <w:rFonts w:cs="Arial"/>
          <w:b/>
          <w:bCs/>
        </w:rPr>
        <w:t xml:space="preserve"> </w:t>
      </w:r>
      <w:r w:rsidR="000A5312" w:rsidRPr="002A2F05">
        <w:rPr>
          <w:rFonts w:cs="Arial"/>
        </w:rPr>
        <w:t>Proportion of patients with ESRD on dialysis</w:t>
      </w:r>
    </w:p>
    <w:tbl>
      <w:tblPr>
        <w:tblStyle w:val="TableTheme"/>
        <w:tblpPr w:leftFromText="180" w:rightFromText="180" w:vertAnchor="text" w:tblpY="1"/>
        <w:tblW w:w="5000" w:type="pct"/>
        <w:tblLook w:val="04A0" w:firstRow="1" w:lastRow="0" w:firstColumn="1" w:lastColumn="0" w:noHBand="0" w:noVBand="1"/>
      </w:tblPr>
      <w:tblGrid>
        <w:gridCol w:w="4379"/>
        <w:gridCol w:w="4251"/>
      </w:tblGrid>
      <w:tr w:rsidR="00035B4E" w:rsidRPr="002A2F05" w14:paraId="0002515B" w14:textId="77777777" w:rsidTr="00CC706A">
        <w:tc>
          <w:tcPr>
            <w:tcW w:w="2537" w:type="pct"/>
            <w:shd w:val="clear" w:color="auto" w:fill="808080" w:themeFill="background1" w:themeFillShade="80"/>
          </w:tcPr>
          <w:p w14:paraId="707C2CAA" w14:textId="77777777" w:rsidR="00035B4E" w:rsidRPr="002A2F05" w:rsidRDefault="00035B4E" w:rsidP="00CD0186">
            <w:pPr>
              <w:snapToGrid w:val="0"/>
              <w:spacing w:before="40" w:after="40"/>
              <w:rPr>
                <w:b/>
                <w:color w:val="FFFFFF" w:themeColor="background1"/>
                <w:sz w:val="18"/>
                <w:szCs w:val="18"/>
              </w:rPr>
            </w:pPr>
            <w:r w:rsidRPr="002A2F05">
              <w:rPr>
                <w:b/>
                <w:color w:val="FFFFFF" w:themeColor="background1"/>
                <w:sz w:val="18"/>
                <w:szCs w:val="18"/>
              </w:rPr>
              <w:t>ESRD stage</w:t>
            </w:r>
          </w:p>
        </w:tc>
        <w:tc>
          <w:tcPr>
            <w:tcW w:w="2463" w:type="pct"/>
            <w:shd w:val="clear" w:color="auto" w:fill="808080" w:themeFill="background1" w:themeFillShade="80"/>
          </w:tcPr>
          <w:p w14:paraId="66CA7549" w14:textId="77777777" w:rsidR="00035B4E" w:rsidRPr="002A2F05" w:rsidRDefault="00035B4E" w:rsidP="00CD0186">
            <w:pPr>
              <w:snapToGrid w:val="0"/>
              <w:spacing w:before="40" w:after="40"/>
              <w:rPr>
                <w:b/>
                <w:color w:val="FFFFFF" w:themeColor="background1"/>
                <w:sz w:val="18"/>
                <w:szCs w:val="18"/>
              </w:rPr>
            </w:pPr>
            <w:r w:rsidRPr="002A2F05">
              <w:rPr>
                <w:b/>
                <w:color w:val="FFFFFF" w:themeColor="background1"/>
                <w:sz w:val="18"/>
                <w:szCs w:val="18"/>
              </w:rPr>
              <w:t>Proportion of patients (%)</w:t>
            </w:r>
          </w:p>
        </w:tc>
      </w:tr>
      <w:tr w:rsidR="00035B4E" w:rsidRPr="002A2F05" w14:paraId="15C5B27C" w14:textId="77777777" w:rsidTr="00CD0186">
        <w:trPr>
          <w:trHeight w:val="319"/>
        </w:trPr>
        <w:tc>
          <w:tcPr>
            <w:tcW w:w="2537" w:type="pct"/>
          </w:tcPr>
          <w:p w14:paraId="73F7CFBF" w14:textId="77777777" w:rsidR="00035B4E" w:rsidRPr="002A2F05" w:rsidRDefault="00035B4E" w:rsidP="00CD0186">
            <w:pPr>
              <w:pStyle w:val="Tablebulletlevel1"/>
              <w:numPr>
                <w:ilvl w:val="0"/>
                <w:numId w:val="0"/>
              </w:numPr>
              <w:ind w:left="144" w:hanging="144"/>
              <w:jc w:val="left"/>
            </w:pPr>
            <w:r w:rsidRPr="002A2F05">
              <w:t>ESRD with dialysis</w:t>
            </w:r>
          </w:p>
        </w:tc>
        <w:tc>
          <w:tcPr>
            <w:tcW w:w="2463" w:type="pct"/>
            <w:vAlign w:val="center"/>
          </w:tcPr>
          <w:p w14:paraId="04E9BB5E" w14:textId="77777777" w:rsidR="00035B4E" w:rsidRPr="002A2F05" w:rsidRDefault="00035B4E" w:rsidP="00CD0186">
            <w:pPr>
              <w:pStyle w:val="Tablebulletlevel1"/>
              <w:numPr>
                <w:ilvl w:val="0"/>
                <w:numId w:val="0"/>
              </w:numPr>
              <w:ind w:left="144" w:hanging="144"/>
              <w:jc w:val="left"/>
            </w:pPr>
            <w:r w:rsidRPr="002A2F05">
              <w:t>40.51</w:t>
            </w:r>
          </w:p>
        </w:tc>
      </w:tr>
      <w:tr w:rsidR="00035B4E" w:rsidRPr="002A2F05" w14:paraId="58B52619" w14:textId="77777777" w:rsidTr="00CD0186">
        <w:trPr>
          <w:trHeight w:val="319"/>
        </w:trPr>
        <w:tc>
          <w:tcPr>
            <w:tcW w:w="2537" w:type="pct"/>
          </w:tcPr>
          <w:p w14:paraId="5C5CEE66" w14:textId="77777777" w:rsidR="00035B4E" w:rsidRPr="002A2F05" w:rsidRDefault="00035B4E" w:rsidP="00CD0186">
            <w:pPr>
              <w:pStyle w:val="Tablebulletlevel1"/>
              <w:numPr>
                <w:ilvl w:val="0"/>
                <w:numId w:val="0"/>
              </w:numPr>
              <w:ind w:left="144" w:hanging="144"/>
              <w:jc w:val="left"/>
            </w:pPr>
            <w:r w:rsidRPr="002A2F05">
              <w:t>ESRD without dialysis</w:t>
            </w:r>
          </w:p>
        </w:tc>
        <w:tc>
          <w:tcPr>
            <w:tcW w:w="2463" w:type="pct"/>
            <w:vAlign w:val="center"/>
          </w:tcPr>
          <w:p w14:paraId="7432B776" w14:textId="77777777" w:rsidR="00035B4E" w:rsidRPr="002A2F05" w:rsidRDefault="00035B4E" w:rsidP="00CD0186">
            <w:pPr>
              <w:pStyle w:val="Tablebulletlevel1"/>
              <w:numPr>
                <w:ilvl w:val="0"/>
                <w:numId w:val="0"/>
              </w:numPr>
              <w:ind w:left="144" w:hanging="144"/>
              <w:jc w:val="left"/>
            </w:pPr>
            <w:r w:rsidRPr="002A2F05">
              <w:t>59.49</w:t>
            </w:r>
          </w:p>
        </w:tc>
      </w:tr>
    </w:tbl>
    <w:p w14:paraId="4BB954AA" w14:textId="77777777" w:rsidR="00035B4E" w:rsidRPr="002A2F05" w:rsidRDefault="00035B4E" w:rsidP="00265658">
      <w:pPr>
        <w:pStyle w:val="tablelegend"/>
      </w:pPr>
      <w:r w:rsidRPr="002A2F05">
        <w:rPr>
          <w:b/>
        </w:rPr>
        <w:t>Abbreviations:</w:t>
      </w:r>
      <w:r w:rsidRPr="002A2F05">
        <w:t xml:space="preserve"> ESRD, end-stage renal disease.</w:t>
      </w:r>
    </w:p>
    <w:p w14:paraId="1D0959FA" w14:textId="086AB5DE" w:rsidR="00650A07" w:rsidRPr="00D41398" w:rsidRDefault="003617B3" w:rsidP="00650A07">
      <w:pPr>
        <w:pStyle w:val="Bibliography"/>
        <w:rPr>
          <w:color w:val="000000"/>
        </w:rPr>
      </w:pPr>
      <w:r w:rsidRPr="003617B3">
        <w:rPr>
          <w:bCs/>
        </w:rPr>
        <w:t>Data from</w:t>
      </w:r>
      <w:r w:rsidR="00650A07" w:rsidRPr="003617B3">
        <w:rPr>
          <w:bCs/>
          <w:color w:val="000000"/>
        </w:rPr>
        <w:t xml:space="preserve"> Hastings</w:t>
      </w:r>
      <w:r w:rsidR="00650A07" w:rsidRPr="00D41398">
        <w:rPr>
          <w:color w:val="000000"/>
        </w:rPr>
        <w:t xml:space="preserve"> </w:t>
      </w:r>
      <w:r>
        <w:rPr>
          <w:color w:val="000000"/>
        </w:rPr>
        <w:t>et al</w:t>
      </w:r>
      <w:r w:rsidR="00650A07">
        <w:rPr>
          <w:color w:val="000000"/>
        </w:rPr>
        <w:t>.</w:t>
      </w:r>
      <w:r w:rsidR="00650A07" w:rsidRPr="00650A07">
        <w:rPr>
          <w:color w:val="000000"/>
          <w:vertAlign w:val="superscript"/>
        </w:rPr>
        <w:t>16</w:t>
      </w:r>
    </w:p>
    <w:p w14:paraId="6FAB405B" w14:textId="0ACD88E4" w:rsidR="00F817AF" w:rsidRPr="002A2F05" w:rsidRDefault="00650A07" w:rsidP="00265658">
      <w:pPr>
        <w:pStyle w:val="tablelegend"/>
        <w:rPr>
          <w:b/>
        </w:rPr>
      </w:pPr>
      <w:r w:rsidRPr="002A2F05">
        <w:rPr>
          <w:b/>
        </w:rPr>
        <w:t xml:space="preserve"> </w:t>
      </w:r>
    </w:p>
    <w:p w14:paraId="1FA27D90" w14:textId="6A903487" w:rsidR="000612FF" w:rsidRPr="002A2F05" w:rsidRDefault="00650A07" w:rsidP="002A2F05">
      <w:pPr>
        <w:keepNext/>
        <w:keepLines/>
        <w:widowControl w:val="0"/>
        <w:rPr>
          <w:rFonts w:cs="Arial"/>
        </w:rPr>
      </w:pPr>
      <w:r>
        <w:rPr>
          <w:rFonts w:cs="Arial"/>
          <w:b/>
          <w:bCs/>
        </w:rPr>
        <w:lastRenderedPageBreak/>
        <w:t>S</w:t>
      </w:r>
      <w:r w:rsidR="000612FF" w:rsidRPr="002A2F05">
        <w:rPr>
          <w:rFonts w:cs="Arial"/>
          <w:b/>
          <w:bCs/>
        </w:rPr>
        <w:t xml:space="preserve">upplementary Table </w:t>
      </w:r>
      <w:r w:rsidR="00B3197B">
        <w:rPr>
          <w:rFonts w:cs="Arial"/>
          <w:b/>
          <w:bCs/>
        </w:rPr>
        <w:t>7</w:t>
      </w:r>
      <w:r w:rsidR="000612FF" w:rsidRPr="002A2F05">
        <w:rPr>
          <w:rFonts w:cs="Arial"/>
          <w:b/>
          <w:bCs/>
        </w:rPr>
        <w:t xml:space="preserve"> </w:t>
      </w:r>
      <w:r w:rsidR="009B11E5" w:rsidRPr="002A2F05">
        <w:rPr>
          <w:rFonts w:cs="Arial"/>
        </w:rPr>
        <w:t>Monthly AE costs</w:t>
      </w:r>
    </w:p>
    <w:tbl>
      <w:tblPr>
        <w:tblStyle w:val="TableGrid"/>
        <w:tblW w:w="4843" w:type="pct"/>
        <w:tblLayout w:type="fixed"/>
        <w:tblLook w:val="04A0" w:firstRow="1" w:lastRow="0" w:firstColumn="1" w:lastColumn="0" w:noHBand="0" w:noVBand="1"/>
      </w:tblPr>
      <w:tblGrid>
        <w:gridCol w:w="1268"/>
        <w:gridCol w:w="1278"/>
        <w:gridCol w:w="1178"/>
        <w:gridCol w:w="1179"/>
        <w:gridCol w:w="1108"/>
        <w:gridCol w:w="1215"/>
        <w:gridCol w:w="1133"/>
      </w:tblGrid>
      <w:tr w:rsidR="00AD1596" w:rsidRPr="002A2F05" w14:paraId="187D6696" w14:textId="77777777" w:rsidTr="002A2F05">
        <w:trPr>
          <w:trHeight w:val="70"/>
          <w:tblHeader/>
        </w:trPr>
        <w:tc>
          <w:tcPr>
            <w:tcW w:w="758"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11D41D0" w14:textId="77777777" w:rsidR="00AD1596" w:rsidRPr="002A2F05" w:rsidRDefault="00AD1596" w:rsidP="002A2F05">
            <w:pPr>
              <w:keepNext/>
              <w:keepLines/>
              <w:spacing w:before="40" w:after="40" w:line="240" w:lineRule="auto"/>
              <w:rPr>
                <w:rFonts w:cs="Helvetica"/>
                <w:b/>
                <w:bCs/>
                <w:color w:val="FFFFFF" w:themeColor="background1"/>
                <w:sz w:val="17"/>
                <w:szCs w:val="17"/>
              </w:rPr>
            </w:pPr>
            <w:r w:rsidRPr="002A2F05">
              <w:rPr>
                <w:rFonts w:cs="Helvetica"/>
                <w:b/>
                <w:bCs/>
                <w:color w:val="FFFFFF" w:themeColor="background1"/>
                <w:sz w:val="17"/>
                <w:szCs w:val="17"/>
                <w:lang w:eastAsia="en-CA"/>
              </w:rPr>
              <w:t>TEAE</w:t>
            </w:r>
          </w:p>
        </w:tc>
        <w:tc>
          <w:tcPr>
            <w:tcW w:w="764"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A728C39" w14:textId="1EC40664" w:rsidR="00AD1596" w:rsidRPr="002A2F05" w:rsidRDefault="00AD1596" w:rsidP="002A2F05">
            <w:pPr>
              <w:keepNext/>
              <w:keepLines/>
              <w:spacing w:before="40" w:after="40" w:line="240" w:lineRule="auto"/>
              <w:rPr>
                <w:rFonts w:cs="Helvetica"/>
                <w:b/>
                <w:bCs/>
                <w:color w:val="FFFFFF" w:themeColor="background1"/>
                <w:sz w:val="17"/>
                <w:szCs w:val="17"/>
              </w:rPr>
            </w:pPr>
            <w:r w:rsidRPr="002A2F05">
              <w:rPr>
                <w:rFonts w:cs="Helvetica"/>
                <w:b/>
                <w:bCs/>
                <w:color w:val="FFFFFF" w:themeColor="background1"/>
                <w:sz w:val="17"/>
                <w:szCs w:val="17"/>
                <w:lang w:eastAsia="en-CA"/>
              </w:rPr>
              <w:t>% inpatien</w:t>
            </w:r>
            <w:r w:rsidR="00444A29" w:rsidRPr="002A2F05">
              <w:rPr>
                <w:rFonts w:cs="Helvetica"/>
                <w:b/>
                <w:bCs/>
                <w:color w:val="FFFFFF" w:themeColor="background1"/>
                <w:sz w:val="17"/>
                <w:szCs w:val="17"/>
                <w:lang w:eastAsia="en-CA"/>
              </w:rPr>
              <w:t>t</w:t>
            </w:r>
            <w:r w:rsidRPr="002A2F05">
              <w:rPr>
                <w:rFonts w:cs="Helvetica"/>
                <w:b/>
                <w:bCs/>
                <w:color w:val="FFFFFF" w:themeColor="background1"/>
                <w:sz w:val="17"/>
                <w:szCs w:val="17"/>
                <w:lang w:eastAsia="en-CA"/>
              </w:rPr>
              <w:t xml:space="preserve"> AEs </w:t>
            </w:r>
            <w:r w:rsidR="00EB6C06" w:rsidRPr="002A2F05">
              <w:rPr>
                <w:rFonts w:cs="Helvetica"/>
                <w:b/>
                <w:bCs/>
                <w:color w:val="FFFFFF" w:themeColor="background1"/>
                <w:sz w:val="17"/>
                <w:szCs w:val="17"/>
                <w:lang w:eastAsia="en-CA"/>
              </w:rPr>
              <w:t>Nefecon</w:t>
            </w:r>
          </w:p>
        </w:tc>
        <w:tc>
          <w:tcPr>
            <w:tcW w:w="704"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77A4160" w14:textId="6135E2E6" w:rsidR="00AD1596" w:rsidRPr="002A2F05" w:rsidRDefault="00AD1596" w:rsidP="002A2F05">
            <w:pPr>
              <w:keepNext/>
              <w:keepLines/>
              <w:spacing w:before="40" w:after="40" w:line="240" w:lineRule="auto"/>
              <w:rPr>
                <w:rFonts w:cs="Helvetica"/>
                <w:b/>
                <w:bCs/>
                <w:color w:val="FFFFFF" w:themeColor="background1"/>
                <w:sz w:val="17"/>
                <w:szCs w:val="17"/>
              </w:rPr>
            </w:pPr>
            <w:r w:rsidRPr="002A2F05">
              <w:rPr>
                <w:rFonts w:cs="Helvetica"/>
                <w:b/>
                <w:bCs/>
                <w:color w:val="FFFFFF" w:themeColor="background1"/>
                <w:sz w:val="17"/>
                <w:szCs w:val="17"/>
                <w:lang w:eastAsia="en-CA"/>
              </w:rPr>
              <w:t>% inpatien</w:t>
            </w:r>
            <w:r w:rsidR="00444A29" w:rsidRPr="002A2F05">
              <w:rPr>
                <w:rFonts w:cs="Helvetica"/>
                <w:b/>
                <w:bCs/>
                <w:color w:val="FFFFFF" w:themeColor="background1"/>
                <w:sz w:val="17"/>
                <w:szCs w:val="17"/>
                <w:lang w:eastAsia="en-CA"/>
              </w:rPr>
              <w:t>t</w:t>
            </w:r>
            <w:r w:rsidRPr="002A2F05">
              <w:rPr>
                <w:rFonts w:cs="Helvetica"/>
                <w:b/>
                <w:bCs/>
                <w:color w:val="FFFFFF" w:themeColor="background1"/>
                <w:sz w:val="17"/>
                <w:szCs w:val="17"/>
                <w:lang w:eastAsia="en-CA"/>
              </w:rPr>
              <w:t xml:space="preserve"> AEs </w:t>
            </w:r>
            <w:r w:rsidR="002000EC" w:rsidRPr="002A2F05">
              <w:rPr>
                <w:rFonts w:cs="Helvetica"/>
                <w:b/>
                <w:bCs/>
                <w:color w:val="FFFFFF" w:themeColor="background1"/>
                <w:sz w:val="17"/>
                <w:szCs w:val="17"/>
                <w:lang w:eastAsia="en-CA"/>
              </w:rPr>
              <w:t>BSC</w:t>
            </w:r>
          </w:p>
        </w:tc>
        <w:tc>
          <w:tcPr>
            <w:tcW w:w="70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82AAB1B" w14:textId="5D085AD7" w:rsidR="00AD1596" w:rsidRPr="002A2F05" w:rsidRDefault="00AD1596" w:rsidP="002A2F05">
            <w:pPr>
              <w:keepNext/>
              <w:keepLines/>
              <w:spacing w:before="40" w:after="40" w:line="240" w:lineRule="auto"/>
              <w:rPr>
                <w:rFonts w:cs="Helvetica"/>
                <w:b/>
                <w:bCs/>
                <w:color w:val="FFFFFF" w:themeColor="background1"/>
                <w:sz w:val="17"/>
                <w:szCs w:val="17"/>
              </w:rPr>
            </w:pPr>
            <w:r w:rsidRPr="002A2F05">
              <w:rPr>
                <w:rFonts w:cs="Helvetica"/>
                <w:b/>
                <w:bCs/>
                <w:color w:val="FFFFFF" w:themeColor="background1"/>
                <w:sz w:val="17"/>
                <w:szCs w:val="17"/>
                <w:lang w:eastAsia="en-CA"/>
              </w:rPr>
              <w:t xml:space="preserve">Unit </w:t>
            </w:r>
            <w:r w:rsidR="008C255B" w:rsidRPr="002A2F05">
              <w:rPr>
                <w:rFonts w:cs="Helvetica"/>
                <w:b/>
                <w:bCs/>
                <w:color w:val="FFFFFF" w:themeColor="background1"/>
                <w:sz w:val="17"/>
                <w:szCs w:val="17"/>
                <w:lang w:eastAsia="en-CA"/>
              </w:rPr>
              <w:t>cost</w:t>
            </w:r>
            <w:r w:rsidR="005865B7" w:rsidRPr="002A2F05">
              <w:rPr>
                <w:rFonts w:cs="Helvetica"/>
                <w:b/>
                <w:bCs/>
                <w:color w:val="FFFFFF" w:themeColor="background1"/>
                <w:sz w:val="17"/>
                <w:szCs w:val="17"/>
                <w:lang w:eastAsia="en-CA"/>
              </w:rPr>
              <w:t>:</w:t>
            </w:r>
            <w:r w:rsidRPr="002A2F05">
              <w:rPr>
                <w:rFonts w:cs="Helvetica"/>
                <w:b/>
                <w:bCs/>
                <w:color w:val="FFFFFF" w:themeColor="background1"/>
                <w:sz w:val="17"/>
                <w:szCs w:val="17"/>
                <w:lang w:eastAsia="en-CA"/>
              </w:rPr>
              <w:t xml:space="preserve"> outpatient*</w:t>
            </w:r>
          </w:p>
        </w:tc>
        <w:tc>
          <w:tcPr>
            <w:tcW w:w="663"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C651834" w14:textId="77777777" w:rsidR="005865B7" w:rsidRPr="002A2F05" w:rsidRDefault="00AD1596">
            <w:pPr>
              <w:keepNext/>
              <w:keepLines/>
              <w:spacing w:before="40" w:after="40" w:line="240" w:lineRule="auto"/>
              <w:rPr>
                <w:rFonts w:cs="Helvetica"/>
                <w:b/>
                <w:bCs/>
                <w:color w:val="FFFFFF" w:themeColor="background1"/>
                <w:sz w:val="17"/>
                <w:szCs w:val="17"/>
                <w:lang w:eastAsia="en-CA"/>
              </w:rPr>
            </w:pPr>
            <w:r w:rsidRPr="002A2F05">
              <w:rPr>
                <w:rFonts w:cs="Helvetica"/>
                <w:b/>
                <w:bCs/>
                <w:color w:val="FFFFFF" w:themeColor="background1"/>
                <w:sz w:val="17"/>
                <w:szCs w:val="17"/>
                <w:lang w:eastAsia="en-CA"/>
              </w:rPr>
              <w:t>Unit</w:t>
            </w:r>
            <w:r w:rsidR="005865B7" w:rsidRPr="002A2F05">
              <w:rPr>
                <w:rFonts w:cs="Helvetica"/>
                <w:b/>
                <w:bCs/>
                <w:color w:val="FFFFFF" w:themeColor="background1"/>
                <w:sz w:val="17"/>
                <w:szCs w:val="17"/>
                <w:lang w:eastAsia="en-CA"/>
              </w:rPr>
              <w:t xml:space="preserve"> cost:</w:t>
            </w:r>
          </w:p>
          <w:p w14:paraId="17F32399" w14:textId="53C26023" w:rsidR="00AD1596" w:rsidRPr="002A2F05" w:rsidRDefault="00AD1596" w:rsidP="002A2F05">
            <w:pPr>
              <w:keepNext/>
              <w:keepLines/>
              <w:spacing w:before="40" w:after="40" w:line="240" w:lineRule="auto"/>
              <w:rPr>
                <w:rFonts w:cs="Helvetica"/>
                <w:b/>
                <w:bCs/>
                <w:color w:val="FFFFFF" w:themeColor="background1"/>
                <w:sz w:val="17"/>
                <w:szCs w:val="17"/>
              </w:rPr>
            </w:pPr>
            <w:r w:rsidRPr="002A2F05">
              <w:rPr>
                <w:rFonts w:cs="Helvetica"/>
                <w:b/>
                <w:bCs/>
                <w:color w:val="FFFFFF" w:themeColor="background1"/>
                <w:sz w:val="17"/>
                <w:szCs w:val="17"/>
                <w:lang w:eastAsia="en-CA"/>
              </w:rPr>
              <w:t>inpatient**</w:t>
            </w:r>
          </w:p>
        </w:tc>
        <w:tc>
          <w:tcPr>
            <w:tcW w:w="72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5A95090" w14:textId="62EF02BE" w:rsidR="00AD1596" w:rsidRPr="002A2F05" w:rsidRDefault="00EB6C06" w:rsidP="002A2F05">
            <w:pPr>
              <w:keepNext/>
              <w:keepLines/>
              <w:spacing w:before="40" w:after="40" w:line="240" w:lineRule="auto"/>
              <w:rPr>
                <w:rFonts w:cs="Helvetica"/>
                <w:b/>
                <w:bCs/>
                <w:color w:val="FFFFFF" w:themeColor="background1"/>
                <w:sz w:val="17"/>
                <w:szCs w:val="17"/>
              </w:rPr>
            </w:pPr>
            <w:r w:rsidRPr="002A2F05">
              <w:rPr>
                <w:rFonts w:cs="Helvetica"/>
                <w:b/>
                <w:bCs/>
                <w:color w:val="FFFFFF" w:themeColor="background1"/>
                <w:sz w:val="17"/>
                <w:szCs w:val="17"/>
                <w:lang w:eastAsia="en-CA"/>
              </w:rPr>
              <w:t>Nefecon</w:t>
            </w:r>
            <w:r w:rsidR="00A50B73" w:rsidRPr="002A2F05">
              <w:rPr>
                <w:rFonts w:cs="Helvetica"/>
                <w:b/>
                <w:bCs/>
                <w:color w:val="FFFFFF" w:themeColor="background1"/>
                <w:sz w:val="17"/>
                <w:szCs w:val="17"/>
                <w:lang w:eastAsia="en-CA"/>
              </w:rPr>
              <w:t xml:space="preserve"> </w:t>
            </w:r>
            <w:r w:rsidR="00AD1596" w:rsidRPr="002A2F05">
              <w:rPr>
                <w:rFonts w:cs="Helvetica"/>
                <w:b/>
                <w:bCs/>
                <w:color w:val="FFFFFF" w:themeColor="background1"/>
                <w:sz w:val="17"/>
                <w:szCs w:val="17"/>
                <w:lang w:eastAsia="en-CA"/>
              </w:rPr>
              <w:t>AE prevalence per cycle</w:t>
            </w:r>
          </w:p>
        </w:tc>
        <w:tc>
          <w:tcPr>
            <w:tcW w:w="678"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B84960E" w14:textId="06491FAC" w:rsidR="00AD1596" w:rsidRPr="002A2F05" w:rsidRDefault="002000EC" w:rsidP="002A2F05">
            <w:pPr>
              <w:keepNext/>
              <w:keepLines/>
              <w:spacing w:before="40" w:after="40" w:line="240" w:lineRule="auto"/>
              <w:rPr>
                <w:rFonts w:cs="Helvetica"/>
                <w:b/>
                <w:bCs/>
                <w:color w:val="FFFFFF" w:themeColor="background1"/>
                <w:sz w:val="17"/>
                <w:szCs w:val="17"/>
              </w:rPr>
            </w:pPr>
            <w:r w:rsidRPr="002A2F05">
              <w:rPr>
                <w:rFonts w:cs="Helvetica"/>
                <w:b/>
                <w:bCs/>
                <w:color w:val="FFFFFF" w:themeColor="background1"/>
                <w:sz w:val="17"/>
                <w:szCs w:val="17"/>
                <w:lang w:eastAsia="en-CA"/>
              </w:rPr>
              <w:t>BSC</w:t>
            </w:r>
            <w:r w:rsidR="00AD1596" w:rsidRPr="002A2F05">
              <w:rPr>
                <w:rFonts w:cs="Helvetica"/>
                <w:b/>
                <w:bCs/>
                <w:color w:val="FFFFFF" w:themeColor="background1"/>
                <w:sz w:val="17"/>
                <w:szCs w:val="17"/>
                <w:lang w:eastAsia="en-CA"/>
              </w:rPr>
              <w:t xml:space="preserve"> AE prevalence per cycle</w:t>
            </w:r>
          </w:p>
        </w:tc>
      </w:tr>
      <w:tr w:rsidR="00AD1596" w:rsidRPr="002A2F05" w14:paraId="7F87E15F" w14:textId="77777777" w:rsidTr="002A2F05">
        <w:trPr>
          <w:trHeight w:val="20"/>
          <w:tblHeader/>
        </w:trPr>
        <w:tc>
          <w:tcPr>
            <w:tcW w:w="758" w:type="pct"/>
            <w:tcBorders>
              <w:top w:val="single" w:sz="4" w:space="0" w:color="auto"/>
            </w:tcBorders>
            <w:vAlign w:val="center"/>
          </w:tcPr>
          <w:p w14:paraId="1DD5579E"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Acne</w:t>
            </w:r>
          </w:p>
        </w:tc>
        <w:tc>
          <w:tcPr>
            <w:tcW w:w="764" w:type="pct"/>
            <w:tcBorders>
              <w:top w:val="single" w:sz="4" w:space="0" w:color="auto"/>
            </w:tcBorders>
            <w:vAlign w:val="center"/>
          </w:tcPr>
          <w:p w14:paraId="1C8F1B0C"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4%</w:t>
            </w:r>
          </w:p>
        </w:tc>
        <w:tc>
          <w:tcPr>
            <w:tcW w:w="704" w:type="pct"/>
            <w:tcBorders>
              <w:top w:val="single" w:sz="4" w:space="0" w:color="auto"/>
            </w:tcBorders>
            <w:vAlign w:val="center"/>
          </w:tcPr>
          <w:p w14:paraId="390D5C3F"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2%</w:t>
            </w:r>
          </w:p>
        </w:tc>
        <w:tc>
          <w:tcPr>
            <w:tcW w:w="705" w:type="pct"/>
            <w:tcBorders>
              <w:top w:val="single" w:sz="4" w:space="0" w:color="auto"/>
            </w:tcBorders>
            <w:vAlign w:val="center"/>
          </w:tcPr>
          <w:p w14:paraId="5098C244"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$68.04</w:t>
            </w:r>
          </w:p>
        </w:tc>
        <w:tc>
          <w:tcPr>
            <w:tcW w:w="663" w:type="pct"/>
            <w:tcBorders>
              <w:top w:val="single" w:sz="4" w:space="0" w:color="auto"/>
            </w:tcBorders>
            <w:vAlign w:val="center"/>
          </w:tcPr>
          <w:p w14:paraId="0F617B54"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sz w:val="17"/>
                <w:szCs w:val="17"/>
              </w:rPr>
              <w:t>$0</w:t>
            </w:r>
          </w:p>
        </w:tc>
        <w:tc>
          <w:tcPr>
            <w:tcW w:w="727" w:type="pct"/>
            <w:tcBorders>
              <w:top w:val="single" w:sz="4" w:space="0" w:color="auto"/>
            </w:tcBorders>
            <w:vAlign w:val="center"/>
          </w:tcPr>
          <w:p w14:paraId="29C50A14"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0.6%</w:t>
            </w:r>
          </w:p>
        </w:tc>
        <w:tc>
          <w:tcPr>
            <w:tcW w:w="678" w:type="pct"/>
            <w:tcBorders>
              <w:top w:val="single" w:sz="4" w:space="0" w:color="auto"/>
            </w:tcBorders>
            <w:vAlign w:val="center"/>
          </w:tcPr>
          <w:p w14:paraId="07205C76"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0.1%</w:t>
            </w:r>
          </w:p>
        </w:tc>
      </w:tr>
      <w:tr w:rsidR="00AD1596" w:rsidRPr="002A2F05" w14:paraId="4951CA6B" w14:textId="77777777" w:rsidTr="002A2F05">
        <w:trPr>
          <w:trHeight w:val="20"/>
          <w:tblHeader/>
        </w:trPr>
        <w:tc>
          <w:tcPr>
            <w:tcW w:w="758" w:type="pct"/>
            <w:vAlign w:val="center"/>
          </w:tcPr>
          <w:p w14:paraId="1ADDF6CB"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Weight increase</w:t>
            </w:r>
          </w:p>
        </w:tc>
        <w:tc>
          <w:tcPr>
            <w:tcW w:w="764" w:type="pct"/>
            <w:vAlign w:val="center"/>
          </w:tcPr>
          <w:p w14:paraId="50519832"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4%</w:t>
            </w:r>
          </w:p>
        </w:tc>
        <w:tc>
          <w:tcPr>
            <w:tcW w:w="704" w:type="pct"/>
            <w:vAlign w:val="center"/>
          </w:tcPr>
          <w:p w14:paraId="654896D2"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2%</w:t>
            </w:r>
          </w:p>
        </w:tc>
        <w:tc>
          <w:tcPr>
            <w:tcW w:w="705" w:type="pct"/>
            <w:vAlign w:val="center"/>
          </w:tcPr>
          <w:p w14:paraId="2CCEDC45"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$68.04</w:t>
            </w:r>
          </w:p>
        </w:tc>
        <w:tc>
          <w:tcPr>
            <w:tcW w:w="663" w:type="pct"/>
            <w:vAlign w:val="center"/>
          </w:tcPr>
          <w:p w14:paraId="16E4FEB6"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sz w:val="17"/>
                <w:szCs w:val="17"/>
              </w:rPr>
              <w:t>$0</w:t>
            </w:r>
          </w:p>
        </w:tc>
        <w:tc>
          <w:tcPr>
            <w:tcW w:w="727" w:type="pct"/>
            <w:vAlign w:val="center"/>
          </w:tcPr>
          <w:p w14:paraId="6A0C5612"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0.3%</w:t>
            </w:r>
          </w:p>
        </w:tc>
        <w:tc>
          <w:tcPr>
            <w:tcW w:w="678" w:type="pct"/>
            <w:vAlign w:val="center"/>
          </w:tcPr>
          <w:p w14:paraId="764ED517"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0.2%</w:t>
            </w:r>
          </w:p>
        </w:tc>
      </w:tr>
      <w:tr w:rsidR="00AD1596" w:rsidRPr="002A2F05" w14:paraId="2182A2F3" w14:textId="77777777" w:rsidTr="002A2F05">
        <w:trPr>
          <w:trHeight w:val="20"/>
          <w:tblHeader/>
        </w:trPr>
        <w:tc>
          <w:tcPr>
            <w:tcW w:w="758" w:type="pct"/>
            <w:vAlign w:val="center"/>
          </w:tcPr>
          <w:p w14:paraId="61CF3679"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Hypertension</w:t>
            </w:r>
          </w:p>
        </w:tc>
        <w:tc>
          <w:tcPr>
            <w:tcW w:w="764" w:type="pct"/>
            <w:vAlign w:val="center"/>
          </w:tcPr>
          <w:p w14:paraId="6569A45C"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4%</w:t>
            </w:r>
          </w:p>
        </w:tc>
        <w:tc>
          <w:tcPr>
            <w:tcW w:w="704" w:type="pct"/>
            <w:vAlign w:val="center"/>
          </w:tcPr>
          <w:p w14:paraId="20D3468C"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2%</w:t>
            </w:r>
          </w:p>
        </w:tc>
        <w:tc>
          <w:tcPr>
            <w:tcW w:w="705" w:type="pct"/>
            <w:vAlign w:val="center"/>
          </w:tcPr>
          <w:p w14:paraId="64463CA1"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$68.04</w:t>
            </w:r>
          </w:p>
        </w:tc>
        <w:tc>
          <w:tcPr>
            <w:tcW w:w="663" w:type="pct"/>
            <w:vAlign w:val="center"/>
          </w:tcPr>
          <w:p w14:paraId="7590C92C"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sz w:val="17"/>
                <w:szCs w:val="17"/>
              </w:rPr>
              <w:t>$28,905</w:t>
            </w:r>
          </w:p>
        </w:tc>
        <w:tc>
          <w:tcPr>
            <w:tcW w:w="727" w:type="pct"/>
            <w:vAlign w:val="center"/>
          </w:tcPr>
          <w:p w14:paraId="4E829146" w14:textId="3E309B04"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0.2%</w:t>
            </w:r>
          </w:p>
        </w:tc>
        <w:tc>
          <w:tcPr>
            <w:tcW w:w="678" w:type="pct"/>
            <w:vAlign w:val="center"/>
          </w:tcPr>
          <w:p w14:paraId="020C00AD"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0.0%</w:t>
            </w:r>
          </w:p>
        </w:tc>
      </w:tr>
      <w:tr w:rsidR="00AD1596" w:rsidRPr="002A2F05" w14:paraId="70E87AF7" w14:textId="77777777" w:rsidTr="002A2F05">
        <w:trPr>
          <w:trHeight w:val="20"/>
          <w:tblHeader/>
        </w:trPr>
        <w:tc>
          <w:tcPr>
            <w:tcW w:w="758" w:type="pct"/>
            <w:vAlign w:val="center"/>
          </w:tcPr>
          <w:p w14:paraId="2BB1FD4D"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Headache</w:t>
            </w:r>
          </w:p>
        </w:tc>
        <w:tc>
          <w:tcPr>
            <w:tcW w:w="764" w:type="pct"/>
            <w:vAlign w:val="center"/>
          </w:tcPr>
          <w:p w14:paraId="664F4637"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4%</w:t>
            </w:r>
          </w:p>
        </w:tc>
        <w:tc>
          <w:tcPr>
            <w:tcW w:w="704" w:type="pct"/>
            <w:vAlign w:val="center"/>
          </w:tcPr>
          <w:p w14:paraId="0A45A49E"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2%</w:t>
            </w:r>
          </w:p>
        </w:tc>
        <w:tc>
          <w:tcPr>
            <w:tcW w:w="705" w:type="pct"/>
            <w:vAlign w:val="center"/>
          </w:tcPr>
          <w:p w14:paraId="2CC905CF"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$68.04</w:t>
            </w:r>
          </w:p>
        </w:tc>
        <w:tc>
          <w:tcPr>
            <w:tcW w:w="663" w:type="pct"/>
            <w:vAlign w:val="center"/>
          </w:tcPr>
          <w:p w14:paraId="36F0A9D2"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sz w:val="17"/>
                <w:szCs w:val="17"/>
              </w:rPr>
              <w:t>$32,279</w:t>
            </w:r>
          </w:p>
        </w:tc>
        <w:tc>
          <w:tcPr>
            <w:tcW w:w="727" w:type="pct"/>
            <w:vAlign w:val="center"/>
          </w:tcPr>
          <w:p w14:paraId="49AFAC0A"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0.2%</w:t>
            </w:r>
          </w:p>
        </w:tc>
        <w:tc>
          <w:tcPr>
            <w:tcW w:w="678" w:type="pct"/>
            <w:vAlign w:val="center"/>
          </w:tcPr>
          <w:p w14:paraId="7367D1CC"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0.1%</w:t>
            </w:r>
          </w:p>
        </w:tc>
      </w:tr>
      <w:tr w:rsidR="00AD1596" w:rsidRPr="002A2F05" w14:paraId="4F96B28A" w14:textId="77777777" w:rsidTr="002A2F05">
        <w:trPr>
          <w:trHeight w:val="20"/>
          <w:tblHeader/>
        </w:trPr>
        <w:tc>
          <w:tcPr>
            <w:tcW w:w="758" w:type="pct"/>
            <w:vAlign w:val="center"/>
          </w:tcPr>
          <w:p w14:paraId="21C23950"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Edema peripheral</w:t>
            </w:r>
          </w:p>
        </w:tc>
        <w:tc>
          <w:tcPr>
            <w:tcW w:w="764" w:type="pct"/>
            <w:vAlign w:val="center"/>
          </w:tcPr>
          <w:p w14:paraId="331D74F9"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4%</w:t>
            </w:r>
          </w:p>
        </w:tc>
        <w:tc>
          <w:tcPr>
            <w:tcW w:w="704" w:type="pct"/>
            <w:vAlign w:val="center"/>
          </w:tcPr>
          <w:p w14:paraId="0C1D562B"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2%</w:t>
            </w:r>
          </w:p>
        </w:tc>
        <w:tc>
          <w:tcPr>
            <w:tcW w:w="705" w:type="pct"/>
            <w:vAlign w:val="center"/>
          </w:tcPr>
          <w:p w14:paraId="5C7F5DB3"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$68.04</w:t>
            </w:r>
          </w:p>
        </w:tc>
        <w:tc>
          <w:tcPr>
            <w:tcW w:w="663" w:type="pct"/>
            <w:vAlign w:val="center"/>
          </w:tcPr>
          <w:p w14:paraId="1D3A9111"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sz w:val="17"/>
                <w:szCs w:val="17"/>
              </w:rPr>
              <w:t>$25,511</w:t>
            </w:r>
          </w:p>
        </w:tc>
        <w:tc>
          <w:tcPr>
            <w:tcW w:w="727" w:type="pct"/>
            <w:vAlign w:val="center"/>
          </w:tcPr>
          <w:p w14:paraId="6ADC085F"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0.3%</w:t>
            </w:r>
          </w:p>
        </w:tc>
        <w:tc>
          <w:tcPr>
            <w:tcW w:w="678" w:type="pct"/>
            <w:vAlign w:val="center"/>
          </w:tcPr>
          <w:p w14:paraId="163A247E"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0.1%</w:t>
            </w:r>
          </w:p>
        </w:tc>
      </w:tr>
      <w:tr w:rsidR="00AD1596" w:rsidRPr="002A2F05" w14:paraId="7ED8849A" w14:textId="77777777" w:rsidTr="002A2F05">
        <w:trPr>
          <w:trHeight w:val="20"/>
          <w:tblHeader/>
        </w:trPr>
        <w:tc>
          <w:tcPr>
            <w:tcW w:w="758" w:type="pct"/>
            <w:vAlign w:val="center"/>
          </w:tcPr>
          <w:p w14:paraId="634C3DE2"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Dyspepsia</w:t>
            </w:r>
          </w:p>
        </w:tc>
        <w:tc>
          <w:tcPr>
            <w:tcW w:w="764" w:type="pct"/>
            <w:vAlign w:val="center"/>
          </w:tcPr>
          <w:p w14:paraId="7EEEFA90"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4%</w:t>
            </w:r>
          </w:p>
        </w:tc>
        <w:tc>
          <w:tcPr>
            <w:tcW w:w="704" w:type="pct"/>
            <w:vAlign w:val="center"/>
          </w:tcPr>
          <w:p w14:paraId="310F62FF"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2%</w:t>
            </w:r>
          </w:p>
        </w:tc>
        <w:tc>
          <w:tcPr>
            <w:tcW w:w="705" w:type="pct"/>
            <w:vAlign w:val="center"/>
          </w:tcPr>
          <w:p w14:paraId="36558DB4"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$68.04</w:t>
            </w:r>
          </w:p>
        </w:tc>
        <w:tc>
          <w:tcPr>
            <w:tcW w:w="663" w:type="pct"/>
            <w:vAlign w:val="center"/>
          </w:tcPr>
          <w:p w14:paraId="0B2A0DA8"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sz w:val="17"/>
                <w:szCs w:val="17"/>
              </w:rPr>
              <w:t>$41,116</w:t>
            </w:r>
          </w:p>
        </w:tc>
        <w:tc>
          <w:tcPr>
            <w:tcW w:w="727" w:type="pct"/>
            <w:vAlign w:val="center"/>
          </w:tcPr>
          <w:p w14:paraId="675AA2A5"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0.2%</w:t>
            </w:r>
          </w:p>
        </w:tc>
        <w:tc>
          <w:tcPr>
            <w:tcW w:w="678" w:type="pct"/>
            <w:vAlign w:val="center"/>
          </w:tcPr>
          <w:p w14:paraId="1B1E9220"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0.0%</w:t>
            </w:r>
          </w:p>
        </w:tc>
      </w:tr>
      <w:tr w:rsidR="00AD1596" w:rsidRPr="002A2F05" w14:paraId="7BA0E26A" w14:textId="77777777" w:rsidTr="002A2F05">
        <w:trPr>
          <w:trHeight w:val="20"/>
          <w:tblHeader/>
        </w:trPr>
        <w:tc>
          <w:tcPr>
            <w:tcW w:w="758" w:type="pct"/>
            <w:vAlign w:val="center"/>
          </w:tcPr>
          <w:p w14:paraId="536403E0"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Mood swings</w:t>
            </w:r>
          </w:p>
        </w:tc>
        <w:tc>
          <w:tcPr>
            <w:tcW w:w="764" w:type="pct"/>
            <w:vAlign w:val="center"/>
          </w:tcPr>
          <w:p w14:paraId="3EF59300"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4%</w:t>
            </w:r>
          </w:p>
        </w:tc>
        <w:tc>
          <w:tcPr>
            <w:tcW w:w="704" w:type="pct"/>
            <w:vAlign w:val="center"/>
          </w:tcPr>
          <w:p w14:paraId="6E152CAE"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2%</w:t>
            </w:r>
          </w:p>
        </w:tc>
        <w:tc>
          <w:tcPr>
            <w:tcW w:w="705" w:type="pct"/>
            <w:vAlign w:val="center"/>
          </w:tcPr>
          <w:p w14:paraId="3D600C91"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$68.04</w:t>
            </w:r>
          </w:p>
        </w:tc>
        <w:tc>
          <w:tcPr>
            <w:tcW w:w="663" w:type="pct"/>
            <w:vAlign w:val="center"/>
          </w:tcPr>
          <w:p w14:paraId="28CEEC2C"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sz w:val="17"/>
                <w:szCs w:val="17"/>
              </w:rPr>
              <w:t>$22,084</w:t>
            </w:r>
          </w:p>
        </w:tc>
        <w:tc>
          <w:tcPr>
            <w:tcW w:w="727" w:type="pct"/>
            <w:vAlign w:val="center"/>
          </w:tcPr>
          <w:p w14:paraId="25471121"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0.2%</w:t>
            </w:r>
          </w:p>
        </w:tc>
        <w:tc>
          <w:tcPr>
            <w:tcW w:w="678" w:type="pct"/>
            <w:vAlign w:val="center"/>
          </w:tcPr>
          <w:p w14:paraId="3268DADB"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0.0%</w:t>
            </w:r>
          </w:p>
        </w:tc>
      </w:tr>
      <w:tr w:rsidR="00AD1596" w:rsidRPr="002A2F05" w14:paraId="16DEF62F" w14:textId="77777777" w:rsidTr="002A2F05">
        <w:trPr>
          <w:trHeight w:val="20"/>
          <w:tblHeader/>
        </w:trPr>
        <w:tc>
          <w:tcPr>
            <w:tcW w:w="758" w:type="pct"/>
            <w:vAlign w:val="center"/>
          </w:tcPr>
          <w:p w14:paraId="661AFB0F"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Face edema</w:t>
            </w:r>
          </w:p>
        </w:tc>
        <w:tc>
          <w:tcPr>
            <w:tcW w:w="764" w:type="pct"/>
            <w:vAlign w:val="center"/>
          </w:tcPr>
          <w:p w14:paraId="341E66B6"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4%</w:t>
            </w:r>
          </w:p>
        </w:tc>
        <w:tc>
          <w:tcPr>
            <w:tcW w:w="704" w:type="pct"/>
            <w:vAlign w:val="center"/>
          </w:tcPr>
          <w:p w14:paraId="0D571C0D"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2%</w:t>
            </w:r>
          </w:p>
        </w:tc>
        <w:tc>
          <w:tcPr>
            <w:tcW w:w="705" w:type="pct"/>
            <w:vAlign w:val="center"/>
          </w:tcPr>
          <w:p w14:paraId="61DBE095"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$68.04</w:t>
            </w:r>
          </w:p>
        </w:tc>
        <w:tc>
          <w:tcPr>
            <w:tcW w:w="663" w:type="pct"/>
            <w:vAlign w:val="center"/>
          </w:tcPr>
          <w:p w14:paraId="4B43A75E"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sz w:val="17"/>
                <w:szCs w:val="17"/>
              </w:rPr>
              <w:t>$33,018</w:t>
            </w:r>
          </w:p>
        </w:tc>
        <w:tc>
          <w:tcPr>
            <w:tcW w:w="727" w:type="pct"/>
            <w:vAlign w:val="center"/>
          </w:tcPr>
          <w:p w14:paraId="7D78A8EC"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0.3%</w:t>
            </w:r>
          </w:p>
        </w:tc>
        <w:tc>
          <w:tcPr>
            <w:tcW w:w="678" w:type="pct"/>
            <w:vAlign w:val="center"/>
          </w:tcPr>
          <w:p w14:paraId="18F55588"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0.0%</w:t>
            </w:r>
          </w:p>
        </w:tc>
      </w:tr>
      <w:tr w:rsidR="00AD1596" w:rsidRPr="002A2F05" w14:paraId="00D28021" w14:textId="77777777" w:rsidTr="002A2F05">
        <w:trPr>
          <w:trHeight w:val="20"/>
          <w:tblHeader/>
        </w:trPr>
        <w:tc>
          <w:tcPr>
            <w:tcW w:w="758" w:type="pct"/>
            <w:vAlign w:val="center"/>
          </w:tcPr>
          <w:p w14:paraId="02973043"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Cushingoid</w:t>
            </w:r>
          </w:p>
        </w:tc>
        <w:tc>
          <w:tcPr>
            <w:tcW w:w="764" w:type="pct"/>
            <w:vAlign w:val="center"/>
          </w:tcPr>
          <w:p w14:paraId="7D231CE1"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4%</w:t>
            </w:r>
          </w:p>
        </w:tc>
        <w:tc>
          <w:tcPr>
            <w:tcW w:w="704" w:type="pct"/>
            <w:vAlign w:val="center"/>
          </w:tcPr>
          <w:p w14:paraId="4717D9D4"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2%</w:t>
            </w:r>
          </w:p>
        </w:tc>
        <w:tc>
          <w:tcPr>
            <w:tcW w:w="705" w:type="pct"/>
            <w:vAlign w:val="center"/>
          </w:tcPr>
          <w:p w14:paraId="790C6EC2"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$68.04</w:t>
            </w:r>
          </w:p>
        </w:tc>
        <w:tc>
          <w:tcPr>
            <w:tcW w:w="663" w:type="pct"/>
            <w:vAlign w:val="center"/>
          </w:tcPr>
          <w:p w14:paraId="6D01F306"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sz w:val="17"/>
                <w:szCs w:val="17"/>
              </w:rPr>
              <w:t>$80,315</w:t>
            </w:r>
          </w:p>
        </w:tc>
        <w:tc>
          <w:tcPr>
            <w:tcW w:w="727" w:type="pct"/>
            <w:vAlign w:val="center"/>
          </w:tcPr>
          <w:p w14:paraId="7ED51268"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0.2%</w:t>
            </w:r>
          </w:p>
        </w:tc>
        <w:tc>
          <w:tcPr>
            <w:tcW w:w="678" w:type="pct"/>
            <w:vAlign w:val="center"/>
          </w:tcPr>
          <w:p w14:paraId="4F3008E8"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0.0%</w:t>
            </w:r>
          </w:p>
        </w:tc>
      </w:tr>
      <w:tr w:rsidR="00AD1596" w:rsidRPr="002A2F05" w14:paraId="0351BC7D" w14:textId="77777777" w:rsidTr="002A2F05">
        <w:trPr>
          <w:trHeight w:val="20"/>
          <w:tblHeader/>
        </w:trPr>
        <w:tc>
          <w:tcPr>
            <w:tcW w:w="758" w:type="pct"/>
            <w:vAlign w:val="center"/>
          </w:tcPr>
          <w:p w14:paraId="268A2F48"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Hirsutism</w:t>
            </w:r>
          </w:p>
        </w:tc>
        <w:tc>
          <w:tcPr>
            <w:tcW w:w="764" w:type="pct"/>
            <w:vAlign w:val="center"/>
          </w:tcPr>
          <w:p w14:paraId="1E44A6F7"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4%</w:t>
            </w:r>
          </w:p>
        </w:tc>
        <w:tc>
          <w:tcPr>
            <w:tcW w:w="704" w:type="pct"/>
            <w:vAlign w:val="center"/>
          </w:tcPr>
          <w:p w14:paraId="4AC60D7C"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2%</w:t>
            </w:r>
          </w:p>
        </w:tc>
        <w:tc>
          <w:tcPr>
            <w:tcW w:w="705" w:type="pct"/>
            <w:vAlign w:val="center"/>
          </w:tcPr>
          <w:p w14:paraId="2B0035A3"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$68.04</w:t>
            </w:r>
          </w:p>
        </w:tc>
        <w:tc>
          <w:tcPr>
            <w:tcW w:w="663" w:type="pct"/>
            <w:vAlign w:val="center"/>
          </w:tcPr>
          <w:p w14:paraId="42167971"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sz w:val="17"/>
                <w:szCs w:val="17"/>
              </w:rPr>
              <w:t>$59,767</w:t>
            </w:r>
          </w:p>
        </w:tc>
        <w:tc>
          <w:tcPr>
            <w:tcW w:w="727" w:type="pct"/>
            <w:vAlign w:val="center"/>
          </w:tcPr>
          <w:p w14:paraId="733DCBF9"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0.2%</w:t>
            </w:r>
          </w:p>
        </w:tc>
        <w:tc>
          <w:tcPr>
            <w:tcW w:w="678" w:type="pct"/>
            <w:vAlign w:val="center"/>
          </w:tcPr>
          <w:p w14:paraId="24C70D30"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0.0%</w:t>
            </w:r>
          </w:p>
        </w:tc>
      </w:tr>
      <w:tr w:rsidR="00AD1596" w:rsidRPr="002A2F05" w14:paraId="44A6FE74" w14:textId="77777777" w:rsidTr="002A2F05">
        <w:trPr>
          <w:trHeight w:val="20"/>
          <w:tblHeader/>
        </w:trPr>
        <w:tc>
          <w:tcPr>
            <w:tcW w:w="758" w:type="pct"/>
            <w:vAlign w:val="center"/>
          </w:tcPr>
          <w:p w14:paraId="71B8B6E9"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Upper respiratory tract infection</w:t>
            </w:r>
          </w:p>
        </w:tc>
        <w:tc>
          <w:tcPr>
            <w:tcW w:w="764" w:type="pct"/>
            <w:vAlign w:val="center"/>
          </w:tcPr>
          <w:p w14:paraId="564E0EFE"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4%</w:t>
            </w:r>
          </w:p>
        </w:tc>
        <w:tc>
          <w:tcPr>
            <w:tcW w:w="704" w:type="pct"/>
            <w:vAlign w:val="center"/>
          </w:tcPr>
          <w:p w14:paraId="0BA20AE8"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2%</w:t>
            </w:r>
          </w:p>
        </w:tc>
        <w:tc>
          <w:tcPr>
            <w:tcW w:w="705" w:type="pct"/>
            <w:vAlign w:val="center"/>
          </w:tcPr>
          <w:p w14:paraId="62891795"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$68.04</w:t>
            </w:r>
          </w:p>
        </w:tc>
        <w:tc>
          <w:tcPr>
            <w:tcW w:w="663" w:type="pct"/>
            <w:vAlign w:val="center"/>
          </w:tcPr>
          <w:p w14:paraId="405A9CE6"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sz w:val="17"/>
                <w:szCs w:val="17"/>
              </w:rPr>
              <w:t>$24,100</w:t>
            </w:r>
          </w:p>
        </w:tc>
        <w:tc>
          <w:tcPr>
            <w:tcW w:w="727" w:type="pct"/>
            <w:vAlign w:val="center"/>
          </w:tcPr>
          <w:p w14:paraId="6F42015D"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0.0%</w:t>
            </w:r>
          </w:p>
        </w:tc>
        <w:tc>
          <w:tcPr>
            <w:tcW w:w="678" w:type="pct"/>
            <w:vAlign w:val="center"/>
          </w:tcPr>
          <w:p w14:paraId="523B3682" w14:textId="77777777" w:rsidR="00AD1596" w:rsidRPr="002A2F05" w:rsidRDefault="00AD1596" w:rsidP="002A2F05">
            <w:pPr>
              <w:keepNext/>
              <w:keepLines/>
              <w:spacing w:before="40" w:after="40" w:line="240" w:lineRule="auto"/>
              <w:rPr>
                <w:rFonts w:cs="Helvetica"/>
                <w:bCs/>
                <w:color w:val="000000" w:themeColor="text1"/>
                <w:sz w:val="17"/>
                <w:szCs w:val="17"/>
                <w:lang w:eastAsia="en-CA"/>
              </w:rPr>
            </w:pPr>
            <w:r w:rsidRPr="002A2F05">
              <w:rPr>
                <w:rFonts w:cs="Helvetica"/>
                <w:bCs/>
                <w:color w:val="000000" w:themeColor="text1"/>
                <w:sz w:val="17"/>
                <w:szCs w:val="17"/>
                <w:lang w:eastAsia="en-CA"/>
              </w:rPr>
              <w:t>0.2%</w:t>
            </w:r>
          </w:p>
        </w:tc>
      </w:tr>
    </w:tbl>
    <w:p w14:paraId="7B38D09A" w14:textId="113AE232" w:rsidR="00553549" w:rsidRPr="002A2F05" w:rsidRDefault="00553549" w:rsidP="002A2F05">
      <w:pPr>
        <w:pStyle w:val="tablelegend"/>
        <w:keepNext/>
        <w:keepLines/>
      </w:pPr>
      <w:r w:rsidRPr="002A2F05">
        <w:rPr>
          <w:b/>
        </w:rPr>
        <w:t>Abbreviations:</w:t>
      </w:r>
      <w:r w:rsidRPr="002A2F05">
        <w:t xml:space="preserve"> </w:t>
      </w:r>
      <w:r w:rsidR="007A654A" w:rsidRPr="002A2F05">
        <w:t xml:space="preserve">AE, adverse event; </w:t>
      </w:r>
      <w:r w:rsidR="002000EC" w:rsidRPr="002A2F05">
        <w:t>BSC</w:t>
      </w:r>
      <w:r w:rsidR="007A654A" w:rsidRPr="002A2F05">
        <w:t xml:space="preserve">, </w:t>
      </w:r>
      <w:r w:rsidR="000303B8">
        <w:t>best supportive</w:t>
      </w:r>
      <w:r w:rsidR="007A654A" w:rsidRPr="002A2F05">
        <w:t xml:space="preserve"> care;</w:t>
      </w:r>
      <w:r w:rsidR="00BF7477">
        <w:t xml:space="preserve"> </w:t>
      </w:r>
      <w:r w:rsidR="00BF7477" w:rsidRPr="002A2F05">
        <w:t xml:space="preserve">CPT, current procedural terminology; </w:t>
      </w:r>
      <w:r w:rsidR="00BF7477">
        <w:t>CSR, clinical study report;</w:t>
      </w:r>
      <w:r w:rsidR="00FE5DD2">
        <w:t xml:space="preserve"> </w:t>
      </w:r>
      <w:r w:rsidR="00FE5DD2" w:rsidRPr="002A2F05">
        <w:t>HCUP, Healthcare Cost and Utilization Project</w:t>
      </w:r>
      <w:r w:rsidR="00FE5DD2">
        <w:t>;</w:t>
      </w:r>
      <w:r w:rsidR="007A654A" w:rsidRPr="002A2F05">
        <w:t xml:space="preserve"> TEAE, treatment-emergent adverse event</w:t>
      </w:r>
      <w:r w:rsidRPr="002A2F05">
        <w:t xml:space="preserve">. </w:t>
      </w:r>
    </w:p>
    <w:p w14:paraId="18F5A38E" w14:textId="42677D26" w:rsidR="00BC410C" w:rsidRPr="002A2F05" w:rsidRDefault="003617B3" w:rsidP="002A2F05">
      <w:pPr>
        <w:pStyle w:val="tablelegend"/>
        <w:keepNext/>
        <w:keepLines/>
      </w:pPr>
      <w:r w:rsidRPr="003617B3">
        <w:rPr>
          <w:bCs/>
        </w:rPr>
        <w:t>Data from</w:t>
      </w:r>
      <w:r w:rsidR="00260A58" w:rsidRPr="002A2F05">
        <w:rPr>
          <w:b/>
        </w:rPr>
        <w:t xml:space="preserve"> </w:t>
      </w:r>
      <w:r w:rsidR="00260A58" w:rsidRPr="002A2F05">
        <w:rPr>
          <w:bCs/>
        </w:rPr>
        <w:t>*proportion of severe TEAEs out of all TEAEs in each arm of NefIgArd (CS</w:t>
      </w:r>
      <w:r w:rsidR="00846C28" w:rsidRPr="002A2F05">
        <w:rPr>
          <w:bCs/>
        </w:rPr>
        <w:t>R</w:t>
      </w:r>
      <w:r w:rsidR="00260A58" w:rsidRPr="002A2F05">
        <w:rPr>
          <w:bCs/>
        </w:rPr>
        <w:t>)</w:t>
      </w:r>
      <w:r w:rsidR="000144E9" w:rsidRPr="002A2F05">
        <w:rPr>
          <w:vertAlign w:val="superscript"/>
          <w:lang w:eastAsia="ja-JP"/>
        </w:rPr>
        <w:fldChar w:fldCharType="begin"/>
      </w:r>
      <w:r w:rsidR="00BC31E6">
        <w:rPr>
          <w:vertAlign w:val="superscript"/>
          <w:lang w:eastAsia="ja-JP"/>
        </w:rPr>
        <w:instrText xml:space="preserve"> ADDIN ZOTERO_ITEM CSL_CITATION {"citationID":"dBJXGRv4","properties":{"formattedCitation":"\\super 29\\nosupersub{}","plainCitation":"29","noteIndex":0},"citationItems":[{"id":3938,"uris":["http://zotero.org/groups/2828856/items/PF7RRX9D"],"itemData":{"id":3938,"type":"report","title":"Data on File: Clinical Study Report - A Randomized, Double-Blind, Placebo-Controlled Study to Evaluate Efficacy and Safety of Nefecon in Patients with Primary IgA Nephropathy at Risk of Progressing to End-Stage Renal Disease (NefIgArd) (Data cutoff date of 05 October 2020 for Part A analysis) - Version 1.0","author":[{"family":"Calliditas Therapeutics AB","given":""}],"issued":{"date-parts":[["2021",1,27]]}}}],"schema":"https://github.com/citation-style-language/schema/raw/master/csl-citation.json"} </w:instrText>
      </w:r>
      <w:r w:rsidR="000144E9" w:rsidRPr="002A2F05">
        <w:rPr>
          <w:vertAlign w:val="superscript"/>
          <w:lang w:eastAsia="ja-JP"/>
        </w:rPr>
        <w:fldChar w:fldCharType="separate"/>
      </w:r>
      <w:r w:rsidR="00BC31E6" w:rsidRPr="00BC31E6">
        <w:rPr>
          <w:rFonts w:cs="Helvetica"/>
          <w:szCs w:val="24"/>
          <w:vertAlign w:val="superscript"/>
        </w:rPr>
        <w:t>29</w:t>
      </w:r>
      <w:r w:rsidR="000144E9" w:rsidRPr="002A2F05">
        <w:rPr>
          <w:vertAlign w:val="superscript"/>
          <w:lang w:eastAsia="ja-JP"/>
        </w:rPr>
        <w:fldChar w:fldCharType="end"/>
      </w:r>
      <w:r w:rsidR="00260A58" w:rsidRPr="002A2F05">
        <w:rPr>
          <w:bCs/>
        </w:rPr>
        <w:t>; **(CPT Unit cost -99213)</w:t>
      </w:r>
    </w:p>
    <w:p w14:paraId="311D79C6" w14:textId="77777777" w:rsidR="00F61225" w:rsidRPr="002A2F05" w:rsidRDefault="00F61225" w:rsidP="002A2F05">
      <w:pPr>
        <w:pStyle w:val="tablelegend"/>
        <w:keepNext/>
        <w:keepLines/>
      </w:pPr>
    </w:p>
    <w:p w14:paraId="65C44C05" w14:textId="4A4CF505" w:rsidR="00F61225" w:rsidRPr="002A2F05" w:rsidRDefault="00F61225" w:rsidP="002A2F05">
      <w:pPr>
        <w:keepNext/>
        <w:widowControl w:val="0"/>
        <w:rPr>
          <w:rFonts w:cs="Arial"/>
        </w:rPr>
      </w:pPr>
      <w:r w:rsidRPr="002A2F05">
        <w:rPr>
          <w:rFonts w:cs="Arial"/>
          <w:b/>
          <w:bCs/>
        </w:rPr>
        <w:t xml:space="preserve">Supplementary Table </w:t>
      </w:r>
      <w:r w:rsidR="00B3197B">
        <w:rPr>
          <w:rFonts w:cs="Arial"/>
          <w:b/>
          <w:bCs/>
        </w:rPr>
        <w:t>8</w:t>
      </w:r>
      <w:r w:rsidR="00265658" w:rsidRPr="002A2F05">
        <w:rPr>
          <w:rFonts w:cs="Arial"/>
          <w:b/>
          <w:bCs/>
        </w:rPr>
        <w:t>.</w:t>
      </w:r>
      <w:r w:rsidRPr="002A2F05">
        <w:rPr>
          <w:rFonts w:cs="Arial"/>
          <w:b/>
          <w:bCs/>
        </w:rPr>
        <w:t xml:space="preserve"> </w:t>
      </w:r>
      <w:r w:rsidRPr="002A2F05">
        <w:rPr>
          <w:rFonts w:cs="Arial"/>
        </w:rPr>
        <w:t>Dialysis and transplant treatment costs</w:t>
      </w:r>
    </w:p>
    <w:tbl>
      <w:tblPr>
        <w:tblStyle w:val="TableGrid"/>
        <w:tblW w:w="5000" w:type="pct"/>
        <w:tblLook w:val="04A0" w:firstRow="1" w:lastRow="0" w:firstColumn="1" w:lastColumn="0" w:noHBand="0" w:noVBand="1"/>
      </w:tblPr>
      <w:tblGrid>
        <w:gridCol w:w="4973"/>
        <w:gridCol w:w="3667"/>
      </w:tblGrid>
      <w:tr w:rsidR="00F61225" w:rsidRPr="002A2F05" w14:paraId="529F45FB" w14:textId="77777777" w:rsidTr="00CD0186">
        <w:trPr>
          <w:trHeight w:val="70"/>
          <w:tblHeader/>
        </w:trPr>
        <w:tc>
          <w:tcPr>
            <w:tcW w:w="2878" w:type="pct"/>
            <w:tcBorders>
              <w:top w:val="nil"/>
              <w:left w:val="nil"/>
              <w:bottom w:val="nil"/>
              <w:right w:val="nil"/>
            </w:tcBorders>
            <w:shd w:val="clear" w:color="auto" w:fill="808080" w:themeFill="background1" w:themeFillShade="80"/>
          </w:tcPr>
          <w:p w14:paraId="36A550EE" w14:textId="4E39C091" w:rsidR="00F61225" w:rsidRPr="002A2F05" w:rsidRDefault="00F61225" w:rsidP="00CD0186">
            <w:pPr>
              <w:spacing w:before="60" w:after="60" w:line="240" w:lineRule="auto"/>
              <w:rPr>
                <w:b/>
                <w:bCs/>
                <w:color w:val="FFFFFF" w:themeColor="background1"/>
                <w:sz w:val="18"/>
                <w:szCs w:val="18"/>
              </w:rPr>
            </w:pPr>
            <w:r w:rsidRPr="002A2F05">
              <w:rPr>
                <w:b/>
                <w:bCs/>
                <w:color w:val="F2F2F2" w:themeColor="background1" w:themeShade="F2"/>
                <w:sz w:val="18"/>
                <w:szCs w:val="18"/>
              </w:rPr>
              <w:t>Dialysis costs</w:t>
            </w:r>
          </w:p>
        </w:tc>
        <w:tc>
          <w:tcPr>
            <w:tcW w:w="2122" w:type="pct"/>
            <w:tcBorders>
              <w:top w:val="nil"/>
              <w:left w:val="nil"/>
              <w:bottom w:val="nil"/>
              <w:right w:val="nil"/>
            </w:tcBorders>
            <w:shd w:val="clear" w:color="auto" w:fill="808080" w:themeFill="background1" w:themeFillShade="80"/>
          </w:tcPr>
          <w:p w14:paraId="7F1E90A0" w14:textId="77777777" w:rsidR="00F61225" w:rsidRPr="002A2F05" w:rsidRDefault="00F61225" w:rsidP="00CD0186">
            <w:pPr>
              <w:spacing w:before="60" w:after="60" w:line="240" w:lineRule="auto"/>
              <w:rPr>
                <w:b/>
                <w:bCs/>
                <w:color w:val="FFFFFF" w:themeColor="background1"/>
                <w:sz w:val="18"/>
                <w:szCs w:val="18"/>
              </w:rPr>
            </w:pPr>
            <w:r w:rsidRPr="002A2F05">
              <w:rPr>
                <w:b/>
                <w:bCs/>
                <w:color w:val="FFFFFF" w:themeColor="background1"/>
                <w:sz w:val="18"/>
                <w:szCs w:val="18"/>
              </w:rPr>
              <w:t>Unit cost (inflation-adjusted)</w:t>
            </w:r>
          </w:p>
        </w:tc>
      </w:tr>
      <w:tr w:rsidR="00F61225" w:rsidRPr="002A2F05" w14:paraId="47938D5F" w14:textId="77777777" w:rsidTr="00CD0186">
        <w:trPr>
          <w:trHeight w:val="20"/>
          <w:tblHeader/>
        </w:trPr>
        <w:tc>
          <w:tcPr>
            <w:tcW w:w="2878" w:type="pct"/>
            <w:tcBorders>
              <w:top w:val="nil"/>
            </w:tcBorders>
            <w:vAlign w:val="bottom"/>
          </w:tcPr>
          <w:p w14:paraId="434C91C3" w14:textId="13B77983" w:rsidR="00F61225" w:rsidRPr="002A2F05" w:rsidRDefault="00F61225" w:rsidP="00CD0186">
            <w:pPr>
              <w:spacing w:before="60" w:after="60" w:line="240" w:lineRule="auto"/>
              <w:rPr>
                <w:sz w:val="18"/>
                <w:szCs w:val="18"/>
              </w:rPr>
            </w:pPr>
            <w:r w:rsidRPr="002A2F05">
              <w:rPr>
                <w:sz w:val="18"/>
                <w:szCs w:val="18"/>
              </w:rPr>
              <w:t>Hemodialysis</w:t>
            </w:r>
            <w:r w:rsidR="00C471F5" w:rsidRPr="002A2F05">
              <w:rPr>
                <w:sz w:val="18"/>
                <w:szCs w:val="18"/>
              </w:rPr>
              <w:t xml:space="preserve"> </w:t>
            </w:r>
            <w:r w:rsidR="00FF6F9D" w:rsidRPr="002A2F05">
              <w:rPr>
                <w:sz w:val="18"/>
                <w:szCs w:val="18"/>
              </w:rPr>
              <w:t>–</w:t>
            </w:r>
            <w:r w:rsidR="00C471F5" w:rsidRPr="002A2F05">
              <w:rPr>
                <w:sz w:val="18"/>
                <w:szCs w:val="18"/>
              </w:rPr>
              <w:t xml:space="preserve"> </w:t>
            </w:r>
            <w:r w:rsidR="00FF6F9D" w:rsidRPr="002A2F05">
              <w:rPr>
                <w:sz w:val="18"/>
                <w:szCs w:val="18"/>
              </w:rPr>
              <w:t>Medicare</w:t>
            </w:r>
            <w:r w:rsidR="00FF6F9D" w:rsidRPr="002A2F05">
              <w:rPr>
                <w:b/>
                <w:bCs/>
                <w:color w:val="F2F2F2" w:themeColor="background1" w:themeShade="F2"/>
                <w:sz w:val="18"/>
                <w:szCs w:val="18"/>
              </w:rPr>
              <w:fldChar w:fldCharType="begin"/>
            </w:r>
            <w:r w:rsidR="00BC31E6">
              <w:rPr>
                <w:b/>
                <w:bCs/>
                <w:color w:val="F2F2F2" w:themeColor="background1" w:themeShade="F2"/>
                <w:sz w:val="18"/>
                <w:szCs w:val="18"/>
              </w:rPr>
              <w:instrText xml:space="preserve"> ADDIN ZOTERO_ITEM CSL_CITATION {"citationID":"jh4AhGHU","properties":{"formattedCitation":"\\super 39\\nosupersub{}","plainCitation":"39","noteIndex":0},"citationItems":[{"id":6300,"uris":["http://zotero.org/groups/2828856/items/65PP5MHX"],"itemData":{"id":6300,"type":"webpage","abstract":"Unites States Renal Data System Annual Data Report","container-title":"USRDS","language":"en","title":"Annual Data Report","URL":"https://adr.usrds.org/2020/end-stage-renal-disease/9-healthcare-expenditures-for-persons-with-esrd","accessed":{"date-parts":[["2021",6,25]]},"issued":{"date-parts":[["2021",6,25]]}}}],"schema":"https://github.com/citation-style-language/schema/raw/master/csl-citation.json"} </w:instrText>
            </w:r>
            <w:r w:rsidR="00FF6F9D" w:rsidRPr="002A2F05">
              <w:rPr>
                <w:b/>
                <w:bCs/>
                <w:color w:val="F2F2F2" w:themeColor="background1" w:themeShade="F2"/>
                <w:sz w:val="18"/>
                <w:szCs w:val="18"/>
              </w:rPr>
              <w:fldChar w:fldCharType="separate"/>
            </w:r>
            <w:r w:rsidR="00BC31E6" w:rsidRPr="00BC31E6">
              <w:rPr>
                <w:rFonts w:cs="Arial"/>
                <w:sz w:val="18"/>
                <w:vertAlign w:val="superscript"/>
              </w:rPr>
              <w:t>39</w:t>
            </w:r>
            <w:r w:rsidR="00FF6F9D" w:rsidRPr="002A2F05">
              <w:rPr>
                <w:b/>
                <w:bCs/>
                <w:color w:val="F2F2F2" w:themeColor="background1" w:themeShade="F2"/>
                <w:sz w:val="18"/>
                <w:szCs w:val="18"/>
              </w:rPr>
              <w:fldChar w:fldCharType="end"/>
            </w:r>
          </w:p>
        </w:tc>
        <w:tc>
          <w:tcPr>
            <w:tcW w:w="2122" w:type="pct"/>
            <w:tcBorders>
              <w:top w:val="nil"/>
            </w:tcBorders>
            <w:vAlign w:val="center"/>
          </w:tcPr>
          <w:p w14:paraId="6B80CF09" w14:textId="77777777" w:rsidR="00F61225" w:rsidRPr="002A2F05" w:rsidRDefault="00F61225" w:rsidP="00CD0186">
            <w:pPr>
              <w:spacing w:before="60" w:after="60" w:line="240" w:lineRule="auto"/>
              <w:rPr>
                <w:sz w:val="18"/>
                <w:szCs w:val="18"/>
              </w:rPr>
            </w:pPr>
            <w:r w:rsidRPr="002A2F05">
              <w:rPr>
                <w:sz w:val="18"/>
                <w:szCs w:val="18"/>
              </w:rPr>
              <w:t>$105,600</w:t>
            </w:r>
          </w:p>
        </w:tc>
      </w:tr>
      <w:tr w:rsidR="00F61225" w:rsidRPr="002A2F05" w14:paraId="0B62AE4B" w14:textId="77777777" w:rsidTr="00CD0186">
        <w:trPr>
          <w:trHeight w:val="20"/>
          <w:tblHeader/>
        </w:trPr>
        <w:tc>
          <w:tcPr>
            <w:tcW w:w="2878" w:type="pct"/>
            <w:vAlign w:val="bottom"/>
          </w:tcPr>
          <w:p w14:paraId="02A34E28" w14:textId="6C215668" w:rsidR="00F61225" w:rsidRPr="002A2F05" w:rsidRDefault="00F61225" w:rsidP="00CD0186">
            <w:pPr>
              <w:spacing w:before="60" w:after="60" w:line="240" w:lineRule="auto"/>
              <w:rPr>
                <w:sz w:val="18"/>
                <w:szCs w:val="18"/>
              </w:rPr>
            </w:pPr>
            <w:r w:rsidRPr="002A2F05">
              <w:rPr>
                <w:sz w:val="18"/>
                <w:szCs w:val="18"/>
              </w:rPr>
              <w:t>Peritoneal dialysis</w:t>
            </w:r>
            <w:r w:rsidR="00FF6F9D" w:rsidRPr="002A2F05">
              <w:rPr>
                <w:sz w:val="18"/>
                <w:szCs w:val="18"/>
              </w:rPr>
              <w:t xml:space="preserve"> – Medicare</w:t>
            </w:r>
            <w:r w:rsidR="00FF6F9D" w:rsidRPr="002A2F05">
              <w:rPr>
                <w:b/>
                <w:bCs/>
                <w:color w:val="F2F2F2" w:themeColor="background1" w:themeShade="F2"/>
                <w:sz w:val="18"/>
                <w:szCs w:val="18"/>
              </w:rPr>
              <w:fldChar w:fldCharType="begin"/>
            </w:r>
            <w:r w:rsidR="00BC31E6">
              <w:rPr>
                <w:b/>
                <w:bCs/>
                <w:color w:val="F2F2F2" w:themeColor="background1" w:themeShade="F2"/>
                <w:sz w:val="18"/>
                <w:szCs w:val="18"/>
              </w:rPr>
              <w:instrText xml:space="preserve"> ADDIN ZOTERO_ITEM CSL_CITATION {"citationID":"6ZGJqjvR","properties":{"formattedCitation":"\\super 39\\nosupersub{}","plainCitation":"39","noteIndex":0},"citationItems":[{"id":6300,"uris":["http://zotero.org/groups/2828856/items/65PP5MHX"],"itemData":{"id":6300,"type":"webpage","abstract":"Unites States Renal Data System Annual Data Report","container-title":"USRDS","language":"en","title":"Annual Data Report","URL":"https://adr.usrds.org/2020/end-stage-renal-disease/9-healthcare-expenditures-for-persons-with-esrd","accessed":{"date-parts":[["2021",6,25]]},"issued":{"date-parts":[["2021",6,25]]}}}],"schema":"https://github.com/citation-style-language/schema/raw/master/csl-citation.json"} </w:instrText>
            </w:r>
            <w:r w:rsidR="00FF6F9D" w:rsidRPr="002A2F05">
              <w:rPr>
                <w:b/>
                <w:bCs/>
                <w:color w:val="F2F2F2" w:themeColor="background1" w:themeShade="F2"/>
                <w:sz w:val="18"/>
                <w:szCs w:val="18"/>
              </w:rPr>
              <w:fldChar w:fldCharType="separate"/>
            </w:r>
            <w:r w:rsidR="00BC31E6" w:rsidRPr="00BC31E6">
              <w:rPr>
                <w:rFonts w:cs="Arial"/>
                <w:sz w:val="18"/>
                <w:vertAlign w:val="superscript"/>
              </w:rPr>
              <w:t>39</w:t>
            </w:r>
            <w:r w:rsidR="00FF6F9D" w:rsidRPr="002A2F05">
              <w:rPr>
                <w:b/>
                <w:bCs/>
                <w:color w:val="F2F2F2" w:themeColor="background1" w:themeShade="F2"/>
                <w:sz w:val="18"/>
                <w:szCs w:val="18"/>
              </w:rPr>
              <w:fldChar w:fldCharType="end"/>
            </w:r>
          </w:p>
        </w:tc>
        <w:tc>
          <w:tcPr>
            <w:tcW w:w="2122" w:type="pct"/>
            <w:vAlign w:val="center"/>
          </w:tcPr>
          <w:p w14:paraId="4DFA0370" w14:textId="77777777" w:rsidR="00F61225" w:rsidRPr="002A2F05" w:rsidRDefault="00F61225" w:rsidP="00CD0186">
            <w:pPr>
              <w:spacing w:before="60" w:after="60" w:line="240" w:lineRule="auto"/>
              <w:rPr>
                <w:sz w:val="18"/>
                <w:szCs w:val="18"/>
              </w:rPr>
            </w:pPr>
            <w:r w:rsidRPr="002A2F05">
              <w:rPr>
                <w:sz w:val="18"/>
                <w:szCs w:val="18"/>
              </w:rPr>
              <w:t>$89,226</w:t>
            </w:r>
          </w:p>
        </w:tc>
      </w:tr>
      <w:tr w:rsidR="00FF6F9D" w:rsidRPr="002A2F05" w14:paraId="1AEC3D13" w14:textId="77777777" w:rsidTr="00CD0186">
        <w:trPr>
          <w:trHeight w:val="20"/>
          <w:tblHeader/>
        </w:trPr>
        <w:tc>
          <w:tcPr>
            <w:tcW w:w="2878" w:type="pct"/>
            <w:vAlign w:val="bottom"/>
          </w:tcPr>
          <w:p w14:paraId="60D09494" w14:textId="04D538D1" w:rsidR="00FF6F9D" w:rsidRPr="002A2F05" w:rsidRDefault="00FF6F9D" w:rsidP="00CD0186">
            <w:pPr>
              <w:spacing w:before="60" w:after="60" w:line="240" w:lineRule="auto"/>
              <w:rPr>
                <w:sz w:val="18"/>
                <w:szCs w:val="18"/>
              </w:rPr>
            </w:pPr>
            <w:r w:rsidRPr="002A2F05">
              <w:rPr>
                <w:sz w:val="18"/>
                <w:szCs w:val="18"/>
              </w:rPr>
              <w:t>Hemodialysis – Commercial</w:t>
            </w:r>
            <w:r w:rsidRPr="002A2F05">
              <w:rPr>
                <w:sz w:val="18"/>
                <w:szCs w:val="18"/>
              </w:rPr>
              <w:fldChar w:fldCharType="begin"/>
            </w:r>
            <w:r w:rsidR="00BC31E6">
              <w:rPr>
                <w:sz w:val="18"/>
                <w:szCs w:val="18"/>
              </w:rPr>
              <w:instrText xml:space="preserve"> ADDIN ZOTERO_ITEM CSL_CITATION {"citationID":"nWV1JnNW","properties":{"formattedCitation":"\\super 40\\nosupersub{}","plainCitation":"40","noteIndex":0},"citationItems":[{"id":7769,"uris":["http://zotero.org/groups/2828856/items/LDGRYE2J"],"itemData":{"id":7769,"type":"document","title":"Kidney Resource Services - Network Access","URL":"https://www.optum.com/content/dam/optum3/optum/en/resources/white-papers/kidney-resources-services-network-access.pdf","author":[{"family":"OPTUM","given":""}],"issued":{"date-parts":[["2017"]]}}}],"schema":"https://github.com/citation-style-language/schema/raw/master/csl-citation.json"} </w:instrText>
            </w:r>
            <w:r w:rsidRPr="002A2F05">
              <w:rPr>
                <w:sz w:val="18"/>
                <w:szCs w:val="18"/>
              </w:rPr>
              <w:fldChar w:fldCharType="separate"/>
            </w:r>
            <w:r w:rsidR="00BC31E6" w:rsidRPr="00BC31E6">
              <w:rPr>
                <w:rFonts w:cs="Arial"/>
                <w:sz w:val="18"/>
                <w:vertAlign w:val="superscript"/>
              </w:rPr>
              <w:t>40</w:t>
            </w:r>
            <w:r w:rsidRPr="002A2F05">
              <w:rPr>
                <w:sz w:val="18"/>
                <w:szCs w:val="18"/>
              </w:rPr>
              <w:fldChar w:fldCharType="end"/>
            </w:r>
          </w:p>
        </w:tc>
        <w:tc>
          <w:tcPr>
            <w:tcW w:w="2122" w:type="pct"/>
            <w:vAlign w:val="center"/>
          </w:tcPr>
          <w:p w14:paraId="3CE0E634" w14:textId="4FA03267" w:rsidR="00FF6F9D" w:rsidRPr="002A2F05" w:rsidRDefault="00183233" w:rsidP="00CD0186">
            <w:pPr>
              <w:spacing w:before="60" w:after="60" w:line="240" w:lineRule="auto"/>
              <w:rPr>
                <w:sz w:val="18"/>
                <w:szCs w:val="18"/>
              </w:rPr>
            </w:pPr>
            <w:r w:rsidRPr="002A2F05">
              <w:rPr>
                <w:sz w:val="18"/>
                <w:szCs w:val="18"/>
              </w:rPr>
              <w:t>$276,295</w:t>
            </w:r>
          </w:p>
        </w:tc>
      </w:tr>
      <w:tr w:rsidR="00FF6F9D" w:rsidRPr="002A2F05" w14:paraId="1A580AE9" w14:textId="77777777" w:rsidTr="00CD0186">
        <w:trPr>
          <w:trHeight w:val="20"/>
          <w:tblHeader/>
        </w:trPr>
        <w:tc>
          <w:tcPr>
            <w:tcW w:w="2878" w:type="pct"/>
            <w:vAlign w:val="bottom"/>
          </w:tcPr>
          <w:p w14:paraId="5825247B" w14:textId="3DEC3FB6" w:rsidR="00FF6F9D" w:rsidRPr="002A2F05" w:rsidRDefault="00FF6F9D" w:rsidP="00CD0186">
            <w:pPr>
              <w:spacing w:before="60" w:after="60" w:line="240" w:lineRule="auto"/>
              <w:rPr>
                <w:sz w:val="18"/>
                <w:szCs w:val="18"/>
              </w:rPr>
            </w:pPr>
            <w:r w:rsidRPr="002A2F05">
              <w:rPr>
                <w:sz w:val="18"/>
                <w:szCs w:val="18"/>
              </w:rPr>
              <w:t>Peritoneal dialysis – Commercial</w:t>
            </w:r>
            <w:r w:rsidR="00183233" w:rsidRPr="002A2F05">
              <w:rPr>
                <w:sz w:val="18"/>
                <w:szCs w:val="18"/>
              </w:rPr>
              <w:fldChar w:fldCharType="begin"/>
            </w:r>
            <w:r w:rsidR="00BC31E6">
              <w:rPr>
                <w:sz w:val="18"/>
                <w:szCs w:val="18"/>
              </w:rPr>
              <w:instrText xml:space="preserve"> ADDIN ZOTERO_ITEM CSL_CITATION {"citationID":"spfOH8y7","properties":{"formattedCitation":"\\super 40\\nosupersub{}","plainCitation":"40","noteIndex":0},"citationItems":[{"id":7769,"uris":["http://zotero.org/groups/2828856/items/LDGRYE2J"],"itemData":{"id":7769,"type":"document","title":"Kidney Resource Services - Network Access","URL":"https://www.optum.com/content/dam/optum3/optum/en/resources/white-papers/kidney-resources-services-network-access.pdf","author":[{"family":"OPTUM","given":""}],"issued":{"date-parts":[["2017"]]}}}],"schema":"https://github.com/citation-style-language/schema/raw/master/csl-citation.json"} </w:instrText>
            </w:r>
            <w:r w:rsidR="00183233" w:rsidRPr="002A2F05">
              <w:rPr>
                <w:sz w:val="18"/>
                <w:szCs w:val="18"/>
              </w:rPr>
              <w:fldChar w:fldCharType="separate"/>
            </w:r>
            <w:r w:rsidR="00BC31E6" w:rsidRPr="00BC31E6">
              <w:rPr>
                <w:rFonts w:cs="Arial"/>
                <w:sz w:val="18"/>
                <w:vertAlign w:val="superscript"/>
              </w:rPr>
              <w:t>40</w:t>
            </w:r>
            <w:r w:rsidR="00183233" w:rsidRPr="002A2F05">
              <w:rPr>
                <w:sz w:val="18"/>
                <w:szCs w:val="18"/>
              </w:rPr>
              <w:fldChar w:fldCharType="end"/>
            </w:r>
          </w:p>
        </w:tc>
        <w:tc>
          <w:tcPr>
            <w:tcW w:w="2122" w:type="pct"/>
            <w:vAlign w:val="center"/>
          </w:tcPr>
          <w:p w14:paraId="23F57361" w14:textId="1526FD63" w:rsidR="00FF6F9D" w:rsidRPr="002A2F05" w:rsidRDefault="00221B85" w:rsidP="00CD0186">
            <w:pPr>
              <w:spacing w:before="60" w:after="60" w:line="240" w:lineRule="auto"/>
              <w:rPr>
                <w:sz w:val="18"/>
                <w:szCs w:val="18"/>
              </w:rPr>
            </w:pPr>
            <w:r w:rsidRPr="002A2F05">
              <w:rPr>
                <w:sz w:val="18"/>
                <w:szCs w:val="18"/>
              </w:rPr>
              <w:t>$233,453</w:t>
            </w:r>
          </w:p>
        </w:tc>
      </w:tr>
      <w:tr w:rsidR="00F61225" w:rsidRPr="002A2F05" w14:paraId="3E0B5142" w14:textId="77777777" w:rsidTr="00CD0186">
        <w:trPr>
          <w:trHeight w:val="20"/>
          <w:tblHeader/>
        </w:trPr>
        <w:tc>
          <w:tcPr>
            <w:tcW w:w="2878" w:type="pct"/>
            <w:shd w:val="clear" w:color="auto" w:fill="808080" w:themeFill="background1" w:themeFillShade="80"/>
            <w:vAlign w:val="bottom"/>
          </w:tcPr>
          <w:p w14:paraId="63C52C1D" w14:textId="7FE613CE" w:rsidR="00F61225" w:rsidRPr="002A2F05" w:rsidRDefault="00F61225" w:rsidP="00CD0186">
            <w:pPr>
              <w:spacing w:before="60" w:after="60" w:line="240" w:lineRule="auto"/>
              <w:rPr>
                <w:b/>
                <w:bCs/>
                <w:color w:val="FFFFFF" w:themeColor="background1"/>
                <w:sz w:val="18"/>
                <w:szCs w:val="18"/>
              </w:rPr>
            </w:pPr>
            <w:r w:rsidRPr="002A2F05">
              <w:rPr>
                <w:b/>
                <w:bCs/>
                <w:color w:val="FFFFFF" w:themeColor="background1"/>
                <w:sz w:val="18"/>
                <w:szCs w:val="18"/>
              </w:rPr>
              <w:t>Transpla</w:t>
            </w:r>
            <w:r w:rsidRPr="002A2F05">
              <w:rPr>
                <w:b/>
                <w:bCs/>
                <w:color w:val="F2F2F2" w:themeColor="background1" w:themeShade="F2"/>
                <w:sz w:val="18"/>
                <w:szCs w:val="18"/>
              </w:rPr>
              <w:t>nt costs</w:t>
            </w:r>
          </w:p>
        </w:tc>
        <w:tc>
          <w:tcPr>
            <w:tcW w:w="2122" w:type="pct"/>
            <w:shd w:val="clear" w:color="auto" w:fill="808080" w:themeFill="background1" w:themeFillShade="80"/>
            <w:vAlign w:val="center"/>
          </w:tcPr>
          <w:p w14:paraId="1E3A4F92" w14:textId="77777777" w:rsidR="00F61225" w:rsidRPr="002A2F05" w:rsidRDefault="00F61225" w:rsidP="00CD0186">
            <w:pPr>
              <w:spacing w:before="60" w:after="60" w:line="240" w:lineRule="auto"/>
              <w:rPr>
                <w:b/>
                <w:bCs/>
                <w:color w:val="FFFFFF" w:themeColor="background1"/>
                <w:sz w:val="18"/>
                <w:szCs w:val="18"/>
              </w:rPr>
            </w:pPr>
            <w:r w:rsidRPr="002A2F05">
              <w:rPr>
                <w:b/>
                <w:bCs/>
                <w:color w:val="FFFFFF" w:themeColor="background1"/>
                <w:sz w:val="18"/>
                <w:szCs w:val="18"/>
              </w:rPr>
              <w:t>Unit cost (inflation-adjusted)</w:t>
            </w:r>
          </w:p>
        </w:tc>
      </w:tr>
      <w:tr w:rsidR="00F61225" w:rsidRPr="002A2F05" w14:paraId="2AD17B8A" w14:textId="77777777" w:rsidTr="00CD0186">
        <w:trPr>
          <w:trHeight w:val="20"/>
          <w:tblHeader/>
        </w:trPr>
        <w:tc>
          <w:tcPr>
            <w:tcW w:w="2878" w:type="pct"/>
            <w:vAlign w:val="bottom"/>
          </w:tcPr>
          <w:p w14:paraId="533913D0" w14:textId="36B3B7A6" w:rsidR="00F61225" w:rsidRPr="00885592" w:rsidRDefault="00F61225" w:rsidP="00CD0186">
            <w:pPr>
              <w:spacing w:before="60" w:after="60" w:line="240" w:lineRule="auto"/>
              <w:rPr>
                <w:sz w:val="18"/>
                <w:szCs w:val="18"/>
              </w:rPr>
            </w:pPr>
            <w:r w:rsidRPr="00885592">
              <w:rPr>
                <w:sz w:val="18"/>
                <w:szCs w:val="18"/>
              </w:rPr>
              <w:t>30-day pre-transplant</w:t>
            </w:r>
            <w:r w:rsidR="00885592" w:rsidRPr="00330708">
              <w:rPr>
                <w:b/>
                <w:bCs/>
                <w:color w:val="F2F2F2" w:themeColor="background1" w:themeShade="F2"/>
                <w:sz w:val="18"/>
                <w:szCs w:val="18"/>
              </w:rPr>
              <w:fldChar w:fldCharType="begin"/>
            </w:r>
            <w:r w:rsidR="00BC31E6">
              <w:rPr>
                <w:b/>
                <w:bCs/>
                <w:color w:val="F2F2F2" w:themeColor="background1" w:themeShade="F2"/>
                <w:sz w:val="18"/>
                <w:szCs w:val="18"/>
              </w:rPr>
              <w:instrText xml:space="preserve"> ADDIN ZOTERO_ITEM CSL_CITATION {"citationID":"9HuPUrqA","properties":{"formattedCitation":"\\super 41\\nosupersub{}","plainCitation":"41","noteIndex":0},"citationItems":[{"id":6308,"uris":["http://zotero.org/groups/2828856/items/JP6GVDCP"],"itemData":{"id":6308,"type":"article-journal","language":"en","page":"24","source":"Zotero","title":"2020 U.S. organ and tissue transplants","issued":{"date-parts":[["2020"]]}}}],"schema":"https://github.com/citation-style-language/schema/raw/master/csl-citation.json"} </w:instrText>
            </w:r>
            <w:r w:rsidR="00885592" w:rsidRPr="00330708">
              <w:rPr>
                <w:b/>
                <w:bCs/>
                <w:color w:val="F2F2F2" w:themeColor="background1" w:themeShade="F2"/>
                <w:sz w:val="18"/>
                <w:szCs w:val="18"/>
              </w:rPr>
              <w:fldChar w:fldCharType="separate"/>
            </w:r>
            <w:r w:rsidR="00BC31E6" w:rsidRPr="00BC31E6">
              <w:rPr>
                <w:rFonts w:cs="Arial"/>
                <w:sz w:val="18"/>
                <w:vertAlign w:val="superscript"/>
              </w:rPr>
              <w:t>41</w:t>
            </w:r>
            <w:r w:rsidR="00885592" w:rsidRPr="00330708">
              <w:rPr>
                <w:b/>
                <w:bCs/>
                <w:color w:val="F2F2F2" w:themeColor="background1" w:themeShade="F2"/>
                <w:sz w:val="18"/>
                <w:szCs w:val="18"/>
              </w:rPr>
              <w:fldChar w:fldCharType="end"/>
            </w:r>
          </w:p>
        </w:tc>
        <w:tc>
          <w:tcPr>
            <w:tcW w:w="2122" w:type="pct"/>
            <w:vAlign w:val="center"/>
          </w:tcPr>
          <w:p w14:paraId="4FB9ED4D" w14:textId="77777777" w:rsidR="00F61225" w:rsidRPr="002A2F05" w:rsidRDefault="00F61225" w:rsidP="00CD0186">
            <w:pPr>
              <w:spacing w:before="60" w:after="60" w:line="240" w:lineRule="auto"/>
              <w:rPr>
                <w:sz w:val="18"/>
                <w:szCs w:val="18"/>
              </w:rPr>
            </w:pPr>
            <w:r w:rsidRPr="002A2F05">
              <w:rPr>
                <w:sz w:val="18"/>
                <w:szCs w:val="18"/>
              </w:rPr>
              <w:t>$33,528</w:t>
            </w:r>
          </w:p>
        </w:tc>
      </w:tr>
      <w:tr w:rsidR="00F61225" w:rsidRPr="002A2F05" w14:paraId="3D25D837" w14:textId="77777777" w:rsidTr="00CD0186">
        <w:trPr>
          <w:trHeight w:val="20"/>
          <w:tblHeader/>
        </w:trPr>
        <w:tc>
          <w:tcPr>
            <w:tcW w:w="2878" w:type="pct"/>
            <w:vAlign w:val="bottom"/>
          </w:tcPr>
          <w:p w14:paraId="417D2B6F" w14:textId="268A8F71" w:rsidR="00F61225" w:rsidRPr="00885592" w:rsidRDefault="00F61225" w:rsidP="00CD0186">
            <w:pPr>
              <w:spacing w:before="60" w:after="60" w:line="240" w:lineRule="auto"/>
              <w:rPr>
                <w:sz w:val="18"/>
                <w:szCs w:val="18"/>
              </w:rPr>
            </w:pPr>
            <w:r w:rsidRPr="00885592">
              <w:rPr>
                <w:sz w:val="18"/>
                <w:szCs w:val="18"/>
              </w:rPr>
              <w:t>Procurement</w:t>
            </w:r>
            <w:r w:rsidR="00885592" w:rsidRPr="00330708">
              <w:rPr>
                <w:b/>
                <w:bCs/>
                <w:color w:val="F2F2F2" w:themeColor="background1" w:themeShade="F2"/>
                <w:sz w:val="18"/>
                <w:szCs w:val="18"/>
              </w:rPr>
              <w:fldChar w:fldCharType="begin"/>
            </w:r>
            <w:r w:rsidR="00BC31E6">
              <w:rPr>
                <w:b/>
                <w:bCs/>
                <w:color w:val="F2F2F2" w:themeColor="background1" w:themeShade="F2"/>
                <w:sz w:val="18"/>
                <w:szCs w:val="18"/>
              </w:rPr>
              <w:instrText xml:space="preserve"> ADDIN ZOTERO_ITEM CSL_CITATION {"citationID":"3Kdjdkx3","properties":{"formattedCitation":"\\super 41\\nosupersub{}","plainCitation":"41","noteIndex":0},"citationItems":[{"id":6308,"uris":["http://zotero.org/groups/2828856/items/JP6GVDCP"],"itemData":{"id":6308,"type":"article-journal","language":"en","page":"24","source":"Zotero","title":"2020 U.S. organ and tissue transplants","issued":{"date-parts":[["2020"]]}}}],"schema":"https://github.com/citation-style-language/schema/raw/master/csl-citation.json"} </w:instrText>
            </w:r>
            <w:r w:rsidR="00885592" w:rsidRPr="00330708">
              <w:rPr>
                <w:b/>
                <w:bCs/>
                <w:color w:val="F2F2F2" w:themeColor="background1" w:themeShade="F2"/>
                <w:sz w:val="18"/>
                <w:szCs w:val="18"/>
              </w:rPr>
              <w:fldChar w:fldCharType="separate"/>
            </w:r>
            <w:r w:rsidR="00BC31E6" w:rsidRPr="00BC31E6">
              <w:rPr>
                <w:rFonts w:cs="Arial"/>
                <w:sz w:val="18"/>
                <w:vertAlign w:val="superscript"/>
              </w:rPr>
              <w:t>41</w:t>
            </w:r>
            <w:r w:rsidR="00885592" w:rsidRPr="00330708">
              <w:rPr>
                <w:b/>
                <w:bCs/>
                <w:color w:val="F2F2F2" w:themeColor="background1" w:themeShade="F2"/>
                <w:sz w:val="18"/>
                <w:szCs w:val="18"/>
              </w:rPr>
              <w:fldChar w:fldCharType="end"/>
            </w:r>
          </w:p>
        </w:tc>
        <w:tc>
          <w:tcPr>
            <w:tcW w:w="2122" w:type="pct"/>
            <w:vAlign w:val="center"/>
          </w:tcPr>
          <w:p w14:paraId="79F8140B" w14:textId="77777777" w:rsidR="00F61225" w:rsidRPr="002A2F05" w:rsidRDefault="00F61225" w:rsidP="00CD0186">
            <w:pPr>
              <w:spacing w:before="60" w:after="60" w:line="240" w:lineRule="auto"/>
              <w:rPr>
                <w:sz w:val="18"/>
                <w:szCs w:val="18"/>
              </w:rPr>
            </w:pPr>
            <w:r w:rsidRPr="002A2F05">
              <w:rPr>
                <w:sz w:val="18"/>
                <w:szCs w:val="18"/>
              </w:rPr>
              <w:t>$116,784</w:t>
            </w:r>
          </w:p>
        </w:tc>
      </w:tr>
      <w:tr w:rsidR="00F61225" w:rsidRPr="002A2F05" w14:paraId="69A6DFF8" w14:textId="77777777" w:rsidTr="00CD0186">
        <w:trPr>
          <w:trHeight w:val="20"/>
          <w:tblHeader/>
        </w:trPr>
        <w:tc>
          <w:tcPr>
            <w:tcW w:w="2878" w:type="pct"/>
            <w:vAlign w:val="bottom"/>
          </w:tcPr>
          <w:p w14:paraId="6FE4974F" w14:textId="52AECE2F" w:rsidR="00F61225" w:rsidRPr="00885592" w:rsidRDefault="00F61225" w:rsidP="00CD0186">
            <w:pPr>
              <w:spacing w:before="60" w:after="60" w:line="240" w:lineRule="auto"/>
              <w:rPr>
                <w:sz w:val="18"/>
                <w:szCs w:val="18"/>
              </w:rPr>
            </w:pPr>
            <w:r w:rsidRPr="00885592">
              <w:rPr>
                <w:sz w:val="18"/>
                <w:szCs w:val="18"/>
              </w:rPr>
              <w:t>Hospital transplant admission</w:t>
            </w:r>
            <w:r w:rsidR="00885592" w:rsidRPr="00330708">
              <w:rPr>
                <w:b/>
                <w:bCs/>
                <w:color w:val="F2F2F2" w:themeColor="background1" w:themeShade="F2"/>
                <w:sz w:val="18"/>
                <w:szCs w:val="18"/>
              </w:rPr>
              <w:fldChar w:fldCharType="begin"/>
            </w:r>
            <w:r w:rsidR="00BC31E6">
              <w:rPr>
                <w:b/>
                <w:bCs/>
                <w:color w:val="F2F2F2" w:themeColor="background1" w:themeShade="F2"/>
                <w:sz w:val="18"/>
                <w:szCs w:val="18"/>
              </w:rPr>
              <w:instrText xml:space="preserve"> ADDIN ZOTERO_ITEM CSL_CITATION {"citationID":"YOLyIN8c","properties":{"formattedCitation":"\\super 41\\nosupersub{}","plainCitation":"41","noteIndex":0},"citationItems":[{"id":6308,"uris":["http://zotero.org/groups/2828856/items/JP6GVDCP"],"itemData":{"id":6308,"type":"article-journal","language":"en","page":"24","source":"Zotero","title":"2020 U.S. organ and tissue transplants","issued":{"date-parts":[["2020"]]}}}],"schema":"https://github.com/citation-style-language/schema/raw/master/csl-citation.json"} </w:instrText>
            </w:r>
            <w:r w:rsidR="00885592" w:rsidRPr="00330708">
              <w:rPr>
                <w:b/>
                <w:bCs/>
                <w:color w:val="F2F2F2" w:themeColor="background1" w:themeShade="F2"/>
                <w:sz w:val="18"/>
                <w:szCs w:val="18"/>
              </w:rPr>
              <w:fldChar w:fldCharType="separate"/>
            </w:r>
            <w:r w:rsidR="00BC31E6" w:rsidRPr="00BC31E6">
              <w:rPr>
                <w:rFonts w:cs="Arial"/>
                <w:sz w:val="18"/>
                <w:vertAlign w:val="superscript"/>
              </w:rPr>
              <w:t>41</w:t>
            </w:r>
            <w:r w:rsidR="00885592" w:rsidRPr="00330708">
              <w:rPr>
                <w:b/>
                <w:bCs/>
                <w:color w:val="F2F2F2" w:themeColor="background1" w:themeShade="F2"/>
                <w:sz w:val="18"/>
                <w:szCs w:val="18"/>
              </w:rPr>
              <w:fldChar w:fldCharType="end"/>
            </w:r>
          </w:p>
        </w:tc>
        <w:tc>
          <w:tcPr>
            <w:tcW w:w="2122" w:type="pct"/>
            <w:vAlign w:val="center"/>
          </w:tcPr>
          <w:p w14:paraId="2F8DB008" w14:textId="77777777" w:rsidR="00F61225" w:rsidRPr="002A2F05" w:rsidRDefault="00F61225" w:rsidP="00CD0186">
            <w:pPr>
              <w:spacing w:before="60" w:after="60" w:line="240" w:lineRule="auto"/>
              <w:rPr>
                <w:sz w:val="18"/>
                <w:szCs w:val="18"/>
              </w:rPr>
            </w:pPr>
            <w:r w:rsidRPr="002A2F05">
              <w:rPr>
                <w:sz w:val="18"/>
                <w:szCs w:val="18"/>
              </w:rPr>
              <w:t>$156,156</w:t>
            </w:r>
          </w:p>
        </w:tc>
      </w:tr>
      <w:tr w:rsidR="00F61225" w:rsidRPr="002A2F05" w14:paraId="2EDA1578" w14:textId="77777777" w:rsidTr="00CD0186">
        <w:trPr>
          <w:trHeight w:val="20"/>
          <w:tblHeader/>
        </w:trPr>
        <w:tc>
          <w:tcPr>
            <w:tcW w:w="2878" w:type="pct"/>
            <w:vAlign w:val="bottom"/>
          </w:tcPr>
          <w:p w14:paraId="41EB2EB8" w14:textId="62AE62EB" w:rsidR="00F61225" w:rsidRPr="00885592" w:rsidRDefault="00F61225" w:rsidP="00CD0186">
            <w:pPr>
              <w:spacing w:before="60" w:after="60" w:line="240" w:lineRule="auto"/>
              <w:rPr>
                <w:sz w:val="18"/>
                <w:szCs w:val="18"/>
              </w:rPr>
            </w:pPr>
            <w:r w:rsidRPr="00885592">
              <w:rPr>
                <w:sz w:val="18"/>
                <w:szCs w:val="18"/>
              </w:rPr>
              <w:t>Physician during transplant admission</w:t>
            </w:r>
            <w:r w:rsidR="00885592" w:rsidRPr="00330708">
              <w:rPr>
                <w:b/>
                <w:bCs/>
                <w:color w:val="F2F2F2" w:themeColor="background1" w:themeShade="F2"/>
                <w:sz w:val="18"/>
                <w:szCs w:val="18"/>
              </w:rPr>
              <w:fldChar w:fldCharType="begin"/>
            </w:r>
            <w:r w:rsidR="00BC31E6">
              <w:rPr>
                <w:b/>
                <w:bCs/>
                <w:color w:val="F2F2F2" w:themeColor="background1" w:themeShade="F2"/>
                <w:sz w:val="18"/>
                <w:szCs w:val="18"/>
              </w:rPr>
              <w:instrText xml:space="preserve"> ADDIN ZOTERO_ITEM CSL_CITATION {"citationID":"PehjnsVi","properties":{"formattedCitation":"\\super 41\\nosupersub{}","plainCitation":"41","noteIndex":0},"citationItems":[{"id":6308,"uris":["http://zotero.org/groups/2828856/items/JP6GVDCP"],"itemData":{"id":6308,"type":"article-journal","language":"en","page":"24","source":"Zotero","title":"2020 U.S. organ and tissue transplants","issued":{"date-parts":[["2020"]]}}}],"schema":"https://github.com/citation-style-language/schema/raw/master/csl-citation.json"} </w:instrText>
            </w:r>
            <w:r w:rsidR="00885592" w:rsidRPr="00330708">
              <w:rPr>
                <w:b/>
                <w:bCs/>
                <w:color w:val="F2F2F2" w:themeColor="background1" w:themeShade="F2"/>
                <w:sz w:val="18"/>
                <w:szCs w:val="18"/>
              </w:rPr>
              <w:fldChar w:fldCharType="separate"/>
            </w:r>
            <w:r w:rsidR="00BC31E6" w:rsidRPr="00BC31E6">
              <w:rPr>
                <w:rFonts w:cs="Arial"/>
                <w:sz w:val="18"/>
                <w:vertAlign w:val="superscript"/>
              </w:rPr>
              <w:t>41</w:t>
            </w:r>
            <w:r w:rsidR="00885592" w:rsidRPr="00330708">
              <w:rPr>
                <w:b/>
                <w:bCs/>
                <w:color w:val="F2F2F2" w:themeColor="background1" w:themeShade="F2"/>
                <w:sz w:val="18"/>
                <w:szCs w:val="18"/>
              </w:rPr>
              <w:fldChar w:fldCharType="end"/>
            </w:r>
          </w:p>
        </w:tc>
        <w:tc>
          <w:tcPr>
            <w:tcW w:w="2122" w:type="pct"/>
            <w:vAlign w:val="center"/>
          </w:tcPr>
          <w:p w14:paraId="766C2BD2" w14:textId="77777777" w:rsidR="00F61225" w:rsidRPr="002A2F05" w:rsidRDefault="00F61225" w:rsidP="00CD0186">
            <w:pPr>
              <w:spacing w:before="60" w:after="60" w:line="240" w:lineRule="auto"/>
              <w:rPr>
                <w:sz w:val="18"/>
                <w:szCs w:val="18"/>
              </w:rPr>
            </w:pPr>
            <w:r w:rsidRPr="002A2F05">
              <w:rPr>
                <w:sz w:val="18"/>
                <w:szCs w:val="18"/>
              </w:rPr>
              <w:t>$26,863</w:t>
            </w:r>
          </w:p>
        </w:tc>
      </w:tr>
      <w:tr w:rsidR="00F61225" w:rsidRPr="002A2F05" w14:paraId="0E97ABBD" w14:textId="77777777" w:rsidTr="00CD0186">
        <w:trPr>
          <w:trHeight w:val="20"/>
          <w:tblHeader/>
        </w:trPr>
        <w:tc>
          <w:tcPr>
            <w:tcW w:w="2878" w:type="pct"/>
            <w:vAlign w:val="bottom"/>
          </w:tcPr>
          <w:p w14:paraId="7F7671EF" w14:textId="3AA1C09B" w:rsidR="00F61225" w:rsidRPr="00885592" w:rsidRDefault="00F61225" w:rsidP="00CD0186">
            <w:pPr>
              <w:spacing w:before="60" w:after="60" w:line="240" w:lineRule="auto"/>
              <w:rPr>
                <w:sz w:val="18"/>
                <w:szCs w:val="18"/>
              </w:rPr>
            </w:pPr>
            <w:r w:rsidRPr="00885592">
              <w:rPr>
                <w:sz w:val="18"/>
                <w:szCs w:val="18"/>
              </w:rPr>
              <w:t>180 days post-transplant discharge</w:t>
            </w:r>
            <w:r w:rsidR="00885592" w:rsidRPr="00330708">
              <w:rPr>
                <w:b/>
                <w:bCs/>
                <w:color w:val="F2F2F2" w:themeColor="background1" w:themeShade="F2"/>
                <w:sz w:val="18"/>
                <w:szCs w:val="18"/>
              </w:rPr>
              <w:fldChar w:fldCharType="begin"/>
            </w:r>
            <w:r w:rsidR="00BC31E6">
              <w:rPr>
                <w:b/>
                <w:bCs/>
                <w:color w:val="F2F2F2" w:themeColor="background1" w:themeShade="F2"/>
                <w:sz w:val="18"/>
                <w:szCs w:val="18"/>
              </w:rPr>
              <w:instrText xml:space="preserve"> ADDIN ZOTERO_ITEM CSL_CITATION {"citationID":"0oYAUBKs","properties":{"formattedCitation":"\\super 41\\nosupersub{}","plainCitation":"41","noteIndex":0},"citationItems":[{"id":6308,"uris":["http://zotero.org/groups/2828856/items/JP6GVDCP"],"itemData":{"id":6308,"type":"article-journal","language":"en","page":"24","source":"Zotero","title":"2020 U.S. organ and tissue transplants","issued":{"date-parts":[["2020"]]}}}],"schema":"https://github.com/citation-style-language/schema/raw/master/csl-citation.json"} </w:instrText>
            </w:r>
            <w:r w:rsidR="00885592" w:rsidRPr="00330708">
              <w:rPr>
                <w:b/>
                <w:bCs/>
                <w:color w:val="F2F2F2" w:themeColor="background1" w:themeShade="F2"/>
                <w:sz w:val="18"/>
                <w:szCs w:val="18"/>
              </w:rPr>
              <w:fldChar w:fldCharType="separate"/>
            </w:r>
            <w:r w:rsidR="00BC31E6" w:rsidRPr="00BC31E6">
              <w:rPr>
                <w:rFonts w:cs="Arial"/>
                <w:sz w:val="18"/>
                <w:vertAlign w:val="superscript"/>
              </w:rPr>
              <w:t>41</w:t>
            </w:r>
            <w:r w:rsidR="00885592" w:rsidRPr="00330708">
              <w:rPr>
                <w:b/>
                <w:bCs/>
                <w:color w:val="F2F2F2" w:themeColor="background1" w:themeShade="F2"/>
                <w:sz w:val="18"/>
                <w:szCs w:val="18"/>
              </w:rPr>
              <w:fldChar w:fldCharType="end"/>
            </w:r>
          </w:p>
        </w:tc>
        <w:tc>
          <w:tcPr>
            <w:tcW w:w="2122" w:type="pct"/>
            <w:vAlign w:val="center"/>
          </w:tcPr>
          <w:p w14:paraId="7DFDD9C1" w14:textId="77777777" w:rsidR="00F61225" w:rsidRPr="002A2F05" w:rsidRDefault="00F61225" w:rsidP="00CD0186">
            <w:pPr>
              <w:spacing w:before="60" w:after="60" w:line="240" w:lineRule="auto"/>
              <w:rPr>
                <w:sz w:val="18"/>
                <w:szCs w:val="18"/>
              </w:rPr>
            </w:pPr>
            <w:r w:rsidRPr="002A2F05">
              <w:rPr>
                <w:sz w:val="18"/>
                <w:szCs w:val="18"/>
              </w:rPr>
              <w:t>$87,665</w:t>
            </w:r>
          </w:p>
        </w:tc>
      </w:tr>
      <w:tr w:rsidR="00F61225" w:rsidRPr="002A2F05" w14:paraId="085A79D4" w14:textId="77777777" w:rsidTr="00CD0186">
        <w:trPr>
          <w:trHeight w:val="20"/>
          <w:tblHeader/>
        </w:trPr>
        <w:tc>
          <w:tcPr>
            <w:tcW w:w="2878" w:type="pct"/>
            <w:vAlign w:val="bottom"/>
          </w:tcPr>
          <w:p w14:paraId="6BA4376B" w14:textId="305363E2" w:rsidR="00F61225" w:rsidRPr="00885592" w:rsidRDefault="00F61225" w:rsidP="00CD0186">
            <w:pPr>
              <w:spacing w:before="60" w:after="60" w:line="240" w:lineRule="auto"/>
              <w:rPr>
                <w:sz w:val="18"/>
                <w:szCs w:val="18"/>
              </w:rPr>
            </w:pPr>
            <w:r w:rsidRPr="00885592">
              <w:rPr>
                <w:sz w:val="18"/>
                <w:szCs w:val="18"/>
              </w:rPr>
              <w:t>Outpatient immunosuppressants and other medications</w:t>
            </w:r>
            <w:r w:rsidR="00885592" w:rsidRPr="00330708">
              <w:rPr>
                <w:b/>
                <w:bCs/>
                <w:color w:val="F2F2F2" w:themeColor="background1" w:themeShade="F2"/>
                <w:sz w:val="18"/>
                <w:szCs w:val="18"/>
              </w:rPr>
              <w:fldChar w:fldCharType="begin"/>
            </w:r>
            <w:r w:rsidR="00BC31E6">
              <w:rPr>
                <w:b/>
                <w:bCs/>
                <w:color w:val="F2F2F2" w:themeColor="background1" w:themeShade="F2"/>
                <w:sz w:val="18"/>
                <w:szCs w:val="18"/>
              </w:rPr>
              <w:instrText xml:space="preserve"> ADDIN ZOTERO_ITEM CSL_CITATION {"citationID":"9qwDjyW2","properties":{"formattedCitation":"\\super 41\\nosupersub{}","plainCitation":"41","noteIndex":0},"citationItems":[{"id":6308,"uris":["http://zotero.org/groups/2828856/items/JP6GVDCP"],"itemData":{"id":6308,"type":"article-journal","language":"en","page":"24","source":"Zotero","title":"2020 U.S. organ and tissue transplants","issued":{"date-parts":[["2020"]]}}}],"schema":"https://github.com/citation-style-language/schema/raw/master/csl-citation.json"} </w:instrText>
            </w:r>
            <w:r w:rsidR="00885592" w:rsidRPr="00330708">
              <w:rPr>
                <w:b/>
                <w:bCs/>
                <w:color w:val="F2F2F2" w:themeColor="background1" w:themeShade="F2"/>
                <w:sz w:val="18"/>
                <w:szCs w:val="18"/>
              </w:rPr>
              <w:fldChar w:fldCharType="separate"/>
            </w:r>
            <w:r w:rsidR="00BC31E6" w:rsidRPr="00BC31E6">
              <w:rPr>
                <w:rFonts w:cs="Arial"/>
                <w:sz w:val="18"/>
                <w:vertAlign w:val="superscript"/>
              </w:rPr>
              <w:t>41</w:t>
            </w:r>
            <w:r w:rsidR="00885592" w:rsidRPr="00330708">
              <w:rPr>
                <w:b/>
                <w:bCs/>
                <w:color w:val="F2F2F2" w:themeColor="background1" w:themeShade="F2"/>
                <w:sz w:val="18"/>
                <w:szCs w:val="18"/>
              </w:rPr>
              <w:fldChar w:fldCharType="end"/>
            </w:r>
          </w:p>
        </w:tc>
        <w:tc>
          <w:tcPr>
            <w:tcW w:w="2122" w:type="pct"/>
            <w:vAlign w:val="center"/>
          </w:tcPr>
          <w:p w14:paraId="15EEE1D6" w14:textId="77777777" w:rsidR="00F61225" w:rsidRPr="002A2F05" w:rsidRDefault="00F61225" w:rsidP="00CD0186">
            <w:pPr>
              <w:spacing w:before="60" w:after="60" w:line="240" w:lineRule="auto"/>
              <w:rPr>
                <w:sz w:val="18"/>
                <w:szCs w:val="18"/>
              </w:rPr>
            </w:pPr>
            <w:r w:rsidRPr="002A2F05">
              <w:rPr>
                <w:sz w:val="18"/>
                <w:szCs w:val="18"/>
              </w:rPr>
              <w:t>$32,708</w:t>
            </w:r>
          </w:p>
        </w:tc>
      </w:tr>
      <w:tr w:rsidR="00F61225" w:rsidRPr="002A2F05" w14:paraId="38726FFC" w14:textId="77777777" w:rsidTr="00CD0186">
        <w:trPr>
          <w:trHeight w:val="98"/>
          <w:tblHeader/>
        </w:trPr>
        <w:tc>
          <w:tcPr>
            <w:tcW w:w="2878" w:type="pct"/>
            <w:shd w:val="clear" w:color="auto" w:fill="BFBFBF" w:themeFill="background1" w:themeFillShade="BF"/>
            <w:vAlign w:val="bottom"/>
          </w:tcPr>
          <w:p w14:paraId="12007E81" w14:textId="77777777" w:rsidR="00F61225" w:rsidRPr="002A2F05" w:rsidRDefault="00F61225" w:rsidP="00CD0186">
            <w:pPr>
              <w:spacing w:before="60" w:after="60" w:line="240" w:lineRule="auto"/>
              <w:rPr>
                <w:b/>
                <w:bCs/>
                <w:sz w:val="18"/>
                <w:szCs w:val="18"/>
              </w:rPr>
            </w:pPr>
            <w:r w:rsidRPr="002A2F05">
              <w:rPr>
                <w:b/>
                <w:bCs/>
                <w:sz w:val="18"/>
                <w:szCs w:val="18"/>
              </w:rPr>
              <w:t>Total</w:t>
            </w:r>
          </w:p>
        </w:tc>
        <w:tc>
          <w:tcPr>
            <w:tcW w:w="2122" w:type="pct"/>
            <w:shd w:val="clear" w:color="auto" w:fill="BFBFBF" w:themeFill="background1" w:themeFillShade="BF"/>
            <w:vAlign w:val="center"/>
          </w:tcPr>
          <w:p w14:paraId="3801CF17" w14:textId="77777777" w:rsidR="00F61225" w:rsidRPr="002A2F05" w:rsidRDefault="00F61225" w:rsidP="00CD0186">
            <w:pPr>
              <w:spacing w:before="60" w:after="60" w:line="240" w:lineRule="auto"/>
              <w:rPr>
                <w:b/>
                <w:bCs/>
                <w:sz w:val="18"/>
                <w:szCs w:val="18"/>
              </w:rPr>
            </w:pPr>
            <w:r w:rsidRPr="002A2F05">
              <w:rPr>
                <w:b/>
                <w:bCs/>
                <w:sz w:val="18"/>
                <w:szCs w:val="18"/>
              </w:rPr>
              <w:t>$453,703</w:t>
            </w:r>
          </w:p>
        </w:tc>
      </w:tr>
    </w:tbl>
    <w:p w14:paraId="532CF96F" w14:textId="77777777" w:rsidR="00F61225" w:rsidRDefault="00F61225" w:rsidP="007A654A">
      <w:pPr>
        <w:widowControl w:val="0"/>
        <w:rPr>
          <w:rFonts w:cs="Arial"/>
          <w:b/>
          <w:szCs w:val="20"/>
        </w:rPr>
      </w:pPr>
    </w:p>
    <w:p w14:paraId="456DD8D6" w14:textId="38303D0E" w:rsidR="00286BB3" w:rsidRPr="002A2F05" w:rsidRDefault="00286BB3" w:rsidP="002A2F05">
      <w:pPr>
        <w:keepNext/>
        <w:widowControl w:val="0"/>
        <w:rPr>
          <w:rFonts w:cs="Arial"/>
        </w:rPr>
      </w:pPr>
      <w:r w:rsidRPr="002A2F05">
        <w:rPr>
          <w:rFonts w:cs="Arial"/>
          <w:b/>
          <w:bCs/>
        </w:rPr>
        <w:t xml:space="preserve">Supplementary Table </w:t>
      </w:r>
      <w:r w:rsidR="00B3197B">
        <w:rPr>
          <w:rFonts w:cs="Arial"/>
          <w:b/>
          <w:bCs/>
        </w:rPr>
        <w:t>9</w:t>
      </w:r>
      <w:r w:rsidR="00265658" w:rsidRPr="002A2F05">
        <w:rPr>
          <w:rFonts w:cs="Arial"/>
          <w:b/>
          <w:bCs/>
        </w:rPr>
        <w:t>.</w:t>
      </w:r>
      <w:r w:rsidRPr="002A2F05">
        <w:rPr>
          <w:rFonts w:cs="Arial"/>
          <w:b/>
          <w:bCs/>
        </w:rPr>
        <w:t xml:space="preserve"> </w:t>
      </w:r>
      <w:r w:rsidR="00FB481E" w:rsidRPr="002A2F05">
        <w:rPr>
          <w:rFonts w:cs="Arial"/>
        </w:rPr>
        <w:t>Productivity loss costs (USD)</w:t>
      </w:r>
    </w:p>
    <w:tbl>
      <w:tblPr>
        <w:tblStyle w:val="TableGrid"/>
        <w:tblW w:w="5000" w:type="pct"/>
        <w:tblLook w:val="04A0" w:firstRow="1" w:lastRow="0" w:firstColumn="1" w:lastColumn="0" w:noHBand="0" w:noVBand="1"/>
      </w:tblPr>
      <w:tblGrid>
        <w:gridCol w:w="1817"/>
        <w:gridCol w:w="1365"/>
        <w:gridCol w:w="1364"/>
        <w:gridCol w:w="1364"/>
        <w:gridCol w:w="1360"/>
        <w:gridCol w:w="1360"/>
      </w:tblGrid>
      <w:tr w:rsidR="00D758AC" w:rsidRPr="002A2F05" w14:paraId="24CDF28A" w14:textId="77777777" w:rsidTr="00D758AC">
        <w:trPr>
          <w:trHeight w:val="70"/>
          <w:tblHeader/>
        </w:trPr>
        <w:tc>
          <w:tcPr>
            <w:tcW w:w="1053" w:type="pct"/>
            <w:tcBorders>
              <w:top w:val="single" w:sz="4" w:space="0" w:color="auto"/>
              <w:left w:val="single" w:sz="4" w:space="0" w:color="auto"/>
              <w:bottom w:val="nil"/>
              <w:right w:val="nil"/>
            </w:tcBorders>
            <w:shd w:val="clear" w:color="auto" w:fill="808080" w:themeFill="background1" w:themeFillShade="80"/>
          </w:tcPr>
          <w:p w14:paraId="7B670346" w14:textId="77777777" w:rsidR="00D758AC" w:rsidRPr="002A2F05" w:rsidRDefault="00D758AC" w:rsidP="00D758AC">
            <w:pPr>
              <w:spacing w:before="60" w:after="60" w:line="240" w:lineRule="auto"/>
              <w:rPr>
                <w:b/>
                <w:bCs/>
                <w:color w:val="FFFFFF" w:themeColor="background1"/>
                <w:sz w:val="18"/>
                <w:szCs w:val="18"/>
              </w:rPr>
            </w:pPr>
          </w:p>
        </w:tc>
        <w:tc>
          <w:tcPr>
            <w:tcW w:w="791" w:type="pct"/>
            <w:tcBorders>
              <w:top w:val="single" w:sz="4" w:space="0" w:color="auto"/>
              <w:left w:val="nil"/>
              <w:bottom w:val="nil"/>
              <w:right w:val="nil"/>
            </w:tcBorders>
            <w:shd w:val="clear" w:color="auto" w:fill="808080" w:themeFill="background1" w:themeFillShade="80"/>
          </w:tcPr>
          <w:p w14:paraId="39F595FB" w14:textId="77777777" w:rsidR="00D758AC" w:rsidRPr="002A2F05" w:rsidRDefault="00D758AC" w:rsidP="00D758AC">
            <w:pPr>
              <w:spacing w:before="60" w:after="60" w:line="240" w:lineRule="auto"/>
              <w:rPr>
                <w:b/>
                <w:bCs/>
                <w:color w:val="FFFFFF" w:themeColor="background1"/>
                <w:sz w:val="18"/>
                <w:szCs w:val="18"/>
              </w:rPr>
            </w:pPr>
            <w:r w:rsidRPr="002A2F05">
              <w:rPr>
                <w:b/>
                <w:bCs/>
                <w:color w:val="FFFFFF" w:themeColor="background1"/>
                <w:sz w:val="18"/>
                <w:szCs w:val="18"/>
              </w:rPr>
              <w:t>CKD 3a</w:t>
            </w:r>
          </w:p>
        </w:tc>
        <w:tc>
          <w:tcPr>
            <w:tcW w:w="790" w:type="pct"/>
            <w:tcBorders>
              <w:top w:val="single" w:sz="4" w:space="0" w:color="auto"/>
              <w:left w:val="nil"/>
              <w:bottom w:val="nil"/>
              <w:right w:val="nil"/>
            </w:tcBorders>
            <w:shd w:val="clear" w:color="auto" w:fill="808080" w:themeFill="background1" w:themeFillShade="80"/>
          </w:tcPr>
          <w:p w14:paraId="1D879A46" w14:textId="77777777" w:rsidR="00D758AC" w:rsidRPr="002A2F05" w:rsidRDefault="00D758AC" w:rsidP="00D758AC">
            <w:pPr>
              <w:spacing w:before="60" w:after="60" w:line="240" w:lineRule="auto"/>
              <w:rPr>
                <w:b/>
                <w:bCs/>
                <w:color w:val="FFFFFF" w:themeColor="background1"/>
                <w:sz w:val="18"/>
                <w:szCs w:val="18"/>
              </w:rPr>
            </w:pPr>
            <w:r w:rsidRPr="002A2F05">
              <w:rPr>
                <w:b/>
                <w:bCs/>
                <w:color w:val="FFFFFF" w:themeColor="background1"/>
                <w:sz w:val="18"/>
                <w:szCs w:val="18"/>
              </w:rPr>
              <w:t>CKD 3b</w:t>
            </w:r>
          </w:p>
        </w:tc>
        <w:tc>
          <w:tcPr>
            <w:tcW w:w="790" w:type="pct"/>
            <w:tcBorders>
              <w:top w:val="single" w:sz="4" w:space="0" w:color="auto"/>
              <w:left w:val="nil"/>
              <w:bottom w:val="nil"/>
              <w:right w:val="nil"/>
            </w:tcBorders>
            <w:shd w:val="clear" w:color="auto" w:fill="808080" w:themeFill="background1" w:themeFillShade="80"/>
          </w:tcPr>
          <w:p w14:paraId="76362BF8" w14:textId="77777777" w:rsidR="00D758AC" w:rsidRPr="002A2F05" w:rsidRDefault="00D758AC" w:rsidP="00D758AC">
            <w:pPr>
              <w:spacing w:before="60" w:after="60" w:line="240" w:lineRule="auto"/>
              <w:rPr>
                <w:b/>
                <w:bCs/>
                <w:color w:val="FFFFFF" w:themeColor="background1"/>
                <w:sz w:val="18"/>
                <w:szCs w:val="18"/>
              </w:rPr>
            </w:pPr>
            <w:r w:rsidRPr="002A2F05">
              <w:rPr>
                <w:b/>
                <w:bCs/>
                <w:color w:val="FFFFFF" w:themeColor="background1"/>
                <w:sz w:val="18"/>
                <w:szCs w:val="18"/>
              </w:rPr>
              <w:t>CKD 4</w:t>
            </w:r>
          </w:p>
        </w:tc>
        <w:tc>
          <w:tcPr>
            <w:tcW w:w="788" w:type="pct"/>
            <w:tcBorders>
              <w:top w:val="single" w:sz="4" w:space="0" w:color="auto"/>
              <w:left w:val="nil"/>
              <w:bottom w:val="nil"/>
              <w:right w:val="nil"/>
            </w:tcBorders>
            <w:shd w:val="clear" w:color="auto" w:fill="808080" w:themeFill="background1" w:themeFillShade="80"/>
          </w:tcPr>
          <w:p w14:paraId="1741C04F" w14:textId="77777777" w:rsidR="00D758AC" w:rsidRPr="002A2F05" w:rsidRDefault="00D758AC" w:rsidP="00D758AC">
            <w:pPr>
              <w:spacing w:before="60" w:after="60" w:line="240" w:lineRule="auto"/>
              <w:rPr>
                <w:b/>
                <w:bCs/>
                <w:color w:val="FFFFFF" w:themeColor="background1"/>
                <w:sz w:val="18"/>
                <w:szCs w:val="18"/>
              </w:rPr>
            </w:pPr>
            <w:r w:rsidRPr="002A2F05">
              <w:rPr>
                <w:b/>
                <w:bCs/>
                <w:color w:val="FFFFFF" w:themeColor="background1"/>
                <w:sz w:val="18"/>
                <w:szCs w:val="18"/>
              </w:rPr>
              <w:t>ESRD w/o dialysis</w:t>
            </w:r>
          </w:p>
        </w:tc>
        <w:tc>
          <w:tcPr>
            <w:tcW w:w="788" w:type="pct"/>
            <w:tcBorders>
              <w:top w:val="single" w:sz="4" w:space="0" w:color="auto"/>
              <w:left w:val="nil"/>
              <w:bottom w:val="nil"/>
              <w:right w:val="single" w:sz="4" w:space="0" w:color="auto"/>
            </w:tcBorders>
            <w:shd w:val="clear" w:color="auto" w:fill="808080" w:themeFill="background1" w:themeFillShade="80"/>
          </w:tcPr>
          <w:p w14:paraId="507B49E0" w14:textId="77777777" w:rsidR="00D758AC" w:rsidRPr="002A2F05" w:rsidRDefault="00D758AC" w:rsidP="00D758AC">
            <w:pPr>
              <w:spacing w:before="60" w:after="60" w:line="240" w:lineRule="auto"/>
              <w:rPr>
                <w:b/>
                <w:bCs/>
                <w:color w:val="FFFFFF" w:themeColor="background1"/>
                <w:sz w:val="18"/>
                <w:szCs w:val="18"/>
              </w:rPr>
            </w:pPr>
            <w:r w:rsidRPr="002A2F05">
              <w:rPr>
                <w:b/>
                <w:bCs/>
                <w:color w:val="FFFFFF" w:themeColor="background1"/>
                <w:sz w:val="18"/>
                <w:szCs w:val="18"/>
              </w:rPr>
              <w:t>ESRD w dialysis</w:t>
            </w:r>
          </w:p>
        </w:tc>
      </w:tr>
      <w:tr w:rsidR="00D758AC" w:rsidRPr="002A2F05" w14:paraId="70A81BBC" w14:textId="77777777" w:rsidTr="00CD0186">
        <w:trPr>
          <w:trHeight w:val="63"/>
          <w:tblHeader/>
        </w:trPr>
        <w:tc>
          <w:tcPr>
            <w:tcW w:w="1053" w:type="pct"/>
            <w:tcBorders>
              <w:top w:val="nil"/>
            </w:tcBorders>
            <w:vAlign w:val="bottom"/>
          </w:tcPr>
          <w:p w14:paraId="0BDE5BA6" w14:textId="77777777" w:rsidR="00D758AC" w:rsidRPr="002A2F05" w:rsidRDefault="00D758AC" w:rsidP="00D758AC">
            <w:pPr>
              <w:spacing w:before="60" w:after="60" w:line="240" w:lineRule="auto"/>
              <w:rPr>
                <w:color w:val="000000" w:themeColor="text1"/>
                <w:sz w:val="18"/>
                <w:szCs w:val="18"/>
              </w:rPr>
            </w:pPr>
            <w:r w:rsidRPr="002A2F05">
              <w:rPr>
                <w:color w:val="000000" w:themeColor="text1"/>
                <w:sz w:val="18"/>
                <w:szCs w:val="18"/>
              </w:rPr>
              <w:t>Cost per week</w:t>
            </w:r>
          </w:p>
        </w:tc>
        <w:tc>
          <w:tcPr>
            <w:tcW w:w="791" w:type="pct"/>
            <w:tcBorders>
              <w:top w:val="nil"/>
            </w:tcBorders>
            <w:vAlign w:val="center"/>
          </w:tcPr>
          <w:p w14:paraId="6C6E95AA" w14:textId="77777777" w:rsidR="00D758AC" w:rsidRPr="002A2F05" w:rsidRDefault="00D758AC" w:rsidP="00D758AC">
            <w:pPr>
              <w:spacing w:before="60" w:after="60" w:line="240" w:lineRule="auto"/>
              <w:rPr>
                <w:sz w:val="18"/>
                <w:szCs w:val="18"/>
              </w:rPr>
            </w:pPr>
            <w:r w:rsidRPr="002A2F05">
              <w:rPr>
                <w:sz w:val="18"/>
                <w:szCs w:val="18"/>
              </w:rPr>
              <w:t>$151</w:t>
            </w:r>
          </w:p>
        </w:tc>
        <w:tc>
          <w:tcPr>
            <w:tcW w:w="790" w:type="pct"/>
            <w:tcBorders>
              <w:top w:val="nil"/>
            </w:tcBorders>
            <w:vAlign w:val="center"/>
          </w:tcPr>
          <w:p w14:paraId="69709AF5" w14:textId="77777777" w:rsidR="00D758AC" w:rsidRPr="002A2F05" w:rsidRDefault="00D758AC" w:rsidP="00D758AC">
            <w:pPr>
              <w:spacing w:before="60" w:after="60" w:line="240" w:lineRule="auto"/>
              <w:rPr>
                <w:sz w:val="18"/>
                <w:szCs w:val="18"/>
              </w:rPr>
            </w:pPr>
            <w:r w:rsidRPr="002A2F05">
              <w:rPr>
                <w:sz w:val="18"/>
                <w:szCs w:val="18"/>
              </w:rPr>
              <w:t>$154</w:t>
            </w:r>
          </w:p>
        </w:tc>
        <w:tc>
          <w:tcPr>
            <w:tcW w:w="790" w:type="pct"/>
            <w:tcBorders>
              <w:top w:val="nil"/>
            </w:tcBorders>
            <w:vAlign w:val="center"/>
          </w:tcPr>
          <w:p w14:paraId="1FF5A11E" w14:textId="77777777" w:rsidR="00D758AC" w:rsidRPr="002A2F05" w:rsidRDefault="00D758AC" w:rsidP="00D758AC">
            <w:pPr>
              <w:spacing w:before="60" w:after="60" w:line="240" w:lineRule="auto"/>
              <w:rPr>
                <w:sz w:val="18"/>
                <w:szCs w:val="18"/>
              </w:rPr>
            </w:pPr>
            <w:r w:rsidRPr="002A2F05">
              <w:rPr>
                <w:sz w:val="18"/>
                <w:szCs w:val="18"/>
              </w:rPr>
              <w:t>$215</w:t>
            </w:r>
          </w:p>
        </w:tc>
        <w:tc>
          <w:tcPr>
            <w:tcW w:w="788" w:type="pct"/>
            <w:tcBorders>
              <w:top w:val="nil"/>
            </w:tcBorders>
            <w:vAlign w:val="center"/>
          </w:tcPr>
          <w:p w14:paraId="2D32B5E5" w14:textId="77777777" w:rsidR="00D758AC" w:rsidRPr="002A2F05" w:rsidRDefault="00D758AC" w:rsidP="00D758AC">
            <w:pPr>
              <w:spacing w:before="60" w:after="60" w:line="240" w:lineRule="auto"/>
              <w:rPr>
                <w:sz w:val="18"/>
                <w:szCs w:val="18"/>
              </w:rPr>
            </w:pPr>
            <w:r w:rsidRPr="002A2F05">
              <w:rPr>
                <w:sz w:val="18"/>
                <w:szCs w:val="18"/>
              </w:rPr>
              <w:t>$245</w:t>
            </w:r>
          </w:p>
        </w:tc>
        <w:tc>
          <w:tcPr>
            <w:tcW w:w="788" w:type="pct"/>
            <w:tcBorders>
              <w:top w:val="nil"/>
            </w:tcBorders>
            <w:vAlign w:val="center"/>
          </w:tcPr>
          <w:p w14:paraId="0D78DC4D" w14:textId="77777777" w:rsidR="00D758AC" w:rsidRPr="002A2F05" w:rsidRDefault="00D758AC" w:rsidP="00D758AC">
            <w:pPr>
              <w:spacing w:before="60" w:after="60" w:line="240" w:lineRule="auto"/>
              <w:rPr>
                <w:sz w:val="18"/>
                <w:szCs w:val="18"/>
              </w:rPr>
            </w:pPr>
            <w:r w:rsidRPr="002A2F05">
              <w:rPr>
                <w:sz w:val="18"/>
                <w:szCs w:val="18"/>
              </w:rPr>
              <w:t>$265</w:t>
            </w:r>
          </w:p>
        </w:tc>
      </w:tr>
      <w:tr w:rsidR="00D758AC" w:rsidRPr="002A2F05" w14:paraId="47D88E30" w14:textId="77777777" w:rsidTr="00CD0186">
        <w:trPr>
          <w:trHeight w:val="20"/>
          <w:tblHeader/>
        </w:trPr>
        <w:tc>
          <w:tcPr>
            <w:tcW w:w="1053" w:type="pct"/>
            <w:vAlign w:val="bottom"/>
          </w:tcPr>
          <w:p w14:paraId="7C3CEA1D" w14:textId="77777777" w:rsidR="00D758AC" w:rsidRPr="002A2F05" w:rsidRDefault="00D758AC" w:rsidP="00D758AC">
            <w:pPr>
              <w:spacing w:before="60" w:after="60" w:line="240" w:lineRule="auto"/>
              <w:rPr>
                <w:sz w:val="18"/>
                <w:szCs w:val="18"/>
              </w:rPr>
            </w:pPr>
            <w:r w:rsidRPr="002A2F05">
              <w:rPr>
                <w:color w:val="000000" w:themeColor="text1"/>
                <w:sz w:val="18"/>
                <w:szCs w:val="18"/>
              </w:rPr>
              <w:t>Cost per month</w:t>
            </w:r>
          </w:p>
        </w:tc>
        <w:tc>
          <w:tcPr>
            <w:tcW w:w="791" w:type="pct"/>
            <w:vAlign w:val="center"/>
          </w:tcPr>
          <w:p w14:paraId="47EE4D40" w14:textId="77777777" w:rsidR="00D758AC" w:rsidRPr="002A2F05" w:rsidRDefault="00D758AC" w:rsidP="00D758AC">
            <w:pPr>
              <w:spacing w:before="60" w:after="60" w:line="240" w:lineRule="auto"/>
              <w:rPr>
                <w:sz w:val="18"/>
                <w:szCs w:val="18"/>
              </w:rPr>
            </w:pPr>
            <w:r w:rsidRPr="002A2F05">
              <w:rPr>
                <w:sz w:val="18"/>
                <w:szCs w:val="18"/>
              </w:rPr>
              <w:t>$658</w:t>
            </w:r>
          </w:p>
        </w:tc>
        <w:tc>
          <w:tcPr>
            <w:tcW w:w="790" w:type="pct"/>
            <w:vAlign w:val="center"/>
          </w:tcPr>
          <w:p w14:paraId="1C166DB0" w14:textId="77777777" w:rsidR="00D758AC" w:rsidRPr="002A2F05" w:rsidRDefault="00D758AC" w:rsidP="00D758AC">
            <w:pPr>
              <w:spacing w:before="60" w:after="60" w:line="240" w:lineRule="auto"/>
              <w:rPr>
                <w:sz w:val="18"/>
                <w:szCs w:val="18"/>
              </w:rPr>
            </w:pPr>
            <w:r w:rsidRPr="002A2F05">
              <w:rPr>
                <w:sz w:val="18"/>
                <w:szCs w:val="18"/>
              </w:rPr>
              <w:t>$670</w:t>
            </w:r>
          </w:p>
        </w:tc>
        <w:tc>
          <w:tcPr>
            <w:tcW w:w="790" w:type="pct"/>
            <w:vAlign w:val="center"/>
          </w:tcPr>
          <w:p w14:paraId="237ABFD2" w14:textId="77777777" w:rsidR="00D758AC" w:rsidRPr="002A2F05" w:rsidRDefault="00D758AC" w:rsidP="00D758AC">
            <w:pPr>
              <w:spacing w:before="60" w:after="60" w:line="240" w:lineRule="auto"/>
              <w:rPr>
                <w:sz w:val="18"/>
                <w:szCs w:val="18"/>
              </w:rPr>
            </w:pPr>
            <w:r w:rsidRPr="002A2F05">
              <w:rPr>
                <w:sz w:val="18"/>
                <w:szCs w:val="18"/>
              </w:rPr>
              <w:t>$935</w:t>
            </w:r>
          </w:p>
        </w:tc>
        <w:tc>
          <w:tcPr>
            <w:tcW w:w="788" w:type="pct"/>
            <w:vAlign w:val="center"/>
          </w:tcPr>
          <w:p w14:paraId="371DAEAF" w14:textId="77777777" w:rsidR="00D758AC" w:rsidRPr="002A2F05" w:rsidRDefault="00D758AC" w:rsidP="00D758AC">
            <w:pPr>
              <w:spacing w:before="60" w:after="60" w:line="240" w:lineRule="auto"/>
              <w:rPr>
                <w:sz w:val="18"/>
                <w:szCs w:val="18"/>
              </w:rPr>
            </w:pPr>
            <w:r w:rsidRPr="002A2F05">
              <w:rPr>
                <w:sz w:val="18"/>
                <w:szCs w:val="18"/>
              </w:rPr>
              <w:t>$1,066</w:t>
            </w:r>
          </w:p>
        </w:tc>
        <w:tc>
          <w:tcPr>
            <w:tcW w:w="788" w:type="pct"/>
            <w:vAlign w:val="center"/>
          </w:tcPr>
          <w:p w14:paraId="08C34FC9" w14:textId="77777777" w:rsidR="00D758AC" w:rsidRPr="002A2F05" w:rsidRDefault="00D758AC" w:rsidP="00D758AC">
            <w:pPr>
              <w:spacing w:before="60" w:after="60" w:line="240" w:lineRule="auto"/>
              <w:rPr>
                <w:sz w:val="18"/>
                <w:szCs w:val="18"/>
              </w:rPr>
            </w:pPr>
            <w:r w:rsidRPr="002A2F05">
              <w:rPr>
                <w:sz w:val="18"/>
                <w:szCs w:val="18"/>
              </w:rPr>
              <w:t>$1,152</w:t>
            </w:r>
          </w:p>
        </w:tc>
      </w:tr>
    </w:tbl>
    <w:p w14:paraId="1BD6CD25" w14:textId="2BE8C31F" w:rsidR="00286BB3" w:rsidRPr="002A2F05" w:rsidRDefault="00D758AC" w:rsidP="00265658">
      <w:pPr>
        <w:pStyle w:val="tablelegend"/>
      </w:pPr>
      <w:r w:rsidRPr="002A2F05">
        <w:rPr>
          <w:b/>
        </w:rPr>
        <w:lastRenderedPageBreak/>
        <w:t>Abbreviations:</w:t>
      </w:r>
      <w:r w:rsidRPr="002A2F05">
        <w:t xml:space="preserve"> </w:t>
      </w:r>
      <w:r w:rsidR="006A0185" w:rsidRPr="002A2F05">
        <w:t>CKD, chronic kidney disease; ESRD, end-stage renal disease; USD, United States dollar</w:t>
      </w:r>
      <w:r w:rsidR="00E978B0" w:rsidRPr="002A2F05">
        <w:t>; w, with; w/o, without</w:t>
      </w:r>
    </w:p>
    <w:p w14:paraId="21A4506A" w14:textId="77777777" w:rsidR="00035B4E" w:rsidRPr="002A2F05" w:rsidRDefault="00035B4E" w:rsidP="00EE0017">
      <w:pPr>
        <w:widowControl w:val="0"/>
        <w:rPr>
          <w:rFonts w:cs="Arial"/>
        </w:rPr>
      </w:pPr>
    </w:p>
    <w:p w14:paraId="16200D0D" w14:textId="7850ED34" w:rsidR="000D6695" w:rsidRPr="002A2F05" w:rsidRDefault="000D6695" w:rsidP="000D6695">
      <w:pPr>
        <w:widowControl w:val="0"/>
        <w:rPr>
          <w:rFonts w:cs="Arial"/>
        </w:rPr>
      </w:pPr>
      <w:r w:rsidRPr="002A2F05">
        <w:rPr>
          <w:rFonts w:cs="Arial"/>
          <w:b/>
          <w:bCs/>
        </w:rPr>
        <w:t xml:space="preserve">Supplementary Table </w:t>
      </w:r>
      <w:r w:rsidR="009E0654" w:rsidRPr="002A2F05">
        <w:rPr>
          <w:rFonts w:cs="Arial"/>
          <w:b/>
          <w:bCs/>
        </w:rPr>
        <w:t>1</w:t>
      </w:r>
      <w:r w:rsidR="00B3197B">
        <w:rPr>
          <w:rFonts w:cs="Arial"/>
          <w:b/>
          <w:bCs/>
        </w:rPr>
        <w:t>0</w:t>
      </w:r>
      <w:r w:rsidR="00265658" w:rsidRPr="002A2F05">
        <w:rPr>
          <w:rFonts w:cs="Arial"/>
          <w:b/>
          <w:bCs/>
        </w:rPr>
        <w:t>.</w:t>
      </w:r>
      <w:r w:rsidRPr="002A2F05">
        <w:rPr>
          <w:rFonts w:cs="Arial"/>
          <w:b/>
          <w:bCs/>
        </w:rPr>
        <w:t xml:space="preserve"> </w:t>
      </w:r>
      <w:r w:rsidR="004703A1" w:rsidRPr="002A2F05">
        <w:rPr>
          <w:rFonts w:cs="Arial"/>
        </w:rPr>
        <w:t>Model health state utility data from the literature</w:t>
      </w:r>
    </w:p>
    <w:tbl>
      <w:tblPr>
        <w:tblStyle w:val="LightList-Accent11"/>
        <w:tblW w:w="5000" w:type="pct"/>
        <w:tblInd w:w="0" w:type="dxa"/>
        <w:tblLook w:val="04A0" w:firstRow="1" w:lastRow="0" w:firstColumn="1" w:lastColumn="0" w:noHBand="0" w:noVBand="1"/>
      </w:tblPr>
      <w:tblGrid>
        <w:gridCol w:w="4184"/>
        <w:gridCol w:w="4446"/>
      </w:tblGrid>
      <w:tr w:rsidR="00864F7F" w:rsidRPr="002A2F05" w14:paraId="2981DD5B" w14:textId="77777777" w:rsidTr="00D47D0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24" w:type="pct"/>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6A7E7D9E" w14:textId="77777777" w:rsidR="00864F7F" w:rsidRPr="002A2F05" w:rsidRDefault="00864F7F" w:rsidP="00CC706A">
            <w:pPr>
              <w:spacing w:before="40" w:beforeAutospacing="0" w:after="40" w:afterAutospacing="0" w:line="240" w:lineRule="auto"/>
              <w:rPr>
                <w:sz w:val="18"/>
                <w:szCs w:val="18"/>
                <w:lang w:eastAsia="en-CA"/>
              </w:rPr>
            </w:pPr>
            <w:r w:rsidRPr="002A2F05">
              <w:rPr>
                <w:sz w:val="18"/>
                <w:szCs w:val="18"/>
                <w:lang w:eastAsia="en-CA"/>
              </w:rPr>
              <w:t>Model health state</w:t>
            </w:r>
          </w:p>
        </w:tc>
        <w:tc>
          <w:tcPr>
            <w:tcW w:w="2576" w:type="pct"/>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11A607B1" w14:textId="77777777" w:rsidR="00864F7F" w:rsidRPr="002A2F05" w:rsidRDefault="00864F7F" w:rsidP="00CC706A">
            <w:pPr>
              <w:spacing w:before="40" w:beforeAutospacing="0" w:after="40" w:afterAutospacing="0" w:line="240" w:lineRule="auto"/>
              <w:cnfStyle w:val="100000000000" w:firstRow="1" w:lastRow="0" w:firstColumn="0" w:lastColumn="0" w:oddVBand="0" w:evenVBand="0" w:oddHBand="0" w:evenHBand="0" w:firstRowFirstColumn="0" w:firstRowLastColumn="0" w:lastRowFirstColumn="0" w:lastRowLastColumn="0"/>
              <w:rPr>
                <w:sz w:val="18"/>
                <w:szCs w:val="18"/>
                <w:lang w:eastAsia="en-CA"/>
              </w:rPr>
            </w:pPr>
            <w:r w:rsidRPr="002A2F05">
              <w:rPr>
                <w:sz w:val="18"/>
                <w:szCs w:val="18"/>
                <w:lang w:eastAsia="en-CA"/>
              </w:rPr>
              <w:t>Utility value</w:t>
            </w:r>
          </w:p>
        </w:tc>
      </w:tr>
      <w:tr w:rsidR="00864F7F" w:rsidRPr="002A2F05" w14:paraId="453D4E12" w14:textId="77777777" w:rsidTr="00CD018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24" w:type="pct"/>
            <w:tcBorders>
              <w:top w:val="single" w:sz="4" w:space="0" w:color="auto"/>
              <w:left w:val="single" w:sz="4" w:space="0" w:color="auto"/>
              <w:bottom w:val="single" w:sz="4" w:space="0" w:color="auto"/>
              <w:right w:val="single" w:sz="4" w:space="0" w:color="auto"/>
            </w:tcBorders>
            <w:vAlign w:val="center"/>
          </w:tcPr>
          <w:p w14:paraId="7615AD8B" w14:textId="77777777" w:rsidR="00864F7F" w:rsidRPr="002A2F05" w:rsidRDefault="00864F7F" w:rsidP="00CC706A">
            <w:pPr>
              <w:spacing w:before="40" w:after="40" w:line="240" w:lineRule="auto"/>
              <w:rPr>
                <w:color w:val="000000" w:themeColor="text1"/>
                <w:sz w:val="18"/>
                <w:szCs w:val="18"/>
              </w:rPr>
            </w:pPr>
            <w:r w:rsidRPr="002A2F05">
              <w:rPr>
                <w:color w:val="000000" w:themeColor="text1"/>
                <w:sz w:val="18"/>
                <w:szCs w:val="18"/>
              </w:rPr>
              <w:t>CKD 1</w:t>
            </w:r>
          </w:p>
        </w:tc>
        <w:tc>
          <w:tcPr>
            <w:tcW w:w="2576" w:type="pct"/>
            <w:tcBorders>
              <w:top w:val="single" w:sz="4" w:space="0" w:color="auto"/>
              <w:left w:val="single" w:sz="4" w:space="0" w:color="auto"/>
              <w:bottom w:val="single" w:sz="4" w:space="0" w:color="auto"/>
              <w:right w:val="single" w:sz="4" w:space="0" w:color="auto"/>
            </w:tcBorders>
            <w:vAlign w:val="center"/>
          </w:tcPr>
          <w:p w14:paraId="38AFA442" w14:textId="77777777" w:rsidR="00864F7F" w:rsidRPr="002A2F05" w:rsidRDefault="00864F7F" w:rsidP="00CC706A">
            <w:pPr>
              <w:spacing w:before="40" w:after="40" w:line="240" w:lineRule="auto"/>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2A2F05">
              <w:rPr>
                <w:color w:val="000000" w:themeColor="text1"/>
                <w:sz w:val="18"/>
                <w:szCs w:val="18"/>
              </w:rPr>
              <w:t>1.00</w:t>
            </w:r>
          </w:p>
        </w:tc>
      </w:tr>
      <w:tr w:rsidR="00864F7F" w:rsidRPr="002A2F05" w14:paraId="2EA6728C" w14:textId="77777777" w:rsidTr="00CD0186">
        <w:trPr>
          <w:trHeight w:val="20"/>
        </w:trPr>
        <w:tc>
          <w:tcPr>
            <w:cnfStyle w:val="001000000000" w:firstRow="0" w:lastRow="0" w:firstColumn="1" w:lastColumn="0" w:oddVBand="0" w:evenVBand="0" w:oddHBand="0" w:evenHBand="0" w:firstRowFirstColumn="0" w:firstRowLastColumn="0" w:lastRowFirstColumn="0" w:lastRowLastColumn="0"/>
            <w:tcW w:w="2424" w:type="pct"/>
            <w:tcBorders>
              <w:top w:val="single" w:sz="4" w:space="0" w:color="auto"/>
              <w:left w:val="single" w:sz="4" w:space="0" w:color="auto"/>
              <w:bottom w:val="single" w:sz="4" w:space="0" w:color="auto"/>
              <w:right w:val="single" w:sz="4" w:space="0" w:color="auto"/>
            </w:tcBorders>
            <w:vAlign w:val="center"/>
          </w:tcPr>
          <w:p w14:paraId="5BE8D710" w14:textId="77777777" w:rsidR="00864F7F" w:rsidRPr="002A2F05" w:rsidRDefault="00864F7F" w:rsidP="00CC706A">
            <w:pPr>
              <w:spacing w:before="40" w:after="40" w:line="240" w:lineRule="auto"/>
              <w:rPr>
                <w:color w:val="000000" w:themeColor="text1"/>
                <w:sz w:val="18"/>
                <w:szCs w:val="18"/>
              </w:rPr>
            </w:pPr>
            <w:r w:rsidRPr="002A2F05">
              <w:rPr>
                <w:color w:val="000000" w:themeColor="text1"/>
                <w:sz w:val="18"/>
                <w:szCs w:val="18"/>
              </w:rPr>
              <w:t>CKD 2</w:t>
            </w:r>
          </w:p>
        </w:tc>
        <w:tc>
          <w:tcPr>
            <w:tcW w:w="2576" w:type="pct"/>
            <w:tcBorders>
              <w:top w:val="single" w:sz="4" w:space="0" w:color="auto"/>
              <w:left w:val="single" w:sz="4" w:space="0" w:color="auto"/>
              <w:bottom w:val="single" w:sz="4" w:space="0" w:color="auto"/>
              <w:right w:val="single" w:sz="4" w:space="0" w:color="auto"/>
            </w:tcBorders>
            <w:vAlign w:val="center"/>
          </w:tcPr>
          <w:p w14:paraId="0E8F6871" w14:textId="77777777" w:rsidR="00864F7F" w:rsidRPr="002A2F05" w:rsidRDefault="00864F7F" w:rsidP="00CC706A">
            <w:pPr>
              <w:spacing w:before="40" w:after="40" w:line="240" w:lineRule="auto"/>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2A2F05">
              <w:rPr>
                <w:color w:val="000000" w:themeColor="text1"/>
                <w:sz w:val="18"/>
                <w:szCs w:val="18"/>
              </w:rPr>
              <w:t>0.90</w:t>
            </w:r>
          </w:p>
        </w:tc>
      </w:tr>
      <w:tr w:rsidR="00864F7F" w:rsidRPr="002A2F05" w14:paraId="44D14DEF" w14:textId="77777777" w:rsidTr="00CD018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24" w:type="pct"/>
            <w:tcBorders>
              <w:top w:val="single" w:sz="4" w:space="0" w:color="auto"/>
              <w:left w:val="single" w:sz="4" w:space="0" w:color="auto"/>
              <w:bottom w:val="single" w:sz="4" w:space="0" w:color="auto"/>
              <w:right w:val="single" w:sz="4" w:space="0" w:color="auto"/>
            </w:tcBorders>
            <w:vAlign w:val="center"/>
          </w:tcPr>
          <w:p w14:paraId="428520E1" w14:textId="77777777" w:rsidR="00864F7F" w:rsidRPr="002A2F05" w:rsidRDefault="00864F7F" w:rsidP="00CC706A">
            <w:pPr>
              <w:spacing w:before="40" w:after="40" w:line="240" w:lineRule="auto"/>
              <w:rPr>
                <w:color w:val="000000" w:themeColor="text1"/>
                <w:sz w:val="18"/>
                <w:szCs w:val="18"/>
              </w:rPr>
            </w:pPr>
            <w:r w:rsidRPr="002A2F05">
              <w:rPr>
                <w:color w:val="000000" w:themeColor="text1"/>
                <w:sz w:val="18"/>
                <w:szCs w:val="18"/>
              </w:rPr>
              <w:t>CKD 3</w:t>
            </w:r>
          </w:p>
        </w:tc>
        <w:tc>
          <w:tcPr>
            <w:tcW w:w="2576" w:type="pct"/>
            <w:tcBorders>
              <w:top w:val="single" w:sz="4" w:space="0" w:color="auto"/>
              <w:left w:val="single" w:sz="4" w:space="0" w:color="auto"/>
              <w:bottom w:val="single" w:sz="4" w:space="0" w:color="auto"/>
              <w:right w:val="single" w:sz="4" w:space="0" w:color="auto"/>
            </w:tcBorders>
            <w:vAlign w:val="center"/>
          </w:tcPr>
          <w:p w14:paraId="084B1E2D" w14:textId="77777777" w:rsidR="00864F7F" w:rsidRPr="002A2F05" w:rsidRDefault="00864F7F" w:rsidP="00CC706A">
            <w:pPr>
              <w:spacing w:before="40" w:after="40" w:line="240" w:lineRule="auto"/>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2A2F05">
              <w:rPr>
                <w:color w:val="000000" w:themeColor="text1"/>
                <w:sz w:val="18"/>
                <w:szCs w:val="18"/>
              </w:rPr>
              <w:t>0.87</w:t>
            </w:r>
          </w:p>
        </w:tc>
      </w:tr>
      <w:tr w:rsidR="00864F7F" w:rsidRPr="002A2F05" w14:paraId="4E706FF5" w14:textId="77777777" w:rsidTr="00CD0186">
        <w:trPr>
          <w:trHeight w:val="20"/>
        </w:trPr>
        <w:tc>
          <w:tcPr>
            <w:cnfStyle w:val="001000000000" w:firstRow="0" w:lastRow="0" w:firstColumn="1" w:lastColumn="0" w:oddVBand="0" w:evenVBand="0" w:oddHBand="0" w:evenHBand="0" w:firstRowFirstColumn="0" w:firstRowLastColumn="0" w:lastRowFirstColumn="0" w:lastRowLastColumn="0"/>
            <w:tcW w:w="2424" w:type="pct"/>
            <w:tcBorders>
              <w:top w:val="single" w:sz="4" w:space="0" w:color="auto"/>
              <w:left w:val="single" w:sz="4" w:space="0" w:color="auto"/>
              <w:bottom w:val="single" w:sz="4" w:space="0" w:color="auto"/>
              <w:right w:val="single" w:sz="4" w:space="0" w:color="auto"/>
            </w:tcBorders>
            <w:vAlign w:val="center"/>
          </w:tcPr>
          <w:p w14:paraId="2CA79C66" w14:textId="77777777" w:rsidR="00864F7F" w:rsidRPr="002A2F05" w:rsidRDefault="00864F7F" w:rsidP="00CC706A">
            <w:pPr>
              <w:spacing w:before="40" w:after="40" w:line="240" w:lineRule="auto"/>
              <w:rPr>
                <w:color w:val="000000" w:themeColor="text1"/>
                <w:sz w:val="18"/>
                <w:szCs w:val="18"/>
              </w:rPr>
            </w:pPr>
            <w:r w:rsidRPr="002A2F05">
              <w:rPr>
                <w:color w:val="000000" w:themeColor="text1"/>
                <w:sz w:val="18"/>
                <w:szCs w:val="18"/>
              </w:rPr>
              <w:t>CKD 4</w:t>
            </w:r>
          </w:p>
        </w:tc>
        <w:tc>
          <w:tcPr>
            <w:tcW w:w="2576" w:type="pct"/>
            <w:tcBorders>
              <w:top w:val="single" w:sz="4" w:space="0" w:color="auto"/>
              <w:left w:val="single" w:sz="4" w:space="0" w:color="auto"/>
              <w:bottom w:val="single" w:sz="4" w:space="0" w:color="auto"/>
              <w:right w:val="single" w:sz="4" w:space="0" w:color="auto"/>
            </w:tcBorders>
            <w:vAlign w:val="center"/>
          </w:tcPr>
          <w:p w14:paraId="3527AEFA" w14:textId="77777777" w:rsidR="00864F7F" w:rsidRPr="002A2F05" w:rsidRDefault="00864F7F" w:rsidP="00CC706A">
            <w:pPr>
              <w:spacing w:before="40" w:after="40" w:line="240" w:lineRule="auto"/>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2A2F05">
              <w:rPr>
                <w:color w:val="000000" w:themeColor="text1"/>
                <w:sz w:val="18"/>
                <w:szCs w:val="18"/>
              </w:rPr>
              <w:t>0.85</w:t>
            </w:r>
          </w:p>
        </w:tc>
      </w:tr>
      <w:tr w:rsidR="00864F7F" w:rsidRPr="002A2F05" w14:paraId="498BF776" w14:textId="77777777" w:rsidTr="00CD018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24" w:type="pct"/>
            <w:tcBorders>
              <w:top w:val="single" w:sz="4" w:space="0" w:color="auto"/>
              <w:left w:val="single" w:sz="4" w:space="0" w:color="auto"/>
              <w:bottom w:val="single" w:sz="4" w:space="0" w:color="auto"/>
              <w:right w:val="single" w:sz="4" w:space="0" w:color="auto"/>
            </w:tcBorders>
            <w:vAlign w:val="center"/>
          </w:tcPr>
          <w:p w14:paraId="4A83DA40" w14:textId="77777777" w:rsidR="00864F7F" w:rsidRPr="002A2F05" w:rsidRDefault="00864F7F" w:rsidP="00CC706A">
            <w:pPr>
              <w:spacing w:before="40" w:after="40" w:line="240" w:lineRule="auto"/>
              <w:rPr>
                <w:color w:val="000000" w:themeColor="text1"/>
                <w:sz w:val="18"/>
                <w:szCs w:val="18"/>
              </w:rPr>
            </w:pPr>
            <w:r w:rsidRPr="002A2F05">
              <w:rPr>
                <w:color w:val="000000" w:themeColor="text1"/>
                <w:sz w:val="18"/>
                <w:szCs w:val="18"/>
              </w:rPr>
              <w:t>ESRD without dialysis</w:t>
            </w:r>
          </w:p>
        </w:tc>
        <w:tc>
          <w:tcPr>
            <w:tcW w:w="2576" w:type="pct"/>
            <w:tcBorders>
              <w:top w:val="single" w:sz="4" w:space="0" w:color="auto"/>
              <w:left w:val="single" w:sz="4" w:space="0" w:color="auto"/>
              <w:bottom w:val="single" w:sz="4" w:space="0" w:color="auto"/>
              <w:right w:val="single" w:sz="4" w:space="0" w:color="auto"/>
            </w:tcBorders>
            <w:vAlign w:val="center"/>
          </w:tcPr>
          <w:p w14:paraId="3F58B7B2" w14:textId="77777777" w:rsidR="00864F7F" w:rsidRPr="002A2F05" w:rsidRDefault="00864F7F" w:rsidP="00CC706A">
            <w:pPr>
              <w:spacing w:before="40" w:after="40" w:line="240" w:lineRule="auto"/>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2A2F05">
              <w:rPr>
                <w:color w:val="000000" w:themeColor="text1"/>
                <w:sz w:val="18"/>
                <w:szCs w:val="18"/>
              </w:rPr>
              <w:t>0.85</w:t>
            </w:r>
          </w:p>
        </w:tc>
      </w:tr>
      <w:tr w:rsidR="00864F7F" w:rsidRPr="002A2F05" w14:paraId="36770FF3" w14:textId="77777777" w:rsidTr="00CD0186">
        <w:trPr>
          <w:trHeight w:val="20"/>
        </w:trPr>
        <w:tc>
          <w:tcPr>
            <w:cnfStyle w:val="001000000000" w:firstRow="0" w:lastRow="0" w:firstColumn="1" w:lastColumn="0" w:oddVBand="0" w:evenVBand="0" w:oddHBand="0" w:evenHBand="0" w:firstRowFirstColumn="0" w:firstRowLastColumn="0" w:lastRowFirstColumn="0" w:lastRowLastColumn="0"/>
            <w:tcW w:w="2424" w:type="pct"/>
            <w:tcBorders>
              <w:top w:val="single" w:sz="4" w:space="0" w:color="auto"/>
              <w:left w:val="single" w:sz="4" w:space="0" w:color="auto"/>
              <w:bottom w:val="single" w:sz="4" w:space="0" w:color="auto"/>
              <w:right w:val="single" w:sz="4" w:space="0" w:color="auto"/>
            </w:tcBorders>
            <w:vAlign w:val="center"/>
          </w:tcPr>
          <w:p w14:paraId="19A154DE" w14:textId="77777777" w:rsidR="00864F7F" w:rsidRPr="002A2F05" w:rsidRDefault="00864F7F" w:rsidP="00CC706A">
            <w:pPr>
              <w:spacing w:before="40" w:after="40" w:line="240" w:lineRule="auto"/>
              <w:rPr>
                <w:color w:val="000000" w:themeColor="text1"/>
                <w:sz w:val="18"/>
                <w:szCs w:val="18"/>
              </w:rPr>
            </w:pPr>
            <w:r w:rsidRPr="002A2F05">
              <w:rPr>
                <w:color w:val="000000" w:themeColor="text1"/>
                <w:sz w:val="18"/>
                <w:szCs w:val="18"/>
              </w:rPr>
              <w:t>ESRD with dialysis</w:t>
            </w:r>
          </w:p>
        </w:tc>
        <w:tc>
          <w:tcPr>
            <w:tcW w:w="2576" w:type="pct"/>
            <w:tcBorders>
              <w:top w:val="single" w:sz="4" w:space="0" w:color="auto"/>
              <w:left w:val="single" w:sz="4" w:space="0" w:color="auto"/>
              <w:bottom w:val="single" w:sz="4" w:space="0" w:color="auto"/>
              <w:right w:val="single" w:sz="4" w:space="0" w:color="auto"/>
            </w:tcBorders>
            <w:vAlign w:val="center"/>
          </w:tcPr>
          <w:p w14:paraId="5D418ACF" w14:textId="77777777" w:rsidR="00864F7F" w:rsidRPr="002A2F05" w:rsidRDefault="00864F7F" w:rsidP="00CC706A">
            <w:pPr>
              <w:spacing w:before="40" w:after="40" w:line="240" w:lineRule="auto"/>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2A2F05">
              <w:rPr>
                <w:color w:val="000000" w:themeColor="text1"/>
                <w:sz w:val="18"/>
                <w:szCs w:val="18"/>
              </w:rPr>
              <w:t>0.77</w:t>
            </w:r>
          </w:p>
        </w:tc>
      </w:tr>
      <w:tr w:rsidR="00864F7F" w:rsidRPr="002A2F05" w14:paraId="42E06925" w14:textId="77777777" w:rsidTr="00CD018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24" w:type="pct"/>
            <w:tcBorders>
              <w:top w:val="single" w:sz="4" w:space="0" w:color="auto"/>
              <w:left w:val="single" w:sz="4" w:space="0" w:color="auto"/>
              <w:bottom w:val="single" w:sz="4" w:space="0" w:color="auto"/>
              <w:right w:val="single" w:sz="4" w:space="0" w:color="auto"/>
            </w:tcBorders>
            <w:vAlign w:val="center"/>
          </w:tcPr>
          <w:p w14:paraId="10ABB492" w14:textId="1B924099" w:rsidR="00864F7F" w:rsidRPr="002A2F05" w:rsidRDefault="00E54998" w:rsidP="00CC706A">
            <w:pPr>
              <w:spacing w:before="40" w:after="40" w:line="240" w:lineRule="auto"/>
              <w:rPr>
                <w:color w:val="000000" w:themeColor="text1"/>
                <w:sz w:val="18"/>
                <w:szCs w:val="18"/>
              </w:rPr>
            </w:pPr>
            <w:r w:rsidRPr="002A2F05">
              <w:rPr>
                <w:color w:val="000000" w:themeColor="text1"/>
                <w:sz w:val="18"/>
                <w:szCs w:val="18"/>
              </w:rPr>
              <w:t>Post-transplant</w:t>
            </w:r>
            <w:r w:rsidR="00864F7F" w:rsidRPr="002A2F05">
              <w:rPr>
                <w:color w:val="000000" w:themeColor="text1"/>
                <w:sz w:val="18"/>
                <w:szCs w:val="18"/>
              </w:rPr>
              <w:t>*</w:t>
            </w:r>
          </w:p>
        </w:tc>
        <w:tc>
          <w:tcPr>
            <w:tcW w:w="2576" w:type="pct"/>
            <w:tcBorders>
              <w:top w:val="single" w:sz="4" w:space="0" w:color="auto"/>
              <w:left w:val="single" w:sz="4" w:space="0" w:color="auto"/>
              <w:bottom w:val="single" w:sz="4" w:space="0" w:color="auto"/>
              <w:right w:val="single" w:sz="4" w:space="0" w:color="auto"/>
            </w:tcBorders>
            <w:vAlign w:val="center"/>
          </w:tcPr>
          <w:p w14:paraId="263B0FF8" w14:textId="77777777" w:rsidR="00864F7F" w:rsidRPr="002A2F05" w:rsidRDefault="00864F7F" w:rsidP="00CC706A">
            <w:pPr>
              <w:spacing w:before="40" w:after="40" w:line="240" w:lineRule="auto"/>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2A2F05">
              <w:rPr>
                <w:color w:val="000000" w:themeColor="text1"/>
                <w:sz w:val="18"/>
                <w:szCs w:val="18"/>
              </w:rPr>
              <w:t>0.87</w:t>
            </w:r>
          </w:p>
        </w:tc>
      </w:tr>
    </w:tbl>
    <w:p w14:paraId="63134B09" w14:textId="4AC96A96" w:rsidR="00501E3C" w:rsidRPr="002A2F05" w:rsidRDefault="00501E3C" w:rsidP="00265658">
      <w:pPr>
        <w:pStyle w:val="tablelegend"/>
      </w:pPr>
      <w:r w:rsidRPr="002A2F05">
        <w:rPr>
          <w:b/>
        </w:rPr>
        <w:t>Abbreviations:</w:t>
      </w:r>
      <w:r w:rsidRPr="002A2F05">
        <w:t xml:space="preserve"> </w:t>
      </w:r>
      <w:r w:rsidR="0018171A" w:rsidRPr="002A2F05">
        <w:t>CKD, chronic kidney disease; ESRD, end-stage renal disease</w:t>
      </w:r>
      <w:r w:rsidR="00F02A2B" w:rsidRPr="002A2F05">
        <w:t>.</w:t>
      </w:r>
    </w:p>
    <w:p w14:paraId="1D795606" w14:textId="2F227E69" w:rsidR="00F02A2B" w:rsidRPr="002A2F05" w:rsidRDefault="00F02A2B" w:rsidP="00265658">
      <w:pPr>
        <w:pStyle w:val="tablelegend"/>
      </w:pPr>
      <w:r w:rsidRPr="002A2F05">
        <w:t>*Assumed to have the same utility as CKD 3 [expert opinion]</w:t>
      </w:r>
    </w:p>
    <w:p w14:paraId="71562CCE" w14:textId="0F60E26F" w:rsidR="00864F7F" w:rsidRPr="002A2F05" w:rsidRDefault="00501E3C" w:rsidP="00265658">
      <w:pPr>
        <w:pStyle w:val="tablelegend"/>
      </w:pPr>
      <w:r w:rsidRPr="002A2F05">
        <w:rPr>
          <w:b/>
        </w:rPr>
        <w:t>Source:</w:t>
      </w:r>
      <w:r w:rsidR="00650A07" w:rsidRPr="00650A07">
        <w:t xml:space="preserve"> </w:t>
      </w:r>
      <w:r w:rsidR="00650A07" w:rsidRPr="00D41398">
        <w:t>Bureau of Labor Statistics. Usual Weekly Earnings of Wage and Salary Workers First Quarter 2021. Accessed November 16, 2021. https://www.bls.gov/news.release/pdf/wkyeng.pdf</w:t>
      </w:r>
      <w:r w:rsidR="00650A07">
        <w:t>.</w:t>
      </w:r>
      <w:r w:rsidR="00650A07" w:rsidRPr="00650A07">
        <w:rPr>
          <w:vertAlign w:val="superscript"/>
        </w:rPr>
        <w:t>48</w:t>
      </w:r>
      <w:r w:rsidR="00650A07" w:rsidRPr="002A2F05">
        <w:t xml:space="preserve"> </w:t>
      </w:r>
    </w:p>
    <w:p w14:paraId="01EA5ECA" w14:textId="77777777" w:rsidR="00621496" w:rsidRPr="002A2F05" w:rsidRDefault="00621496" w:rsidP="00501E3C">
      <w:pPr>
        <w:widowControl w:val="0"/>
      </w:pPr>
    </w:p>
    <w:p w14:paraId="4B801B9E" w14:textId="13E2BDC1" w:rsidR="003C5355" w:rsidRPr="002A2F05" w:rsidRDefault="003C5355" w:rsidP="003C5355">
      <w:pPr>
        <w:widowControl w:val="0"/>
        <w:rPr>
          <w:rFonts w:cs="Arial"/>
        </w:rPr>
      </w:pPr>
      <w:r w:rsidRPr="002A2F05">
        <w:rPr>
          <w:rFonts w:cs="Arial"/>
          <w:b/>
          <w:bCs/>
        </w:rPr>
        <w:t>Supplementary Table 1</w:t>
      </w:r>
      <w:r w:rsidR="00B3197B">
        <w:rPr>
          <w:rFonts w:cs="Arial"/>
          <w:b/>
          <w:bCs/>
        </w:rPr>
        <w:t>1</w:t>
      </w:r>
      <w:r w:rsidR="00265658" w:rsidRPr="002A2F05">
        <w:rPr>
          <w:rFonts w:cs="Arial"/>
          <w:b/>
          <w:bCs/>
        </w:rPr>
        <w:t>.</w:t>
      </w:r>
      <w:r w:rsidRPr="002A2F05">
        <w:rPr>
          <w:rFonts w:cs="Arial"/>
          <w:b/>
          <w:bCs/>
        </w:rPr>
        <w:t xml:space="preserve"> </w:t>
      </w:r>
      <w:r w:rsidR="004223DF" w:rsidRPr="002A2F05">
        <w:rPr>
          <w:rFonts w:cs="Arial"/>
        </w:rPr>
        <w:t xml:space="preserve">Disutilities of TEAEs for </w:t>
      </w:r>
      <w:r w:rsidR="00EB6C06" w:rsidRPr="002A2F05">
        <w:rPr>
          <w:rFonts w:cs="Arial"/>
        </w:rPr>
        <w:t>Nefecon</w:t>
      </w:r>
      <w:r w:rsidR="009C0FD7" w:rsidRPr="002A2F05">
        <w:rPr>
          <w:rFonts w:cs="Arial"/>
        </w:rPr>
        <w:t xml:space="preserve"> </w:t>
      </w:r>
      <w:r w:rsidR="004223DF" w:rsidRPr="002A2F05">
        <w:rPr>
          <w:rFonts w:cs="Arial"/>
        </w:rPr>
        <w:t xml:space="preserve">and </w:t>
      </w:r>
      <w:r w:rsidR="002000EC" w:rsidRPr="002A2F05">
        <w:rPr>
          <w:rFonts w:cs="Arial"/>
        </w:rPr>
        <w:t>BSC</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87"/>
        <w:gridCol w:w="2434"/>
        <w:gridCol w:w="3103"/>
      </w:tblGrid>
      <w:tr w:rsidR="001B78D7" w:rsidRPr="002A2F05" w14:paraId="647A22F8" w14:textId="77777777" w:rsidTr="002A2F05">
        <w:trPr>
          <w:trHeight w:val="282"/>
          <w:tblHeader/>
        </w:trPr>
        <w:tc>
          <w:tcPr>
            <w:tcW w:w="1790" w:type="pct"/>
            <w:shd w:val="clear" w:color="auto" w:fill="808080" w:themeFill="background1" w:themeFillShade="80"/>
          </w:tcPr>
          <w:p w14:paraId="79050331" w14:textId="77777777" w:rsidR="001B78D7" w:rsidRPr="002A2F05" w:rsidRDefault="001B78D7" w:rsidP="00CD0186">
            <w:pPr>
              <w:keepNext/>
              <w:spacing w:before="40" w:after="40"/>
              <w:rPr>
                <w:b/>
                <w:color w:val="FFFFFF" w:themeColor="background1"/>
                <w:sz w:val="18"/>
                <w:szCs w:val="18"/>
              </w:rPr>
            </w:pPr>
            <w:r w:rsidRPr="002A2F05">
              <w:rPr>
                <w:b/>
                <w:color w:val="FFFFFF" w:themeColor="background1"/>
                <w:sz w:val="18"/>
                <w:szCs w:val="18"/>
              </w:rPr>
              <w:t>AE</w:t>
            </w:r>
          </w:p>
        </w:tc>
        <w:tc>
          <w:tcPr>
            <w:tcW w:w="1411" w:type="pct"/>
            <w:shd w:val="clear" w:color="auto" w:fill="808080" w:themeFill="background1" w:themeFillShade="80"/>
            <w:vAlign w:val="center"/>
          </w:tcPr>
          <w:p w14:paraId="50587380" w14:textId="77777777" w:rsidR="001B78D7" w:rsidRPr="002A2F05" w:rsidRDefault="001B78D7" w:rsidP="00CD0186">
            <w:pPr>
              <w:keepNext/>
              <w:spacing w:before="40" w:after="40"/>
              <w:rPr>
                <w:rFonts w:eastAsia="Courier New"/>
                <w:b/>
                <w:color w:val="FFFFFF" w:themeColor="background1"/>
                <w:sz w:val="18"/>
                <w:szCs w:val="18"/>
              </w:rPr>
            </w:pPr>
            <w:r w:rsidRPr="002A2F05">
              <w:rPr>
                <w:rFonts w:eastAsia="Courier New"/>
                <w:b/>
                <w:color w:val="FFFFFF" w:themeColor="background1"/>
                <w:sz w:val="18"/>
                <w:szCs w:val="18"/>
              </w:rPr>
              <w:t>Disutility</w:t>
            </w:r>
          </w:p>
        </w:tc>
        <w:tc>
          <w:tcPr>
            <w:tcW w:w="1799" w:type="pct"/>
            <w:shd w:val="clear" w:color="auto" w:fill="808080" w:themeFill="background1" w:themeFillShade="80"/>
          </w:tcPr>
          <w:p w14:paraId="6C53C359" w14:textId="77777777" w:rsidR="001B78D7" w:rsidRPr="002A2F05" w:rsidRDefault="001B78D7" w:rsidP="00CD0186">
            <w:pPr>
              <w:keepNext/>
              <w:spacing w:before="40" w:after="40"/>
              <w:rPr>
                <w:rFonts w:eastAsia="Courier New"/>
                <w:b/>
                <w:color w:val="FFFFFF" w:themeColor="background1"/>
                <w:sz w:val="18"/>
                <w:szCs w:val="18"/>
              </w:rPr>
            </w:pPr>
            <w:r w:rsidRPr="002A2F05">
              <w:rPr>
                <w:rFonts w:eastAsia="Courier New"/>
                <w:b/>
                <w:color w:val="FFFFFF" w:themeColor="background1"/>
                <w:sz w:val="18"/>
                <w:szCs w:val="18"/>
              </w:rPr>
              <w:t>Source</w:t>
            </w:r>
          </w:p>
        </w:tc>
      </w:tr>
      <w:tr w:rsidR="001B78D7" w:rsidRPr="002A2F05" w14:paraId="7E079BEB" w14:textId="77777777" w:rsidTr="002A2F05">
        <w:trPr>
          <w:trHeight w:val="20"/>
        </w:trPr>
        <w:tc>
          <w:tcPr>
            <w:tcW w:w="1790" w:type="pct"/>
            <w:shd w:val="clear" w:color="auto" w:fill="auto"/>
            <w:vAlign w:val="center"/>
          </w:tcPr>
          <w:p w14:paraId="3C9C64D4" w14:textId="77777777" w:rsidR="001B78D7" w:rsidRPr="002A2F05" w:rsidRDefault="001B78D7" w:rsidP="00CD0186">
            <w:pPr>
              <w:spacing w:before="60" w:after="60" w:line="240" w:lineRule="auto"/>
              <w:rPr>
                <w:sz w:val="18"/>
                <w:szCs w:val="18"/>
              </w:rPr>
            </w:pPr>
            <w:r w:rsidRPr="002A2F05">
              <w:rPr>
                <w:sz w:val="18"/>
                <w:szCs w:val="18"/>
              </w:rPr>
              <w:t>Acne</w:t>
            </w:r>
          </w:p>
        </w:tc>
        <w:tc>
          <w:tcPr>
            <w:tcW w:w="1411" w:type="pct"/>
            <w:vAlign w:val="center"/>
          </w:tcPr>
          <w:p w14:paraId="56D4DF99" w14:textId="77777777" w:rsidR="001B78D7" w:rsidRPr="002A2F05" w:rsidRDefault="001B78D7" w:rsidP="00CD0186">
            <w:pPr>
              <w:spacing w:before="60" w:after="60" w:line="240" w:lineRule="auto"/>
              <w:rPr>
                <w:sz w:val="18"/>
                <w:szCs w:val="18"/>
              </w:rPr>
            </w:pPr>
            <w:r w:rsidRPr="002A2F05">
              <w:rPr>
                <w:sz w:val="18"/>
                <w:szCs w:val="18"/>
              </w:rPr>
              <w:t>0.00</w:t>
            </w:r>
          </w:p>
        </w:tc>
        <w:tc>
          <w:tcPr>
            <w:tcW w:w="1799" w:type="pct"/>
            <w:vAlign w:val="center"/>
          </w:tcPr>
          <w:p w14:paraId="3F92CE78" w14:textId="77777777" w:rsidR="001B78D7" w:rsidRPr="002A2F05" w:rsidRDefault="001B78D7" w:rsidP="00CD0186">
            <w:pPr>
              <w:spacing w:before="60" w:after="60" w:line="240" w:lineRule="auto"/>
              <w:rPr>
                <w:sz w:val="18"/>
                <w:szCs w:val="18"/>
              </w:rPr>
            </w:pPr>
            <w:r w:rsidRPr="002A2F05">
              <w:rPr>
                <w:sz w:val="18"/>
                <w:szCs w:val="18"/>
              </w:rPr>
              <w:t>Assumption</w:t>
            </w:r>
          </w:p>
        </w:tc>
      </w:tr>
      <w:tr w:rsidR="001B78D7" w:rsidRPr="002A2F05" w14:paraId="3A2931D4" w14:textId="77777777" w:rsidTr="002A2F05">
        <w:trPr>
          <w:trHeight w:val="20"/>
        </w:trPr>
        <w:tc>
          <w:tcPr>
            <w:tcW w:w="1790" w:type="pct"/>
            <w:shd w:val="clear" w:color="auto" w:fill="auto"/>
            <w:vAlign w:val="center"/>
          </w:tcPr>
          <w:p w14:paraId="04F58DC5" w14:textId="77777777" w:rsidR="001B78D7" w:rsidRPr="002A2F05" w:rsidRDefault="001B78D7" w:rsidP="00CD0186">
            <w:pPr>
              <w:spacing w:before="60" w:after="60" w:line="240" w:lineRule="auto"/>
              <w:rPr>
                <w:sz w:val="18"/>
                <w:szCs w:val="18"/>
              </w:rPr>
            </w:pPr>
            <w:r w:rsidRPr="002A2F05">
              <w:rPr>
                <w:sz w:val="18"/>
                <w:szCs w:val="18"/>
              </w:rPr>
              <w:t>Weight increase</w:t>
            </w:r>
          </w:p>
        </w:tc>
        <w:tc>
          <w:tcPr>
            <w:tcW w:w="1411" w:type="pct"/>
            <w:vAlign w:val="center"/>
          </w:tcPr>
          <w:p w14:paraId="5B4C7ABC" w14:textId="77777777" w:rsidR="001B78D7" w:rsidRPr="002A2F05" w:rsidRDefault="001B78D7" w:rsidP="00CD0186">
            <w:pPr>
              <w:spacing w:before="60" w:after="60" w:line="240" w:lineRule="auto"/>
              <w:rPr>
                <w:sz w:val="18"/>
                <w:szCs w:val="18"/>
              </w:rPr>
            </w:pPr>
            <w:r w:rsidRPr="002A2F05">
              <w:rPr>
                <w:sz w:val="18"/>
                <w:szCs w:val="18"/>
              </w:rPr>
              <w:t>0.00</w:t>
            </w:r>
          </w:p>
        </w:tc>
        <w:tc>
          <w:tcPr>
            <w:tcW w:w="1799" w:type="pct"/>
            <w:vAlign w:val="center"/>
          </w:tcPr>
          <w:p w14:paraId="200D52AB" w14:textId="77777777" w:rsidR="001B78D7" w:rsidRPr="002A2F05" w:rsidRDefault="001B78D7" w:rsidP="00CD0186">
            <w:pPr>
              <w:spacing w:before="60" w:after="60" w:line="240" w:lineRule="auto"/>
              <w:rPr>
                <w:sz w:val="18"/>
                <w:szCs w:val="18"/>
              </w:rPr>
            </w:pPr>
            <w:r w:rsidRPr="002A2F05">
              <w:rPr>
                <w:sz w:val="18"/>
                <w:szCs w:val="18"/>
              </w:rPr>
              <w:t>Assumption</w:t>
            </w:r>
          </w:p>
        </w:tc>
      </w:tr>
      <w:tr w:rsidR="00FC3308" w:rsidRPr="002A2F05" w14:paraId="7C112D3C" w14:textId="77777777" w:rsidTr="002A2F05">
        <w:trPr>
          <w:trHeight w:val="20"/>
        </w:trPr>
        <w:tc>
          <w:tcPr>
            <w:tcW w:w="1790" w:type="pct"/>
            <w:shd w:val="clear" w:color="auto" w:fill="auto"/>
            <w:vAlign w:val="center"/>
          </w:tcPr>
          <w:p w14:paraId="59696556" w14:textId="77777777" w:rsidR="00FC3308" w:rsidRPr="002A2F05" w:rsidRDefault="00FC3308" w:rsidP="00FC3308">
            <w:pPr>
              <w:spacing w:before="60" w:after="60" w:line="240" w:lineRule="auto"/>
              <w:rPr>
                <w:sz w:val="18"/>
                <w:szCs w:val="18"/>
              </w:rPr>
            </w:pPr>
            <w:r w:rsidRPr="002A2F05">
              <w:rPr>
                <w:sz w:val="18"/>
                <w:szCs w:val="18"/>
              </w:rPr>
              <w:t>Hypertension</w:t>
            </w:r>
          </w:p>
        </w:tc>
        <w:tc>
          <w:tcPr>
            <w:tcW w:w="1411" w:type="pct"/>
            <w:vAlign w:val="center"/>
          </w:tcPr>
          <w:p w14:paraId="3B616D7B" w14:textId="302D4FEA" w:rsidR="00FC3308" w:rsidRPr="002A2F05" w:rsidRDefault="00FC3308" w:rsidP="00FC3308">
            <w:pPr>
              <w:spacing w:before="60" w:after="60" w:line="240" w:lineRule="auto"/>
              <w:rPr>
                <w:sz w:val="18"/>
                <w:szCs w:val="18"/>
              </w:rPr>
            </w:pPr>
            <w:r w:rsidRPr="002A2F05">
              <w:rPr>
                <w:sz w:val="18"/>
                <w:szCs w:val="18"/>
              </w:rPr>
              <w:t>-0.03</w:t>
            </w:r>
          </w:p>
        </w:tc>
        <w:tc>
          <w:tcPr>
            <w:tcW w:w="1799" w:type="pct"/>
            <w:vAlign w:val="center"/>
          </w:tcPr>
          <w:p w14:paraId="23B1EE56" w14:textId="7749F3BC" w:rsidR="00FC3308" w:rsidRPr="002A2F05" w:rsidRDefault="00FC3308" w:rsidP="00FC3308">
            <w:pPr>
              <w:spacing w:before="60" w:after="60" w:line="240" w:lineRule="auto"/>
              <w:rPr>
                <w:sz w:val="18"/>
                <w:szCs w:val="18"/>
              </w:rPr>
            </w:pPr>
            <w:r w:rsidRPr="002A2F05">
              <w:rPr>
                <w:sz w:val="18"/>
                <w:szCs w:val="18"/>
              </w:rPr>
              <w:t>Sullivan et al., 2006</w:t>
            </w:r>
            <w:r w:rsidRPr="002A2F05">
              <w:fldChar w:fldCharType="begin"/>
            </w:r>
            <w:r w:rsidR="00BC31E6">
              <w:instrText xml:space="preserve"> ADDIN ZOTERO_ITEM CSL_CITATION {"citationID":"SZPfj2BU","properties":{"formattedCitation":"\\super 53\\nosupersub{}","plainCitation":"53","noteIndex":0},"citationItems":[{"id":6303,"uris":["http://zotero.org/groups/2828856/items/DGKPQHMZ"],"itemData":{"id":6303,"type":"article-journal","abstract":"Background\nThe Panel on Cost-Effectiveness in Health and Medicine has called for an “off-the-shelf” catalogue of nationally representative, community-based preference scores for health states, illnesses, and conditions. A previous review of cost-effectiveness analyses found that 77% did not incorporate community-based preferences, and 33% used arbitrary expert or author judgment. These results highlight the necessity of making a wide array of appropriate, community-based estimates more accessible to cost-effectiveness researchers.\n\nObjective\nTo provide nationally representative EQ-5D index scores for chronic ICD-9 codes.\n\nMethods\nThe nationally representative Medical Expenditure Panel Survey (MEPS) was pooled (2000−2002) to create a data set of 38,678 adults. Ordinary least squares (OLS), Tobit, and censored least absolute deviations (CLAD) regression methods were used to estimate the marginal disutility of each condition, controlling for age, comorbidity, gender, race, ethnicity, income, and education.\n\nResults\nMost chronic conditions, age, comorbidity, income, and education were highly statistically significant predictors of EQ-5D index scores. Homoskedasticity and normality assumptions were rejected, suggesting only CLAD estimates are theoretically unbiased. The magnitude and statistical significance of coefficients varied by analytic method. OLS and Tobit coefficients were on average 60% and 143% greater than CLAD, respectively. The marginal disutility of 95 chronic ICD-9 codes as well as unadjusted mean, median, and 25th and 75th percentiles are reported.\n\nConclusion\nThis research provides nationally representative, community-based EQ-5D index scores associated with a wide variety of chronic ICD-9 codes that can be used to estimate quality-adjusted life-years in cost-effectiveness analyses.","container-title":"Medical decision making : an international journal of the Society for Medical Decision Making","DOI":"10.1177/0272989X06290495","ISSN":"0272-989X","issue":"4","journalAbbreviation":"Med Decis Making","page":"410-420","source":"PubMed Central","title":"Preference-Based EQ-5D Index Scores for Chronic Conditions in the United States","volume":"26","author":[{"family":"Sullivan","given":"Patrick W."},{"family":"Ghushchyan","given":"Vahram"}],"issued":{"date-parts":[["2006"]]}}}],"schema":"https://github.com/citation-style-language/schema/raw/master/csl-citation.json"} </w:instrText>
            </w:r>
            <w:r w:rsidRPr="002A2F05">
              <w:fldChar w:fldCharType="separate"/>
            </w:r>
            <w:r w:rsidR="00BC31E6" w:rsidRPr="00BC31E6">
              <w:rPr>
                <w:rFonts w:cs="Arial"/>
                <w:sz w:val="18"/>
                <w:vertAlign w:val="superscript"/>
              </w:rPr>
              <w:t>53</w:t>
            </w:r>
            <w:r w:rsidRPr="002A2F05">
              <w:fldChar w:fldCharType="end"/>
            </w:r>
          </w:p>
        </w:tc>
      </w:tr>
      <w:tr w:rsidR="00FC3308" w:rsidRPr="002A2F05" w14:paraId="360AD710" w14:textId="77777777" w:rsidTr="002A2F05">
        <w:trPr>
          <w:trHeight w:val="20"/>
        </w:trPr>
        <w:tc>
          <w:tcPr>
            <w:tcW w:w="1790" w:type="pct"/>
            <w:shd w:val="clear" w:color="auto" w:fill="auto"/>
            <w:vAlign w:val="center"/>
          </w:tcPr>
          <w:p w14:paraId="3A014864" w14:textId="77777777" w:rsidR="00FC3308" w:rsidRPr="002A2F05" w:rsidRDefault="00FC3308" w:rsidP="00FC3308">
            <w:pPr>
              <w:spacing w:before="60" w:after="60" w:line="240" w:lineRule="auto"/>
              <w:rPr>
                <w:sz w:val="18"/>
                <w:szCs w:val="18"/>
              </w:rPr>
            </w:pPr>
            <w:r w:rsidRPr="002A2F05">
              <w:rPr>
                <w:sz w:val="18"/>
                <w:szCs w:val="18"/>
              </w:rPr>
              <w:t>Headache</w:t>
            </w:r>
          </w:p>
        </w:tc>
        <w:tc>
          <w:tcPr>
            <w:tcW w:w="1411" w:type="pct"/>
            <w:vAlign w:val="center"/>
          </w:tcPr>
          <w:p w14:paraId="5E42E5E4" w14:textId="555F9D06" w:rsidR="00FC3308" w:rsidRPr="002A2F05" w:rsidRDefault="00FC3308" w:rsidP="00FC3308">
            <w:pPr>
              <w:spacing w:before="60" w:after="60" w:line="240" w:lineRule="auto"/>
              <w:rPr>
                <w:sz w:val="18"/>
                <w:szCs w:val="18"/>
              </w:rPr>
            </w:pPr>
            <w:r w:rsidRPr="002A2F05">
              <w:rPr>
                <w:sz w:val="18"/>
                <w:szCs w:val="18"/>
              </w:rPr>
              <w:t>-0.11</w:t>
            </w:r>
          </w:p>
        </w:tc>
        <w:tc>
          <w:tcPr>
            <w:tcW w:w="1799" w:type="pct"/>
            <w:vAlign w:val="center"/>
          </w:tcPr>
          <w:p w14:paraId="477A3332" w14:textId="53DA6A6A" w:rsidR="00FC3308" w:rsidRPr="002A2F05" w:rsidRDefault="00FC3308" w:rsidP="00FC3308">
            <w:pPr>
              <w:spacing w:before="60" w:after="60" w:line="240" w:lineRule="auto"/>
              <w:rPr>
                <w:sz w:val="18"/>
                <w:szCs w:val="18"/>
              </w:rPr>
            </w:pPr>
            <w:r w:rsidRPr="002A2F05">
              <w:rPr>
                <w:sz w:val="18"/>
                <w:szCs w:val="18"/>
              </w:rPr>
              <w:t>Xu et al., 2010</w:t>
            </w:r>
            <w:r w:rsidRPr="002A2F05">
              <w:fldChar w:fldCharType="begin"/>
            </w:r>
            <w:r w:rsidR="00BC31E6">
              <w:instrText xml:space="preserve"> ADDIN ZOTERO_ITEM CSL_CITATION {"citationID":"fOPAIe86","properties":{"formattedCitation":"\\super 54\\nosupersub{}","plainCitation":"54","noteIndex":0},"citationItems":[{"id":6306,"uris":["http://zotero.org/groups/2828856/items/V6CQCGQF"],"itemData":{"id":6306,"type":"article-journal","abstract":"PURPOSE: Previous studies have reported health utilities for migraine patients as generally measured between migraine attacks, but health utility data for within a migraine attack are unavailable. We evaluated within-attack health utilities among acute migraine patients experiencing different grades of headache severity.\nMETHODS: We examined data for 330 20-65-year-old adults, in good physical health, who had 1-6 moderate/severe migraine attacks per month in the 2 months prior to the screening visit. Data were collected from a multicenter, double-blind study of a treatment for acute migraine in the United States. The EQ-5D system was used to measure generic health status at baseline and 24 h post-treatment within an acute migraine attack, and patients were also asked to rate their pain level at these time points (no, mild, moderate, or severe pain). The D1 time-trade-off scoring algorithm for the U.S. population was applied. Confidence intervals were estimated by bootstrap methods.\nRESULTS: The study population was 88% women and 78% white ethnicity, with 60% of subjects over age 40. The disutility of mild migraine pain was estimated to be 0.140 (95% CI: 0.0848, 0.1940), with a disutility for moderate migraine pain of 0.186 (95% CI: 0.1645, 0.2053) and for severe migraine pain of 0.493 (95% CI: 0.4100, 0.5654).\nCONCLUSIONS: Within-attack disutilities estimated for migraine in this study are much greater than those reported for migraine when evaluated as a chronic health condition (e.g., valuations collected at random time points). These data can be of value in adapting results from clinical trials of migraine interventions to cost-utility policy analyses.","container-title":"Quality of Life Research: An International Journal of Quality of Life Aspects of Treatment, Care and Rehabilitation","DOI":"10.1007/s11136-010-9783-5","ISSN":"1573-2649","issue":"4","journalAbbreviation":"Qual Life Res","language":"eng","page":"601-608","source":"PubMed","title":"EuroQol (EQ-5D) health utility scores for patients with migraine","volume":"20","author":[{"family":"Xu","given":"Ruifeng"},{"family":"Insinga","given":"Ralph P."},{"family":"Golden","given":"Wendy"},{"family":"Hu","given":"X. Henry"}],"issued":{"date-parts":[["2011",5]]}}}],"schema":"https://github.com/citation-style-language/schema/raw/master/csl-citation.json"} </w:instrText>
            </w:r>
            <w:r w:rsidRPr="002A2F05">
              <w:fldChar w:fldCharType="separate"/>
            </w:r>
            <w:r w:rsidR="00BC31E6" w:rsidRPr="00BC31E6">
              <w:rPr>
                <w:rFonts w:cs="Arial"/>
                <w:sz w:val="18"/>
                <w:vertAlign w:val="superscript"/>
              </w:rPr>
              <w:t>54</w:t>
            </w:r>
            <w:r w:rsidRPr="002A2F05">
              <w:fldChar w:fldCharType="end"/>
            </w:r>
          </w:p>
        </w:tc>
      </w:tr>
      <w:tr w:rsidR="00FC3308" w:rsidRPr="002A2F05" w14:paraId="58F49866" w14:textId="77777777" w:rsidTr="002A2F05">
        <w:trPr>
          <w:trHeight w:val="20"/>
        </w:trPr>
        <w:tc>
          <w:tcPr>
            <w:tcW w:w="1790" w:type="pct"/>
            <w:shd w:val="clear" w:color="auto" w:fill="auto"/>
            <w:vAlign w:val="center"/>
          </w:tcPr>
          <w:p w14:paraId="58E948BE" w14:textId="77777777" w:rsidR="00FC3308" w:rsidRPr="002A2F05" w:rsidRDefault="00FC3308" w:rsidP="00FC3308">
            <w:pPr>
              <w:spacing w:before="60" w:after="60" w:line="240" w:lineRule="auto"/>
              <w:rPr>
                <w:sz w:val="18"/>
                <w:szCs w:val="18"/>
              </w:rPr>
            </w:pPr>
            <w:r w:rsidRPr="002A2F05">
              <w:rPr>
                <w:sz w:val="18"/>
                <w:szCs w:val="18"/>
              </w:rPr>
              <w:t>Edema peripheral</w:t>
            </w:r>
          </w:p>
        </w:tc>
        <w:tc>
          <w:tcPr>
            <w:tcW w:w="1411" w:type="pct"/>
            <w:vAlign w:val="center"/>
          </w:tcPr>
          <w:p w14:paraId="08988941" w14:textId="5017C0ED" w:rsidR="00FC3308" w:rsidRPr="002A2F05" w:rsidRDefault="00FC3308" w:rsidP="00FC3308">
            <w:pPr>
              <w:spacing w:before="60" w:after="60" w:line="240" w:lineRule="auto"/>
              <w:rPr>
                <w:sz w:val="18"/>
                <w:szCs w:val="18"/>
              </w:rPr>
            </w:pPr>
            <w:r w:rsidRPr="002A2F05">
              <w:rPr>
                <w:sz w:val="18"/>
                <w:szCs w:val="18"/>
              </w:rPr>
              <w:t>-0.05</w:t>
            </w:r>
          </w:p>
        </w:tc>
        <w:tc>
          <w:tcPr>
            <w:tcW w:w="1799" w:type="pct"/>
            <w:vAlign w:val="center"/>
          </w:tcPr>
          <w:p w14:paraId="5ED62920" w14:textId="0F78A8DE" w:rsidR="00FC3308" w:rsidRPr="002A2F05" w:rsidRDefault="0090505E" w:rsidP="00FC3308">
            <w:pPr>
              <w:spacing w:before="60" w:after="60" w:line="240" w:lineRule="auto"/>
              <w:rPr>
                <w:sz w:val="18"/>
                <w:szCs w:val="18"/>
              </w:rPr>
            </w:pPr>
            <w:r w:rsidRPr="002A2F05">
              <w:rPr>
                <w:sz w:val="18"/>
                <w:szCs w:val="18"/>
              </w:rPr>
              <w:t xml:space="preserve">Assumed the same as </w:t>
            </w:r>
            <w:r w:rsidR="00292F7E">
              <w:rPr>
                <w:sz w:val="18"/>
                <w:szCs w:val="18"/>
              </w:rPr>
              <w:t>c</w:t>
            </w:r>
            <w:r w:rsidRPr="002A2F05">
              <w:rPr>
                <w:sz w:val="18"/>
                <w:szCs w:val="18"/>
              </w:rPr>
              <w:t>ushingoid</w:t>
            </w:r>
          </w:p>
        </w:tc>
      </w:tr>
      <w:tr w:rsidR="00FC3308" w:rsidRPr="002A2F05" w14:paraId="26EBB5A3" w14:textId="77777777" w:rsidTr="002A2F05">
        <w:trPr>
          <w:trHeight w:val="20"/>
        </w:trPr>
        <w:tc>
          <w:tcPr>
            <w:tcW w:w="1790" w:type="pct"/>
            <w:shd w:val="clear" w:color="auto" w:fill="auto"/>
            <w:vAlign w:val="center"/>
          </w:tcPr>
          <w:p w14:paraId="3A8770D9" w14:textId="77777777" w:rsidR="00FC3308" w:rsidRPr="002A2F05" w:rsidRDefault="00FC3308" w:rsidP="00FC3308">
            <w:pPr>
              <w:spacing w:before="60" w:after="60" w:line="240" w:lineRule="auto"/>
              <w:rPr>
                <w:sz w:val="18"/>
                <w:szCs w:val="18"/>
              </w:rPr>
            </w:pPr>
            <w:r w:rsidRPr="002A2F05">
              <w:rPr>
                <w:sz w:val="18"/>
                <w:szCs w:val="18"/>
              </w:rPr>
              <w:t>Dyspepsia</w:t>
            </w:r>
          </w:p>
        </w:tc>
        <w:tc>
          <w:tcPr>
            <w:tcW w:w="1411" w:type="pct"/>
            <w:vAlign w:val="center"/>
          </w:tcPr>
          <w:p w14:paraId="79010EF8" w14:textId="55F0669B" w:rsidR="00FC3308" w:rsidRPr="002A2F05" w:rsidRDefault="00FC3308" w:rsidP="00FC3308">
            <w:pPr>
              <w:spacing w:before="60" w:after="60" w:line="240" w:lineRule="auto"/>
              <w:rPr>
                <w:sz w:val="18"/>
                <w:szCs w:val="18"/>
              </w:rPr>
            </w:pPr>
            <w:r w:rsidRPr="002A2F05">
              <w:rPr>
                <w:sz w:val="18"/>
                <w:szCs w:val="18"/>
              </w:rPr>
              <w:t>-0.02</w:t>
            </w:r>
          </w:p>
        </w:tc>
        <w:tc>
          <w:tcPr>
            <w:tcW w:w="1799" w:type="pct"/>
            <w:vAlign w:val="center"/>
          </w:tcPr>
          <w:p w14:paraId="38A82DA4" w14:textId="729428A0" w:rsidR="00FC3308" w:rsidRPr="002A2F05" w:rsidRDefault="00FC3308" w:rsidP="00FC3308">
            <w:pPr>
              <w:spacing w:before="60" w:after="60" w:line="240" w:lineRule="auto"/>
              <w:rPr>
                <w:sz w:val="18"/>
                <w:szCs w:val="18"/>
              </w:rPr>
            </w:pPr>
            <w:r w:rsidRPr="002A2F05">
              <w:rPr>
                <w:sz w:val="18"/>
                <w:szCs w:val="18"/>
              </w:rPr>
              <w:t>Sullivan et al., 2006</w:t>
            </w:r>
            <w:r w:rsidRPr="002A2F05">
              <w:fldChar w:fldCharType="begin"/>
            </w:r>
            <w:r w:rsidR="00BC31E6">
              <w:instrText xml:space="preserve"> ADDIN ZOTERO_ITEM CSL_CITATION {"citationID":"PK4ZE894","properties":{"formattedCitation":"\\super 53\\nosupersub{}","plainCitation":"53","noteIndex":0},"citationItems":[{"id":6303,"uris":["http://zotero.org/groups/2828856/items/DGKPQHMZ"],"itemData":{"id":6303,"type":"article-journal","abstract":"Background\nThe Panel on Cost-Effectiveness in Health and Medicine has called for an “off-the-shelf” catalogue of nationally representative, community-based preference scores for health states, illnesses, and conditions. A previous review of cost-effectiveness analyses found that 77% did not incorporate community-based preferences, and 33% used arbitrary expert or author judgment. These results highlight the necessity of making a wide array of appropriate, community-based estimates more accessible to cost-effectiveness researchers.\n\nObjective\nTo provide nationally representative EQ-5D index scores for chronic ICD-9 codes.\n\nMethods\nThe nationally representative Medical Expenditure Panel Survey (MEPS) was pooled (2000−2002) to create a data set of 38,678 adults. Ordinary least squares (OLS), Tobit, and censored least absolute deviations (CLAD) regression methods were used to estimate the marginal disutility of each condition, controlling for age, comorbidity, gender, race, ethnicity, income, and education.\n\nResults\nMost chronic conditions, age, comorbidity, income, and education were highly statistically significant predictors of EQ-5D index scores. Homoskedasticity and normality assumptions were rejected, suggesting only CLAD estimates are theoretically unbiased. The magnitude and statistical significance of coefficients varied by analytic method. OLS and Tobit coefficients were on average 60% and 143% greater than CLAD, respectively. The marginal disutility of 95 chronic ICD-9 codes as well as unadjusted mean, median, and 25th and 75th percentiles are reported.\n\nConclusion\nThis research provides nationally representative, community-based EQ-5D index scores associated with a wide variety of chronic ICD-9 codes that can be used to estimate quality-adjusted life-years in cost-effectiveness analyses.","container-title":"Medical decision making : an international journal of the Society for Medical Decision Making","DOI":"10.1177/0272989X06290495","ISSN":"0272-989X","issue":"4","journalAbbreviation":"Med Decis Making","page":"410-420","source":"PubMed Central","title":"Preference-Based EQ-5D Index Scores for Chronic Conditions in the United States","volume":"26","author":[{"family":"Sullivan","given":"Patrick W."},{"family":"Ghushchyan","given":"Vahram"}],"issued":{"date-parts":[["2006"]]}}}],"schema":"https://github.com/citation-style-language/schema/raw/master/csl-citation.json"} </w:instrText>
            </w:r>
            <w:r w:rsidRPr="002A2F05">
              <w:fldChar w:fldCharType="separate"/>
            </w:r>
            <w:r w:rsidR="00BC31E6" w:rsidRPr="00BC31E6">
              <w:rPr>
                <w:rFonts w:cs="Arial"/>
                <w:sz w:val="18"/>
                <w:vertAlign w:val="superscript"/>
              </w:rPr>
              <w:t>53</w:t>
            </w:r>
            <w:r w:rsidRPr="002A2F05">
              <w:fldChar w:fldCharType="end"/>
            </w:r>
          </w:p>
        </w:tc>
      </w:tr>
      <w:tr w:rsidR="00FC3308" w:rsidRPr="002A2F05" w14:paraId="01C9E667" w14:textId="77777777" w:rsidTr="002A2F05">
        <w:trPr>
          <w:trHeight w:val="20"/>
        </w:trPr>
        <w:tc>
          <w:tcPr>
            <w:tcW w:w="1790" w:type="pct"/>
            <w:shd w:val="clear" w:color="auto" w:fill="auto"/>
            <w:vAlign w:val="center"/>
          </w:tcPr>
          <w:p w14:paraId="3BA3E583" w14:textId="77777777" w:rsidR="00FC3308" w:rsidRPr="002A2F05" w:rsidRDefault="00FC3308" w:rsidP="00FC3308">
            <w:pPr>
              <w:spacing w:before="60" w:after="60" w:line="240" w:lineRule="auto"/>
              <w:rPr>
                <w:sz w:val="18"/>
                <w:szCs w:val="18"/>
              </w:rPr>
            </w:pPr>
            <w:r w:rsidRPr="002A2F05">
              <w:rPr>
                <w:sz w:val="18"/>
                <w:szCs w:val="18"/>
              </w:rPr>
              <w:t>Mood swings</w:t>
            </w:r>
          </w:p>
        </w:tc>
        <w:tc>
          <w:tcPr>
            <w:tcW w:w="1411" w:type="pct"/>
            <w:vAlign w:val="center"/>
          </w:tcPr>
          <w:p w14:paraId="19A8AE61" w14:textId="029D3ACE" w:rsidR="00FC3308" w:rsidRPr="002A2F05" w:rsidRDefault="00FC3308" w:rsidP="00FC3308">
            <w:pPr>
              <w:spacing w:before="60" w:after="60" w:line="240" w:lineRule="auto"/>
              <w:rPr>
                <w:sz w:val="18"/>
                <w:szCs w:val="18"/>
              </w:rPr>
            </w:pPr>
            <w:r w:rsidRPr="002A2F05">
              <w:rPr>
                <w:sz w:val="18"/>
                <w:szCs w:val="18"/>
              </w:rPr>
              <w:t>0.00</w:t>
            </w:r>
          </w:p>
        </w:tc>
        <w:tc>
          <w:tcPr>
            <w:tcW w:w="1799" w:type="pct"/>
            <w:vAlign w:val="center"/>
          </w:tcPr>
          <w:p w14:paraId="77368644" w14:textId="77777777" w:rsidR="00FC3308" w:rsidRPr="002A2F05" w:rsidRDefault="00FC3308" w:rsidP="00FC3308">
            <w:pPr>
              <w:spacing w:before="60" w:after="60" w:line="240" w:lineRule="auto"/>
              <w:rPr>
                <w:sz w:val="18"/>
                <w:szCs w:val="18"/>
              </w:rPr>
            </w:pPr>
            <w:r w:rsidRPr="002A2F05">
              <w:rPr>
                <w:sz w:val="18"/>
                <w:szCs w:val="18"/>
              </w:rPr>
              <w:t>Assumption</w:t>
            </w:r>
          </w:p>
        </w:tc>
      </w:tr>
      <w:tr w:rsidR="00FC3308" w:rsidRPr="002A2F05" w14:paraId="7D658B80" w14:textId="77777777" w:rsidTr="002A2F05">
        <w:trPr>
          <w:trHeight w:val="20"/>
        </w:trPr>
        <w:tc>
          <w:tcPr>
            <w:tcW w:w="1790" w:type="pct"/>
            <w:shd w:val="clear" w:color="auto" w:fill="auto"/>
            <w:vAlign w:val="center"/>
          </w:tcPr>
          <w:p w14:paraId="3998AF19" w14:textId="77777777" w:rsidR="00FC3308" w:rsidRPr="002A2F05" w:rsidRDefault="00FC3308" w:rsidP="00FC3308">
            <w:pPr>
              <w:spacing w:before="60" w:after="60" w:line="240" w:lineRule="auto"/>
              <w:rPr>
                <w:sz w:val="18"/>
                <w:szCs w:val="18"/>
              </w:rPr>
            </w:pPr>
            <w:r w:rsidRPr="002A2F05">
              <w:rPr>
                <w:sz w:val="18"/>
                <w:szCs w:val="18"/>
              </w:rPr>
              <w:t>Face edema</w:t>
            </w:r>
          </w:p>
        </w:tc>
        <w:tc>
          <w:tcPr>
            <w:tcW w:w="1411" w:type="pct"/>
            <w:vAlign w:val="center"/>
          </w:tcPr>
          <w:p w14:paraId="318215F8" w14:textId="64E592ED" w:rsidR="00FC3308" w:rsidRPr="002A2F05" w:rsidRDefault="00FC3308" w:rsidP="00FC3308">
            <w:pPr>
              <w:spacing w:before="60" w:after="60" w:line="240" w:lineRule="auto"/>
              <w:rPr>
                <w:sz w:val="18"/>
                <w:szCs w:val="18"/>
              </w:rPr>
            </w:pPr>
            <w:r w:rsidRPr="002A2F05">
              <w:rPr>
                <w:sz w:val="18"/>
                <w:szCs w:val="18"/>
              </w:rPr>
              <w:t>-0.05</w:t>
            </w:r>
          </w:p>
        </w:tc>
        <w:tc>
          <w:tcPr>
            <w:tcW w:w="1799" w:type="pct"/>
            <w:vAlign w:val="center"/>
          </w:tcPr>
          <w:p w14:paraId="6691AB4D" w14:textId="5ED18360" w:rsidR="00FC3308" w:rsidRPr="002A2F05" w:rsidRDefault="0090505E" w:rsidP="00FC3308">
            <w:pPr>
              <w:spacing w:before="60" w:after="60" w:line="240" w:lineRule="auto"/>
              <w:rPr>
                <w:sz w:val="18"/>
                <w:szCs w:val="18"/>
              </w:rPr>
            </w:pPr>
            <w:r w:rsidRPr="002A2F05">
              <w:rPr>
                <w:sz w:val="18"/>
                <w:szCs w:val="18"/>
              </w:rPr>
              <w:t xml:space="preserve">Assumed the same as </w:t>
            </w:r>
            <w:r w:rsidR="00292F7E">
              <w:rPr>
                <w:sz w:val="18"/>
                <w:szCs w:val="18"/>
              </w:rPr>
              <w:t>c</w:t>
            </w:r>
            <w:r w:rsidRPr="002A2F05">
              <w:rPr>
                <w:sz w:val="18"/>
                <w:szCs w:val="18"/>
              </w:rPr>
              <w:t>ushingoid</w:t>
            </w:r>
          </w:p>
        </w:tc>
      </w:tr>
      <w:tr w:rsidR="00FC3308" w:rsidRPr="002A2F05" w14:paraId="77443518" w14:textId="77777777" w:rsidTr="002A2F05">
        <w:trPr>
          <w:trHeight w:val="20"/>
        </w:trPr>
        <w:tc>
          <w:tcPr>
            <w:tcW w:w="1790" w:type="pct"/>
            <w:shd w:val="clear" w:color="auto" w:fill="auto"/>
            <w:vAlign w:val="center"/>
          </w:tcPr>
          <w:p w14:paraId="3BA5A83C" w14:textId="77777777" w:rsidR="00FC3308" w:rsidRPr="002A2F05" w:rsidRDefault="00FC3308" w:rsidP="00FC3308">
            <w:pPr>
              <w:spacing w:before="60" w:after="60" w:line="240" w:lineRule="auto"/>
              <w:rPr>
                <w:sz w:val="18"/>
                <w:szCs w:val="18"/>
              </w:rPr>
            </w:pPr>
            <w:r w:rsidRPr="002A2F05">
              <w:rPr>
                <w:sz w:val="18"/>
                <w:szCs w:val="18"/>
              </w:rPr>
              <w:t>Cushingoid</w:t>
            </w:r>
          </w:p>
        </w:tc>
        <w:tc>
          <w:tcPr>
            <w:tcW w:w="1411" w:type="pct"/>
            <w:vAlign w:val="center"/>
          </w:tcPr>
          <w:p w14:paraId="5D33CDA7" w14:textId="5051C00E" w:rsidR="00FC3308" w:rsidRPr="002A2F05" w:rsidRDefault="00FC3308" w:rsidP="00FC3308">
            <w:pPr>
              <w:spacing w:before="60" w:after="60" w:line="240" w:lineRule="auto"/>
              <w:rPr>
                <w:sz w:val="18"/>
                <w:szCs w:val="18"/>
              </w:rPr>
            </w:pPr>
            <w:r w:rsidRPr="002A2F05">
              <w:rPr>
                <w:sz w:val="18"/>
                <w:szCs w:val="18"/>
              </w:rPr>
              <w:t>-0.05</w:t>
            </w:r>
          </w:p>
        </w:tc>
        <w:tc>
          <w:tcPr>
            <w:tcW w:w="1799" w:type="pct"/>
            <w:vAlign w:val="center"/>
          </w:tcPr>
          <w:p w14:paraId="276560ED" w14:textId="674D4B77" w:rsidR="00FC3308" w:rsidRPr="002A2F05" w:rsidRDefault="00FC3308" w:rsidP="00FC3308">
            <w:pPr>
              <w:spacing w:before="60" w:after="60" w:line="240" w:lineRule="auto"/>
              <w:rPr>
                <w:sz w:val="18"/>
                <w:szCs w:val="18"/>
              </w:rPr>
            </w:pPr>
            <w:r w:rsidRPr="002A2F05">
              <w:rPr>
                <w:sz w:val="18"/>
                <w:szCs w:val="18"/>
              </w:rPr>
              <w:t>ICER, Evidence report, Deflazacort, Eteplirsen, and Golodirsen for Duchenne Muscular Dystrophy 2019</w:t>
            </w:r>
            <w:r w:rsidRPr="002A2F05">
              <w:fldChar w:fldCharType="begin"/>
            </w:r>
            <w:r w:rsidR="00BC31E6">
              <w:instrText xml:space="preserve"> ADDIN ZOTERO_ITEM CSL_CITATION {"citationID":"3IXR7BgD","properties":{"formattedCitation":"\\super 55\\nosupersub{}","plainCitation":"55","noteIndex":0},"citationItems":[{"id":6338,"uris":["http://zotero.org/groups/2828856/items/ZWG4XRZF"],"itemData":{"id":6338,"type":"report","genre":"Final Evidence Report","publisher":"Institute for Clinical and Economic Review","title":"Deflazacort, Eteplirsen, and Golodirsen for Duchenne Muscular Dystrophy: Effectiveness and Value","URL":"https://icer.org/wp-content/uploads/2020/10/ICER_DMD-Final-Report_081519-2.pdf","author":[{"family":"ICER","given":""}],"accessed":{"date-parts":[["2021",6,25]]},"issued":{"date-parts":[["2019",8,15]]}}}],"schema":"https://github.com/citation-style-language/schema/raw/master/csl-citation.json"} </w:instrText>
            </w:r>
            <w:r w:rsidRPr="002A2F05">
              <w:fldChar w:fldCharType="separate"/>
            </w:r>
            <w:r w:rsidR="00BC31E6" w:rsidRPr="00BC31E6">
              <w:rPr>
                <w:rFonts w:cs="Arial"/>
                <w:sz w:val="18"/>
                <w:vertAlign w:val="superscript"/>
              </w:rPr>
              <w:t>55</w:t>
            </w:r>
            <w:r w:rsidRPr="002A2F05">
              <w:fldChar w:fldCharType="end"/>
            </w:r>
          </w:p>
        </w:tc>
      </w:tr>
      <w:tr w:rsidR="00FC3308" w:rsidRPr="002A2F05" w14:paraId="1BD32A3F" w14:textId="77777777" w:rsidTr="002A2F05">
        <w:trPr>
          <w:trHeight w:val="20"/>
        </w:trPr>
        <w:tc>
          <w:tcPr>
            <w:tcW w:w="1790" w:type="pct"/>
            <w:shd w:val="clear" w:color="auto" w:fill="auto"/>
            <w:vAlign w:val="center"/>
          </w:tcPr>
          <w:p w14:paraId="0EB5C120" w14:textId="77777777" w:rsidR="00FC3308" w:rsidRPr="002A2F05" w:rsidRDefault="00FC3308" w:rsidP="00FC3308">
            <w:pPr>
              <w:spacing w:before="60" w:after="60" w:line="240" w:lineRule="auto"/>
              <w:rPr>
                <w:sz w:val="18"/>
                <w:szCs w:val="18"/>
              </w:rPr>
            </w:pPr>
            <w:r w:rsidRPr="002A2F05">
              <w:rPr>
                <w:sz w:val="18"/>
                <w:szCs w:val="18"/>
              </w:rPr>
              <w:t>Hirsutism</w:t>
            </w:r>
          </w:p>
        </w:tc>
        <w:tc>
          <w:tcPr>
            <w:tcW w:w="1411" w:type="pct"/>
            <w:vAlign w:val="center"/>
          </w:tcPr>
          <w:p w14:paraId="6DBE8F36" w14:textId="6B41BA6A" w:rsidR="00FC3308" w:rsidRPr="002A2F05" w:rsidRDefault="00FC3308" w:rsidP="00FC3308">
            <w:pPr>
              <w:spacing w:before="60" w:after="60" w:line="240" w:lineRule="auto"/>
              <w:rPr>
                <w:sz w:val="18"/>
                <w:szCs w:val="18"/>
              </w:rPr>
            </w:pPr>
            <w:r w:rsidRPr="002A2F05">
              <w:rPr>
                <w:sz w:val="18"/>
                <w:szCs w:val="18"/>
              </w:rPr>
              <w:t>0.00</w:t>
            </w:r>
          </w:p>
        </w:tc>
        <w:tc>
          <w:tcPr>
            <w:tcW w:w="1799" w:type="pct"/>
            <w:vAlign w:val="center"/>
          </w:tcPr>
          <w:p w14:paraId="4288F95D" w14:textId="77777777" w:rsidR="00FC3308" w:rsidRPr="002A2F05" w:rsidRDefault="00FC3308" w:rsidP="00FC3308">
            <w:pPr>
              <w:spacing w:before="60" w:after="60" w:line="240" w:lineRule="auto"/>
              <w:rPr>
                <w:sz w:val="18"/>
                <w:szCs w:val="18"/>
              </w:rPr>
            </w:pPr>
            <w:r w:rsidRPr="002A2F05">
              <w:rPr>
                <w:sz w:val="18"/>
                <w:szCs w:val="18"/>
              </w:rPr>
              <w:t>Assumption</w:t>
            </w:r>
          </w:p>
        </w:tc>
      </w:tr>
      <w:tr w:rsidR="00FC3308" w:rsidRPr="002A2F05" w14:paraId="6F17FAF4" w14:textId="77777777" w:rsidTr="002A2F05">
        <w:trPr>
          <w:trHeight w:val="20"/>
        </w:trPr>
        <w:tc>
          <w:tcPr>
            <w:tcW w:w="1790" w:type="pct"/>
            <w:shd w:val="clear" w:color="auto" w:fill="auto"/>
            <w:vAlign w:val="center"/>
          </w:tcPr>
          <w:p w14:paraId="0F0874FA" w14:textId="77777777" w:rsidR="00FC3308" w:rsidRPr="002A2F05" w:rsidRDefault="00FC3308" w:rsidP="00FC3308">
            <w:pPr>
              <w:spacing w:before="60" w:after="60" w:line="240" w:lineRule="auto"/>
              <w:rPr>
                <w:sz w:val="18"/>
                <w:szCs w:val="18"/>
              </w:rPr>
            </w:pPr>
            <w:r w:rsidRPr="002A2F05">
              <w:rPr>
                <w:sz w:val="18"/>
                <w:szCs w:val="18"/>
              </w:rPr>
              <w:t>Upper respiratory tract infection</w:t>
            </w:r>
          </w:p>
        </w:tc>
        <w:tc>
          <w:tcPr>
            <w:tcW w:w="1411" w:type="pct"/>
            <w:vAlign w:val="center"/>
          </w:tcPr>
          <w:p w14:paraId="527C563D" w14:textId="539972D6" w:rsidR="00FC3308" w:rsidRPr="002A2F05" w:rsidRDefault="009A7116" w:rsidP="00FC3308">
            <w:pPr>
              <w:spacing w:before="60" w:after="60" w:line="240" w:lineRule="auto"/>
              <w:rPr>
                <w:sz w:val="18"/>
                <w:szCs w:val="18"/>
              </w:rPr>
            </w:pPr>
            <w:r w:rsidRPr="002A2F05">
              <w:rPr>
                <w:sz w:val="18"/>
                <w:szCs w:val="18"/>
              </w:rPr>
              <w:t>-0.03</w:t>
            </w:r>
          </w:p>
        </w:tc>
        <w:tc>
          <w:tcPr>
            <w:tcW w:w="1799" w:type="pct"/>
            <w:vAlign w:val="center"/>
          </w:tcPr>
          <w:p w14:paraId="07053D94" w14:textId="7C83322A" w:rsidR="00FC3308" w:rsidRPr="002A2F05" w:rsidRDefault="00FC3308" w:rsidP="00FC3308">
            <w:pPr>
              <w:spacing w:before="60" w:after="60" w:line="240" w:lineRule="auto"/>
              <w:rPr>
                <w:sz w:val="18"/>
                <w:szCs w:val="18"/>
              </w:rPr>
            </w:pPr>
            <w:r w:rsidRPr="002A2F05">
              <w:rPr>
                <w:sz w:val="18"/>
                <w:szCs w:val="18"/>
              </w:rPr>
              <w:t>Sullivan et al., 2006</w:t>
            </w:r>
            <w:r w:rsidRPr="002A2F05">
              <w:fldChar w:fldCharType="begin"/>
            </w:r>
            <w:r w:rsidR="00BC31E6">
              <w:instrText xml:space="preserve"> ADDIN ZOTERO_ITEM CSL_CITATION {"citationID":"tD8q7ClH","properties":{"formattedCitation":"\\super 53\\nosupersub{}","plainCitation":"53","noteIndex":0},"citationItems":[{"id":6303,"uris":["http://zotero.org/groups/2828856/items/DGKPQHMZ"],"itemData":{"id":6303,"type":"article-journal","abstract":"Background\nThe Panel on Cost-Effectiveness in Health and Medicine has called for an “off-the-shelf” catalogue of nationally representative, community-based preference scores for health states, illnesses, and conditions. A previous review of cost-effectiveness analyses found that 77% did not incorporate community-based preferences, and 33% used arbitrary expert or author judgment. These results highlight the necessity of making a wide array of appropriate, community-based estimates more accessible to cost-effectiveness researchers.\n\nObjective\nTo provide nationally representative EQ-5D index scores for chronic ICD-9 codes.\n\nMethods\nThe nationally representative Medical Expenditure Panel Survey (MEPS) was pooled (2000−2002) to create a data set of 38,678 adults. Ordinary least squares (OLS), Tobit, and censored least absolute deviations (CLAD) regression methods were used to estimate the marginal disutility of each condition, controlling for age, comorbidity, gender, race, ethnicity, income, and education.\n\nResults\nMost chronic conditions, age, comorbidity, income, and education were highly statistically significant predictors of EQ-5D index scores. Homoskedasticity and normality assumptions were rejected, suggesting only CLAD estimates are theoretically unbiased. The magnitude and statistical significance of coefficients varied by analytic method. OLS and Tobit coefficients were on average 60% and 143% greater than CLAD, respectively. The marginal disutility of 95 chronic ICD-9 codes as well as unadjusted mean, median, and 25th and 75th percentiles are reported.\n\nConclusion\nThis research provides nationally representative, community-based EQ-5D index scores associated with a wide variety of chronic ICD-9 codes that can be used to estimate quality-adjusted life-years in cost-effectiveness analyses.","container-title":"Medical decision making : an international journal of the Society for Medical Decision Making","DOI":"10.1177/0272989X06290495","ISSN":"0272-989X","issue":"4","journalAbbreviation":"Med Decis Making","page":"410-420","source":"PubMed Central","title":"Preference-Based EQ-5D Index Scores for Chronic Conditions in the United States","volume":"26","author":[{"family":"Sullivan","given":"Patrick W."},{"family":"Ghushchyan","given":"Vahram"}],"issued":{"date-parts":[["2006"]]}}}],"schema":"https://github.com/citation-style-language/schema/raw/master/csl-citation.json"} </w:instrText>
            </w:r>
            <w:r w:rsidRPr="002A2F05">
              <w:fldChar w:fldCharType="separate"/>
            </w:r>
            <w:r w:rsidR="00BC31E6" w:rsidRPr="00BC31E6">
              <w:rPr>
                <w:rFonts w:cs="Arial"/>
                <w:sz w:val="18"/>
                <w:vertAlign w:val="superscript"/>
              </w:rPr>
              <w:t>53</w:t>
            </w:r>
            <w:r w:rsidRPr="002A2F05">
              <w:fldChar w:fldCharType="end"/>
            </w:r>
          </w:p>
        </w:tc>
      </w:tr>
      <w:tr w:rsidR="00FC3308" w:rsidRPr="002A2F05" w14:paraId="4A34D1D2" w14:textId="77777777" w:rsidTr="002A2F05">
        <w:trPr>
          <w:trHeight w:val="20"/>
        </w:trPr>
        <w:tc>
          <w:tcPr>
            <w:tcW w:w="1790" w:type="pct"/>
            <w:shd w:val="clear" w:color="auto" w:fill="auto"/>
            <w:vAlign w:val="center"/>
          </w:tcPr>
          <w:p w14:paraId="06035895" w14:textId="77777777" w:rsidR="00FC3308" w:rsidRPr="002A2F05" w:rsidRDefault="00FC3308" w:rsidP="00FC3308">
            <w:pPr>
              <w:spacing w:before="60" w:after="60" w:line="240" w:lineRule="auto"/>
              <w:rPr>
                <w:sz w:val="18"/>
                <w:szCs w:val="18"/>
              </w:rPr>
            </w:pPr>
            <w:r w:rsidRPr="002A2F05">
              <w:rPr>
                <w:sz w:val="18"/>
                <w:szCs w:val="18"/>
              </w:rPr>
              <w:t>Transplant failure (acute rejection)**</w:t>
            </w:r>
          </w:p>
        </w:tc>
        <w:tc>
          <w:tcPr>
            <w:tcW w:w="1411" w:type="pct"/>
            <w:vAlign w:val="center"/>
          </w:tcPr>
          <w:p w14:paraId="4969FC02" w14:textId="40D75F2C" w:rsidR="00FC3308" w:rsidRPr="002A2F05" w:rsidRDefault="00B4605A" w:rsidP="00FC3308">
            <w:pPr>
              <w:spacing w:before="60" w:after="60" w:line="240" w:lineRule="auto"/>
              <w:rPr>
                <w:sz w:val="18"/>
                <w:szCs w:val="18"/>
              </w:rPr>
            </w:pPr>
            <w:r w:rsidRPr="002A2F05">
              <w:rPr>
                <w:sz w:val="18"/>
                <w:szCs w:val="18"/>
              </w:rPr>
              <w:t>-0.11</w:t>
            </w:r>
          </w:p>
        </w:tc>
        <w:tc>
          <w:tcPr>
            <w:tcW w:w="1799" w:type="pct"/>
            <w:vAlign w:val="center"/>
          </w:tcPr>
          <w:p w14:paraId="01F5B531" w14:textId="324CFE28" w:rsidR="00FC3308" w:rsidRPr="002A2F05" w:rsidRDefault="00FC3308" w:rsidP="00FC3308">
            <w:pPr>
              <w:spacing w:before="60" w:after="60" w:line="240" w:lineRule="auto"/>
              <w:rPr>
                <w:sz w:val="18"/>
                <w:szCs w:val="18"/>
              </w:rPr>
            </w:pPr>
            <w:r w:rsidRPr="002A2F05">
              <w:rPr>
                <w:sz w:val="18"/>
                <w:szCs w:val="18"/>
              </w:rPr>
              <w:t>Sussell et al., 2006</w:t>
            </w:r>
            <w:r w:rsidRPr="002A2F05">
              <w:rPr>
                <w:sz w:val="18"/>
                <w:szCs w:val="18"/>
              </w:rPr>
              <w:fldChar w:fldCharType="begin"/>
            </w:r>
            <w:r w:rsidR="00BC31E6">
              <w:rPr>
                <w:sz w:val="18"/>
                <w:szCs w:val="18"/>
              </w:rPr>
              <w:instrText xml:space="preserve"> ADDIN ZOTERO_ITEM CSL_CITATION {"citationID":"HNozvP1G","properties":{"formattedCitation":"\\super 56\\nosupersub{}","plainCitation":"56","noteIndex":0},"citationItems":[{"id":"EiB8jDoc/2RTviLgG","uris":["http://zotero.org/users/local/qxFfvzXz/items/JTEC5S7U"],"itemData":{"id":"qb4QOnUN/9zrwx88I","type":"article-journal","abstract":"Despite improvements in outcomes for kidney transplant recipients in the past decade, graft failure continues to impose substantial burden on patients. However, the population-wide economic burden of graft failure has not been quantified. This study aims to fill that gap by comparing outcomes from a simulation model of kidney transplant patients in which patients are at risk for graft failure with an alternative simulation in which the risk of graft failure is assumed to be zero. Transitions through the model were estimated using Scientific Registry of Transplant Recipients data from 1987 to 2017. We estimated lifetime costs, overall survival, and quality-adjusted life-years (QALYs) for both scenarios and calculated the difference between them to obtain the burden of graft failure. We find that for the average patient, graft failure will impose additional medical costs of $78 079 (95% confidence interval [CI] $41 074, $112 409) and a loss of 1.66 QALYs (95% CI 1.15, 2.18). Given 17 644 kidney transplants in 2017, the total incremental lifetime medical costs associated with graft failure is $1.38B (95% CI $725M, $1.98B) and the total QALY loss is 29 289 (95% CI 20 291, 38 464). Efforts to reduce the incidence of graft failure or to mitigate its impact are urgently needed.","container-title":"American Journal of Transplantation","DOI":"10.1111/ajt.15750","ISSN":"1600-6143","issue":"5","language":"en","note":"_eprint: https://onlinelibrary.wiley.com/doi/pdf/10.1111/ajt.15750","page":"1323-1333","source":"Wiley Online Library","title":"The economic burden of kidney graft failure in the United States","volume":"20","author":[{"family":"Sussell","given":"Jesse"},{"family":"Silverstein","given":"Alison R."},{"family":"Goutam","given":"Prodyumna"},{"family":"Incerti","given":"Devin"},{"family":"Kee","given":"Rebecca"},{"family":"Chen","given":"Corinna X."},{"family":"Batty","given":"Donald S."},{"family":"Jansen","given":"Jeroen P."},{"family":"Kasiske","given":"Bertram L."}],"issued":{"date-parts":[["2020"]]}}}],"schema":"https://github.com/citation-style-language/schema/raw/master/csl-citation.json"} </w:instrText>
            </w:r>
            <w:r w:rsidRPr="002A2F05">
              <w:rPr>
                <w:sz w:val="18"/>
                <w:szCs w:val="18"/>
              </w:rPr>
              <w:fldChar w:fldCharType="separate"/>
            </w:r>
            <w:r w:rsidR="00BC31E6" w:rsidRPr="00BC31E6">
              <w:rPr>
                <w:rFonts w:cs="Arial"/>
                <w:sz w:val="18"/>
                <w:vertAlign w:val="superscript"/>
              </w:rPr>
              <w:t>56</w:t>
            </w:r>
            <w:r w:rsidRPr="002A2F05">
              <w:rPr>
                <w:sz w:val="18"/>
                <w:szCs w:val="18"/>
              </w:rPr>
              <w:fldChar w:fldCharType="end"/>
            </w:r>
          </w:p>
        </w:tc>
      </w:tr>
    </w:tbl>
    <w:p w14:paraId="629BED8B" w14:textId="6F46B906" w:rsidR="003655B0" w:rsidRPr="002A2F05" w:rsidRDefault="004223DF" w:rsidP="00265658">
      <w:pPr>
        <w:pStyle w:val="tablelegend"/>
      </w:pPr>
      <w:r w:rsidRPr="002A2F05">
        <w:rPr>
          <w:b/>
        </w:rPr>
        <w:t>Abbreviations:</w:t>
      </w:r>
      <w:r w:rsidRPr="002A2F05">
        <w:t xml:space="preserve"> </w:t>
      </w:r>
      <w:r w:rsidR="008B0F67" w:rsidRPr="002A2F05">
        <w:t>AE, adverse event;</w:t>
      </w:r>
      <w:r w:rsidR="00B067F1">
        <w:t xml:space="preserve"> BSC, best supportive care;</w:t>
      </w:r>
      <w:r w:rsidR="008B0F67" w:rsidRPr="002A2F05">
        <w:t xml:space="preserve"> </w:t>
      </w:r>
      <w:r w:rsidR="00B067F1" w:rsidRPr="002A2F05">
        <w:t>ICER, Institute for Clinical and Economic Review</w:t>
      </w:r>
      <w:r w:rsidR="00B067F1">
        <w:t xml:space="preserve">; </w:t>
      </w:r>
      <w:r w:rsidR="0048567B" w:rsidRPr="002A2F05">
        <w:t>TEAEs, treatment emergent adverse events</w:t>
      </w:r>
      <w:r w:rsidR="008B621E" w:rsidRPr="002A2F05">
        <w:t>.</w:t>
      </w:r>
      <w:r w:rsidR="003655B0" w:rsidRPr="002A2F05">
        <w:t xml:space="preserve"> </w:t>
      </w:r>
    </w:p>
    <w:p w14:paraId="303D78AF" w14:textId="625303F5" w:rsidR="006F55D4" w:rsidRPr="001A7695" w:rsidRDefault="003655B0" w:rsidP="001A7695">
      <w:pPr>
        <w:pStyle w:val="tablelegend"/>
      </w:pPr>
      <w:r w:rsidRPr="002A2F05">
        <w:t>**post-transplant AE</w:t>
      </w:r>
    </w:p>
    <w:sectPr w:rsidR="006F55D4" w:rsidRPr="001A7695" w:rsidSect="00C94612">
      <w:footerReference w:type="even" r:id="rId11"/>
      <w:footerReference w:type="default" r:id="rId12"/>
      <w:footerReference w:type="first" r:id="rId13"/>
      <w:pgSz w:w="12240" w:h="15840"/>
      <w:pgMar w:top="1440" w:right="1800" w:bottom="1440" w:left="180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9AB4A" w14:textId="77777777" w:rsidR="006D6BF5" w:rsidRDefault="006D6BF5">
      <w:r>
        <w:separator/>
      </w:r>
    </w:p>
  </w:endnote>
  <w:endnote w:type="continuationSeparator" w:id="0">
    <w:p w14:paraId="7B287F5F" w14:textId="77777777" w:rsidR="006D6BF5" w:rsidRDefault="006D6BF5">
      <w:r>
        <w:continuationSeparator/>
      </w:r>
    </w:p>
  </w:endnote>
  <w:endnote w:type="continuationNotice" w:id="1">
    <w:p w14:paraId="576CEDD8" w14:textId="77777777" w:rsidR="006D6BF5" w:rsidRDefault="006D6B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89816" w14:textId="73C96581" w:rsidR="006C5368" w:rsidRDefault="006C5368" w:rsidP="00F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6D9B">
      <w:rPr>
        <w:rStyle w:val="PageNumber"/>
        <w:noProof/>
      </w:rPr>
      <w:t>4</w:t>
    </w:r>
    <w:r>
      <w:rPr>
        <w:rStyle w:val="PageNumber"/>
      </w:rPr>
      <w:fldChar w:fldCharType="end"/>
    </w:r>
  </w:p>
  <w:p w14:paraId="2CAF2E2E" w14:textId="77777777" w:rsidR="006C5368" w:rsidRDefault="006C5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767A7" w14:textId="3BA38A00" w:rsidR="006C5368" w:rsidRDefault="00650A07" w:rsidP="00FF2660">
    <w:pPr>
      <w:pStyle w:val="Footer"/>
      <w:framePr w:wrap="around" w:vAnchor="text" w:hAnchor="margin" w:xAlign="center" w:y="1"/>
      <w:rPr>
        <w:rStyle w:val="PageNumber"/>
      </w:rPr>
    </w:pPr>
    <w:r>
      <w:rPr>
        <w:noProof/>
      </w:rPr>
      <mc:AlternateContent>
        <mc:Choice Requires="wps">
          <w:drawing>
            <wp:anchor distT="0" distB="0" distL="114300" distR="114300" simplePos="0" relativeHeight="251659264" behindDoc="0" locked="0" layoutInCell="0" allowOverlap="1" wp14:anchorId="0BF1EEA8" wp14:editId="0417133E">
              <wp:simplePos x="0" y="0"/>
              <wp:positionH relativeFrom="page">
                <wp:posOffset>0</wp:posOffset>
              </wp:positionH>
              <wp:positionV relativeFrom="page">
                <wp:posOffset>9603740</wp:posOffset>
              </wp:positionV>
              <wp:extent cx="7772400" cy="263525"/>
              <wp:effectExtent l="0" t="0" r="0" b="3175"/>
              <wp:wrapNone/>
              <wp:docPr id="1" name="MSIPCM5793442fbac7d2c60708069f" descr="{&quot;HashCode&quot;:-134840300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025948" w14:textId="32ED00CA" w:rsidR="00650A07" w:rsidRPr="00650A07" w:rsidRDefault="00650A07" w:rsidP="00650A07">
                          <w:pPr>
                            <w:rPr>
                              <w:rFonts w:ascii="Rockwell" w:hAnsi="Rockwell"/>
                              <w:color w:val="0078D7"/>
                              <w:sz w:val="18"/>
                            </w:rPr>
                          </w:pPr>
                          <w:r w:rsidRPr="00650A07">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BF1EEA8" id="_x0000_t202" coordsize="21600,21600" o:spt="202" path="m,l,21600r21600,l21600,xe">
              <v:stroke joinstyle="miter"/>
              <v:path gradientshapeok="t" o:connecttype="rect"/>
            </v:shapetype>
            <v:shape id="MSIPCM5793442fbac7d2c60708069f" o:spid="_x0000_s1026" type="#_x0000_t202" alt="{&quot;HashCode&quot;:-1348403003,&quot;Height&quot;:792.0,&quot;Width&quot;:612.0,&quot;Placement&quot;:&quot;Footer&quot;,&quot;Index&quot;:&quot;Primary&quot;,&quot;Section&quot;:1,&quot;Top&quot;:0.0,&quot;Left&quot;:0.0}" style="position:absolute;margin-left:0;margin-top:756.2pt;width:612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" o:allowincell="f" filled="f" stroked="f" strokeweight=".5pt">
              <v:textbox inset="20pt,0,,0">
                <w:txbxContent>
                  <w:p w14:paraId="3D025948" w14:textId="32ED00CA" w:rsidR="00650A07" w:rsidRPr="00650A07" w:rsidRDefault="00650A07" w:rsidP="00650A07">
                    <w:pPr>
                      <w:rPr>
                        <w:rFonts w:ascii="Rockwell" w:hAnsi="Rockwell"/>
                        <w:color w:val="0078D7"/>
                        <w:sz w:val="18"/>
                      </w:rPr>
                    </w:pPr>
                    <w:r w:rsidRPr="00650A07">
                      <w:rPr>
                        <w:rFonts w:ascii="Rockwell" w:hAnsi="Rockwell"/>
                        <w:color w:val="0078D7"/>
                        <w:sz w:val="18"/>
                      </w:rPr>
                      <w:t>Information Classification: General</w:t>
                    </w:r>
                  </w:p>
                </w:txbxContent>
              </v:textbox>
              <w10:wrap anchorx="page" anchory="page"/>
            </v:shape>
          </w:pict>
        </mc:Fallback>
      </mc:AlternateContent>
    </w:r>
    <w:r w:rsidR="006C5368">
      <w:rPr>
        <w:rStyle w:val="PageNumber"/>
      </w:rPr>
      <w:fldChar w:fldCharType="begin"/>
    </w:r>
    <w:r w:rsidR="006C5368">
      <w:rPr>
        <w:rStyle w:val="PageNumber"/>
      </w:rPr>
      <w:instrText xml:space="preserve">PAGE  </w:instrText>
    </w:r>
    <w:r w:rsidR="006C5368">
      <w:rPr>
        <w:rStyle w:val="PageNumber"/>
      </w:rPr>
      <w:fldChar w:fldCharType="separate"/>
    </w:r>
    <w:r w:rsidR="00C94612">
      <w:rPr>
        <w:rStyle w:val="PageNumber"/>
        <w:noProof/>
      </w:rPr>
      <w:t>5</w:t>
    </w:r>
    <w:r w:rsidR="006C5368">
      <w:rPr>
        <w:rStyle w:val="PageNumber"/>
      </w:rPr>
      <w:fldChar w:fldCharType="end"/>
    </w:r>
  </w:p>
  <w:p w14:paraId="57E037CD" w14:textId="77777777" w:rsidR="006C5368" w:rsidRDefault="006C5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62886" w14:textId="23AEEDFB" w:rsidR="00650A07" w:rsidRDefault="00650A07">
    <w:pPr>
      <w:pStyle w:val="Footer"/>
    </w:pPr>
    <w:r>
      <w:rPr>
        <w:noProof/>
      </w:rPr>
      <mc:AlternateContent>
        <mc:Choice Requires="wps">
          <w:drawing>
            <wp:anchor distT="0" distB="0" distL="114300" distR="114300" simplePos="0" relativeHeight="251660288" behindDoc="0" locked="0" layoutInCell="0" allowOverlap="1" wp14:anchorId="08EC8862" wp14:editId="0BBC1095">
              <wp:simplePos x="0" y="0"/>
              <wp:positionH relativeFrom="page">
                <wp:posOffset>0</wp:posOffset>
              </wp:positionH>
              <wp:positionV relativeFrom="page">
                <wp:posOffset>9603740</wp:posOffset>
              </wp:positionV>
              <wp:extent cx="7772400" cy="263525"/>
              <wp:effectExtent l="0" t="0" r="0" b="3175"/>
              <wp:wrapNone/>
              <wp:docPr id="2" name="MSIPCM99a7468aa96423a6fb4042dc" descr="{&quot;HashCode&quot;:-1348403003,&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DAC71B" w14:textId="48A92E02" w:rsidR="00650A07" w:rsidRPr="00650A07" w:rsidRDefault="00650A07" w:rsidP="00650A07">
                          <w:pPr>
                            <w:rPr>
                              <w:rFonts w:ascii="Rockwell" w:hAnsi="Rockwell"/>
                              <w:color w:val="0078D7"/>
                              <w:sz w:val="18"/>
                            </w:rPr>
                          </w:pPr>
                          <w:r w:rsidRPr="00650A07">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8EC8862" id="_x0000_t202" coordsize="21600,21600" o:spt="202" path="m,l,21600r21600,l21600,xe">
              <v:stroke joinstyle="miter"/>
              <v:path gradientshapeok="t" o:connecttype="rect"/>
            </v:shapetype>
            <v:shape id="MSIPCM99a7468aa96423a6fb4042dc" o:spid="_x0000_s1027" type="#_x0000_t202" alt="{&quot;HashCode&quot;:-1348403003,&quot;Height&quot;:792.0,&quot;Width&quot;:612.0,&quot;Placement&quot;:&quot;Footer&quot;,&quot;Index&quot;:&quot;FirstPage&quot;,&quot;Section&quot;:1,&quot;Top&quot;:0.0,&quot;Left&quot;:0.0}" style="position:absolute;margin-left:0;margin-top:756.2pt;width:612pt;height:20.7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" o:allowincell="f" filled="f" stroked="f" strokeweight=".5pt">
              <v:textbox inset="20pt,0,,0">
                <w:txbxContent>
                  <w:p w14:paraId="7FDAC71B" w14:textId="48A92E02" w:rsidR="00650A07" w:rsidRPr="00650A07" w:rsidRDefault="00650A07" w:rsidP="00650A07">
                    <w:pPr>
                      <w:rPr>
                        <w:rFonts w:ascii="Rockwell" w:hAnsi="Rockwell"/>
                        <w:color w:val="0078D7"/>
                        <w:sz w:val="18"/>
                      </w:rPr>
                    </w:pPr>
                    <w:r w:rsidRPr="00650A07">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A9833" w14:textId="77777777" w:rsidR="006D6BF5" w:rsidRDefault="006D6BF5">
      <w:r>
        <w:separator/>
      </w:r>
    </w:p>
  </w:footnote>
  <w:footnote w:type="continuationSeparator" w:id="0">
    <w:p w14:paraId="511056D2" w14:textId="77777777" w:rsidR="006D6BF5" w:rsidRDefault="006D6BF5">
      <w:r>
        <w:continuationSeparator/>
      </w:r>
    </w:p>
  </w:footnote>
  <w:footnote w:type="continuationNotice" w:id="1">
    <w:p w14:paraId="6E0DAF22" w14:textId="77777777" w:rsidR="006D6BF5" w:rsidRDefault="006D6BF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8D4"/>
    <w:multiLevelType w:val="hybridMultilevel"/>
    <w:tmpl w:val="9D6E3286"/>
    <w:lvl w:ilvl="0" w:tplc="F7CC12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E5334"/>
    <w:multiLevelType w:val="hybridMultilevel"/>
    <w:tmpl w:val="838C3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A0F0A"/>
    <w:multiLevelType w:val="hybridMultilevel"/>
    <w:tmpl w:val="1B6A0746"/>
    <w:lvl w:ilvl="0" w:tplc="008C4936">
      <w:start w:val="1"/>
      <w:numFmt w:val="bullet"/>
      <w:pStyle w:val="BULLETA"/>
      <w:lvlText w:val=""/>
      <w:lvlJc w:val="left"/>
      <w:pPr>
        <w:tabs>
          <w:tab w:val="num" w:pos="360"/>
        </w:tabs>
        <w:ind w:left="360" w:hanging="360"/>
      </w:pPr>
      <w:rPr>
        <w:rFonts w:ascii="Wingdings" w:hAnsi="Wingdings" w:hint="default"/>
        <w:color w:val="808080"/>
      </w:rPr>
    </w:lvl>
    <w:lvl w:ilvl="1" w:tplc="EE8619B4">
      <w:start w:val="1"/>
      <w:numFmt w:val="bullet"/>
      <w:lvlText w:val=""/>
      <w:lvlJc w:val="left"/>
      <w:pPr>
        <w:tabs>
          <w:tab w:val="num" w:pos="720"/>
        </w:tabs>
        <w:ind w:left="720" w:hanging="360"/>
      </w:pPr>
      <w:rPr>
        <w:rFonts w:ascii="Wingdings" w:hAnsi="Wingdings" w:hint="default"/>
        <w:color w:val="808080"/>
      </w:rPr>
    </w:lvl>
    <w:lvl w:ilvl="2" w:tplc="EE8619B4">
      <w:start w:val="1"/>
      <w:numFmt w:val="bullet"/>
      <w:lvlText w:val=""/>
      <w:lvlJc w:val="left"/>
      <w:pPr>
        <w:tabs>
          <w:tab w:val="num" w:pos="2160"/>
        </w:tabs>
        <w:ind w:left="2160" w:hanging="360"/>
      </w:pPr>
      <w:rPr>
        <w:rFonts w:ascii="Wingdings" w:hAnsi="Wingdings" w:hint="default"/>
        <w:color w:val="80808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072BF7"/>
    <w:multiLevelType w:val="hybridMultilevel"/>
    <w:tmpl w:val="981E3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A73F26"/>
    <w:multiLevelType w:val="hybridMultilevel"/>
    <w:tmpl w:val="E856BE66"/>
    <w:lvl w:ilvl="0" w:tplc="BF9AFF4E">
      <w:start w:val="1"/>
      <w:numFmt w:val="bullet"/>
      <w:lvlText w:val=""/>
      <w:lvlJc w:val="left"/>
      <w:pPr>
        <w:ind w:left="360" w:hanging="360"/>
      </w:pPr>
      <w:rPr>
        <w:rFonts w:ascii="Wingdings" w:hAnsi="Wingdings" w:hint="default"/>
        <w:b w:val="0"/>
        <w:i w:val="0"/>
        <w:caps w:val="0"/>
        <w:strike w:val="0"/>
        <w:dstrike w:val="0"/>
        <w:vanish w:val="0"/>
        <w:color w:val="713BB8"/>
        <w:sz w:val="20"/>
        <w:szCs w:val="20"/>
        <w:u w:val="none" w:color="FFFFFF"/>
        <w:vertAlign w:val="baseline"/>
      </w:rPr>
    </w:lvl>
    <w:lvl w:ilvl="1" w:tplc="E4A4247C">
      <w:start w:val="1"/>
      <w:numFmt w:val="bullet"/>
      <w:lvlText w:val="o"/>
      <w:lvlJc w:val="left"/>
      <w:pPr>
        <w:ind w:left="1080" w:hanging="360"/>
      </w:pPr>
      <w:rPr>
        <w:rFonts w:ascii="Courier New" w:hAnsi="Courier New" w:cs="Courier New" w:hint="default"/>
      </w:rPr>
    </w:lvl>
    <w:lvl w:ilvl="2" w:tplc="F3D82858">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08350E"/>
    <w:multiLevelType w:val="hybridMultilevel"/>
    <w:tmpl w:val="14EE51C2"/>
    <w:lvl w:ilvl="0" w:tplc="768C7F22">
      <w:start w:val="1"/>
      <w:numFmt w:val="bullet"/>
      <w:pStyle w:val="Tablebulletlevel1"/>
      <w:lvlText w:val=""/>
      <w:lvlJc w:val="left"/>
      <w:pPr>
        <w:ind w:left="360" w:hanging="360"/>
      </w:pPr>
      <w:rPr>
        <w:rFonts w:ascii="Wingdings" w:hAnsi="Wingdings" w:hint="default"/>
        <w:b w:val="0"/>
        <w:i w:val="0"/>
        <w:caps w:val="0"/>
        <w:strike w:val="0"/>
        <w:dstrike w:val="0"/>
        <w:vanish w:val="0"/>
        <w:color w:val="000000" w:themeColor="text1"/>
        <w:sz w:val="20"/>
        <w:szCs w:val="20"/>
        <w:u w:val="none" w:color="FFFFFF"/>
        <w:vertAlign w:val="baseline"/>
      </w:rPr>
    </w:lvl>
    <w:lvl w:ilvl="1" w:tplc="FFFFFFFF">
      <w:start w:val="1"/>
      <w:numFmt w:val="bullet"/>
      <w:pStyle w:val="Tablebulletlevel2"/>
      <w:lvlText w:val="o"/>
      <w:lvlJc w:val="left"/>
      <w:pPr>
        <w:ind w:left="1080" w:hanging="360"/>
      </w:pPr>
      <w:rPr>
        <w:rFonts w:ascii="Courier New" w:hAnsi="Courier New" w:cs="Courier New" w:hint="default"/>
      </w:rPr>
    </w:lvl>
    <w:lvl w:ilvl="2" w:tplc="FFFFFFFF">
      <w:start w:val="1"/>
      <w:numFmt w:val="bullet"/>
      <w:pStyle w:val="Tablebulletlevel3"/>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BB877F6"/>
    <w:multiLevelType w:val="hybridMultilevel"/>
    <w:tmpl w:val="C0A64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A5B49B1"/>
    <w:multiLevelType w:val="hybridMultilevel"/>
    <w:tmpl w:val="989AB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3940624">
    <w:abstractNumId w:val="4"/>
  </w:num>
  <w:num w:numId="2" w16cid:durableId="1407457599">
    <w:abstractNumId w:val="7"/>
  </w:num>
  <w:num w:numId="3" w16cid:durableId="1240290071">
    <w:abstractNumId w:val="12"/>
  </w:num>
  <w:num w:numId="4" w16cid:durableId="709719439">
    <w:abstractNumId w:val="10"/>
  </w:num>
  <w:num w:numId="5" w16cid:durableId="1838155962">
    <w:abstractNumId w:val="3"/>
  </w:num>
  <w:num w:numId="6" w16cid:durableId="1889804443">
    <w:abstractNumId w:val="11"/>
  </w:num>
  <w:num w:numId="7" w16cid:durableId="300383884">
    <w:abstractNumId w:val="2"/>
  </w:num>
  <w:num w:numId="8" w16cid:durableId="1462336833">
    <w:abstractNumId w:val="6"/>
  </w:num>
  <w:num w:numId="9" w16cid:durableId="681202832">
    <w:abstractNumId w:val="13"/>
  </w:num>
  <w:num w:numId="10" w16cid:durableId="861212720">
    <w:abstractNumId w:val="8"/>
  </w:num>
  <w:num w:numId="11" w16cid:durableId="626282499">
    <w:abstractNumId w:val="1"/>
  </w:num>
  <w:num w:numId="12" w16cid:durableId="285042980">
    <w:abstractNumId w:val="9"/>
  </w:num>
  <w:num w:numId="13" w16cid:durableId="1052850961">
    <w:abstractNumId w:val="5"/>
  </w:num>
  <w:num w:numId="14" w16cid:durableId="95905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wMzA1MzE2sTQwNDRW0lEKTi0uzszPAykwNKoFAHJuTsstAAAA"/>
    <w:docVar w:name="EN.InstantFormat" w:val="&lt;ENInstantFormat&gt;&lt;Enabled&gt;1&lt;/Enabled&gt;&lt;ScanUnformatted&gt;1&lt;/ScanUnformatted&gt;&lt;ScanChanges&gt;1&lt;/ScanChanges&gt;&lt;Suspended&gt;1&lt;/Suspended&gt;&lt;/ENInstantFormat&gt;"/>
    <w:docVar w:name="EN.Libraries" w:val="&lt;ENLibraries&gt;&lt;Libraries&gt;&lt;item&gt;Contraceptives Implantable-Converted.enl&lt;/item&gt;&lt;/Libraries&gt;&lt;/ENLibraries&gt;"/>
  </w:docVars>
  <w:rsids>
    <w:rsidRoot w:val="00B30BC3"/>
    <w:rsid w:val="000001CD"/>
    <w:rsid w:val="0000044D"/>
    <w:rsid w:val="00000B16"/>
    <w:rsid w:val="00001E16"/>
    <w:rsid w:val="00002AEE"/>
    <w:rsid w:val="00002B7E"/>
    <w:rsid w:val="000033F3"/>
    <w:rsid w:val="000038DD"/>
    <w:rsid w:val="000043A0"/>
    <w:rsid w:val="0000464F"/>
    <w:rsid w:val="00005549"/>
    <w:rsid w:val="000058D2"/>
    <w:rsid w:val="00006E2A"/>
    <w:rsid w:val="00007362"/>
    <w:rsid w:val="00007C45"/>
    <w:rsid w:val="000110F0"/>
    <w:rsid w:val="00011B79"/>
    <w:rsid w:val="00012C13"/>
    <w:rsid w:val="00013439"/>
    <w:rsid w:val="00013E32"/>
    <w:rsid w:val="000144E9"/>
    <w:rsid w:val="00014B7A"/>
    <w:rsid w:val="0001517C"/>
    <w:rsid w:val="00015F36"/>
    <w:rsid w:val="00016861"/>
    <w:rsid w:val="00017329"/>
    <w:rsid w:val="00017B9F"/>
    <w:rsid w:val="0002077A"/>
    <w:rsid w:val="000239BE"/>
    <w:rsid w:val="00024696"/>
    <w:rsid w:val="00025600"/>
    <w:rsid w:val="00025937"/>
    <w:rsid w:val="00025C00"/>
    <w:rsid w:val="00026900"/>
    <w:rsid w:val="00026D9B"/>
    <w:rsid w:val="00026EA6"/>
    <w:rsid w:val="00026F5F"/>
    <w:rsid w:val="00027460"/>
    <w:rsid w:val="00030215"/>
    <w:rsid w:val="000303B8"/>
    <w:rsid w:val="00030439"/>
    <w:rsid w:val="00033695"/>
    <w:rsid w:val="0003384B"/>
    <w:rsid w:val="000342A0"/>
    <w:rsid w:val="0003484A"/>
    <w:rsid w:val="00035B4E"/>
    <w:rsid w:val="00035CCC"/>
    <w:rsid w:val="00035D2D"/>
    <w:rsid w:val="00037B57"/>
    <w:rsid w:val="000436C5"/>
    <w:rsid w:val="00043C1E"/>
    <w:rsid w:val="00044833"/>
    <w:rsid w:val="00045989"/>
    <w:rsid w:val="00045DE8"/>
    <w:rsid w:val="00047C28"/>
    <w:rsid w:val="00050245"/>
    <w:rsid w:val="00050805"/>
    <w:rsid w:val="00051137"/>
    <w:rsid w:val="0005172D"/>
    <w:rsid w:val="000519F0"/>
    <w:rsid w:val="0005257A"/>
    <w:rsid w:val="00054361"/>
    <w:rsid w:val="00055B17"/>
    <w:rsid w:val="000578EB"/>
    <w:rsid w:val="00057978"/>
    <w:rsid w:val="000611C6"/>
    <w:rsid w:val="000612FF"/>
    <w:rsid w:val="00062025"/>
    <w:rsid w:val="000630E5"/>
    <w:rsid w:val="00063134"/>
    <w:rsid w:val="00063C26"/>
    <w:rsid w:val="000666AF"/>
    <w:rsid w:val="0006681A"/>
    <w:rsid w:val="00071E3A"/>
    <w:rsid w:val="0007252D"/>
    <w:rsid w:val="00073BCE"/>
    <w:rsid w:val="00074618"/>
    <w:rsid w:val="00074EDA"/>
    <w:rsid w:val="000769F7"/>
    <w:rsid w:val="000779C5"/>
    <w:rsid w:val="000808A7"/>
    <w:rsid w:val="000808B2"/>
    <w:rsid w:val="00081041"/>
    <w:rsid w:val="00083274"/>
    <w:rsid w:val="0008401B"/>
    <w:rsid w:val="0008441F"/>
    <w:rsid w:val="00085A36"/>
    <w:rsid w:val="00086205"/>
    <w:rsid w:val="000873A5"/>
    <w:rsid w:val="00087F9B"/>
    <w:rsid w:val="00090407"/>
    <w:rsid w:val="0009195D"/>
    <w:rsid w:val="00093206"/>
    <w:rsid w:val="000939D4"/>
    <w:rsid w:val="00094D08"/>
    <w:rsid w:val="0009536F"/>
    <w:rsid w:val="000969C5"/>
    <w:rsid w:val="00096C8E"/>
    <w:rsid w:val="00097505"/>
    <w:rsid w:val="00097C99"/>
    <w:rsid w:val="000A20C4"/>
    <w:rsid w:val="000A2878"/>
    <w:rsid w:val="000A38ED"/>
    <w:rsid w:val="000A4388"/>
    <w:rsid w:val="000A4BF4"/>
    <w:rsid w:val="000A5312"/>
    <w:rsid w:val="000A6354"/>
    <w:rsid w:val="000A6EEF"/>
    <w:rsid w:val="000A7A46"/>
    <w:rsid w:val="000B0741"/>
    <w:rsid w:val="000B1A0A"/>
    <w:rsid w:val="000B2374"/>
    <w:rsid w:val="000B2BC9"/>
    <w:rsid w:val="000B3289"/>
    <w:rsid w:val="000B3A34"/>
    <w:rsid w:val="000B47A2"/>
    <w:rsid w:val="000B4A89"/>
    <w:rsid w:val="000B4D53"/>
    <w:rsid w:val="000B52A0"/>
    <w:rsid w:val="000C19BF"/>
    <w:rsid w:val="000C3879"/>
    <w:rsid w:val="000C447D"/>
    <w:rsid w:val="000C4CA3"/>
    <w:rsid w:val="000C5837"/>
    <w:rsid w:val="000C59ED"/>
    <w:rsid w:val="000C5A72"/>
    <w:rsid w:val="000C6BA5"/>
    <w:rsid w:val="000C6C1E"/>
    <w:rsid w:val="000C6D93"/>
    <w:rsid w:val="000C6DAE"/>
    <w:rsid w:val="000D030E"/>
    <w:rsid w:val="000D1235"/>
    <w:rsid w:val="000D3E37"/>
    <w:rsid w:val="000D5D9B"/>
    <w:rsid w:val="000D634D"/>
    <w:rsid w:val="000D6695"/>
    <w:rsid w:val="000D6B15"/>
    <w:rsid w:val="000D7406"/>
    <w:rsid w:val="000D7B22"/>
    <w:rsid w:val="000E00EF"/>
    <w:rsid w:val="000E05E0"/>
    <w:rsid w:val="000E1DCD"/>
    <w:rsid w:val="000E2AE5"/>
    <w:rsid w:val="000E6366"/>
    <w:rsid w:val="000E636C"/>
    <w:rsid w:val="000E649F"/>
    <w:rsid w:val="000E6510"/>
    <w:rsid w:val="000E6B48"/>
    <w:rsid w:val="000E7758"/>
    <w:rsid w:val="000F0957"/>
    <w:rsid w:val="000F0B6C"/>
    <w:rsid w:val="000F521A"/>
    <w:rsid w:val="000F60E6"/>
    <w:rsid w:val="00101617"/>
    <w:rsid w:val="001016CA"/>
    <w:rsid w:val="00101ADF"/>
    <w:rsid w:val="00101E07"/>
    <w:rsid w:val="00105557"/>
    <w:rsid w:val="00105599"/>
    <w:rsid w:val="001058A3"/>
    <w:rsid w:val="00110F60"/>
    <w:rsid w:val="00111F33"/>
    <w:rsid w:val="001153D2"/>
    <w:rsid w:val="001174E4"/>
    <w:rsid w:val="00117777"/>
    <w:rsid w:val="00121DB2"/>
    <w:rsid w:val="00122125"/>
    <w:rsid w:val="001227A2"/>
    <w:rsid w:val="00122C26"/>
    <w:rsid w:val="00123C87"/>
    <w:rsid w:val="00123CDA"/>
    <w:rsid w:val="001253DA"/>
    <w:rsid w:val="00127CD5"/>
    <w:rsid w:val="00132CDF"/>
    <w:rsid w:val="001337A8"/>
    <w:rsid w:val="00133E7C"/>
    <w:rsid w:val="00134FCE"/>
    <w:rsid w:val="00135AF6"/>
    <w:rsid w:val="00135FD2"/>
    <w:rsid w:val="001375A8"/>
    <w:rsid w:val="001376F0"/>
    <w:rsid w:val="00137DBF"/>
    <w:rsid w:val="001425CF"/>
    <w:rsid w:val="00144C9B"/>
    <w:rsid w:val="001471E0"/>
    <w:rsid w:val="001473B5"/>
    <w:rsid w:val="0015090B"/>
    <w:rsid w:val="00151494"/>
    <w:rsid w:val="00152304"/>
    <w:rsid w:val="00152923"/>
    <w:rsid w:val="00153AD1"/>
    <w:rsid w:val="00154305"/>
    <w:rsid w:val="00156A0D"/>
    <w:rsid w:val="00162EA3"/>
    <w:rsid w:val="00166421"/>
    <w:rsid w:val="00166D5F"/>
    <w:rsid w:val="001670D3"/>
    <w:rsid w:val="0017004E"/>
    <w:rsid w:val="00170236"/>
    <w:rsid w:val="00170C52"/>
    <w:rsid w:val="00170F20"/>
    <w:rsid w:val="00172765"/>
    <w:rsid w:val="00173279"/>
    <w:rsid w:val="0017416F"/>
    <w:rsid w:val="001756ED"/>
    <w:rsid w:val="00176E47"/>
    <w:rsid w:val="0018171A"/>
    <w:rsid w:val="00181BAB"/>
    <w:rsid w:val="00183233"/>
    <w:rsid w:val="001836FC"/>
    <w:rsid w:val="00184A3B"/>
    <w:rsid w:val="001865DC"/>
    <w:rsid w:val="00190619"/>
    <w:rsid w:val="00191F49"/>
    <w:rsid w:val="0019355B"/>
    <w:rsid w:val="001935FB"/>
    <w:rsid w:val="0019383B"/>
    <w:rsid w:val="00194583"/>
    <w:rsid w:val="00194AAF"/>
    <w:rsid w:val="001A0ADC"/>
    <w:rsid w:val="001A3252"/>
    <w:rsid w:val="001A7695"/>
    <w:rsid w:val="001A774A"/>
    <w:rsid w:val="001A7B4A"/>
    <w:rsid w:val="001B1CB9"/>
    <w:rsid w:val="001B4338"/>
    <w:rsid w:val="001B78D7"/>
    <w:rsid w:val="001C00D5"/>
    <w:rsid w:val="001C108B"/>
    <w:rsid w:val="001C1FF0"/>
    <w:rsid w:val="001C2760"/>
    <w:rsid w:val="001C5706"/>
    <w:rsid w:val="001C6563"/>
    <w:rsid w:val="001D0A45"/>
    <w:rsid w:val="001D1650"/>
    <w:rsid w:val="001D4267"/>
    <w:rsid w:val="001D4568"/>
    <w:rsid w:val="001D4A4B"/>
    <w:rsid w:val="001D6557"/>
    <w:rsid w:val="001D6780"/>
    <w:rsid w:val="001D696B"/>
    <w:rsid w:val="001D7059"/>
    <w:rsid w:val="001D70A4"/>
    <w:rsid w:val="001D7D62"/>
    <w:rsid w:val="001E2207"/>
    <w:rsid w:val="001E26E4"/>
    <w:rsid w:val="001E2C60"/>
    <w:rsid w:val="001E2DCD"/>
    <w:rsid w:val="001E4EE1"/>
    <w:rsid w:val="001E57B1"/>
    <w:rsid w:val="001E596E"/>
    <w:rsid w:val="001E6BFC"/>
    <w:rsid w:val="001E7479"/>
    <w:rsid w:val="001F1E2C"/>
    <w:rsid w:val="001F2231"/>
    <w:rsid w:val="001F2BCE"/>
    <w:rsid w:val="001F2D13"/>
    <w:rsid w:val="001F35EC"/>
    <w:rsid w:val="001F37DE"/>
    <w:rsid w:val="001F3D65"/>
    <w:rsid w:val="001F3FCB"/>
    <w:rsid w:val="001F5427"/>
    <w:rsid w:val="001F5D93"/>
    <w:rsid w:val="001F5F9D"/>
    <w:rsid w:val="001F72F7"/>
    <w:rsid w:val="001F7F4D"/>
    <w:rsid w:val="002000EC"/>
    <w:rsid w:val="00200969"/>
    <w:rsid w:val="002026DE"/>
    <w:rsid w:val="00202C72"/>
    <w:rsid w:val="00203209"/>
    <w:rsid w:val="00203B49"/>
    <w:rsid w:val="00203C68"/>
    <w:rsid w:val="0020426D"/>
    <w:rsid w:val="00205048"/>
    <w:rsid w:val="0020545C"/>
    <w:rsid w:val="00207291"/>
    <w:rsid w:val="0021052E"/>
    <w:rsid w:val="00210C79"/>
    <w:rsid w:val="00211BA9"/>
    <w:rsid w:val="00213582"/>
    <w:rsid w:val="00215923"/>
    <w:rsid w:val="00215BD0"/>
    <w:rsid w:val="00216240"/>
    <w:rsid w:val="00217156"/>
    <w:rsid w:val="00217D65"/>
    <w:rsid w:val="002218C8"/>
    <w:rsid w:val="00221B85"/>
    <w:rsid w:val="002226C0"/>
    <w:rsid w:val="00222E1B"/>
    <w:rsid w:val="002239DC"/>
    <w:rsid w:val="00223B08"/>
    <w:rsid w:val="00227C53"/>
    <w:rsid w:val="0023210B"/>
    <w:rsid w:val="00232443"/>
    <w:rsid w:val="00236A0B"/>
    <w:rsid w:val="00240E76"/>
    <w:rsid w:val="00241003"/>
    <w:rsid w:val="002417D0"/>
    <w:rsid w:val="0024258D"/>
    <w:rsid w:val="00244F73"/>
    <w:rsid w:val="00246A32"/>
    <w:rsid w:val="002505F1"/>
    <w:rsid w:val="002517D7"/>
    <w:rsid w:val="00253211"/>
    <w:rsid w:val="00254592"/>
    <w:rsid w:val="00254EB3"/>
    <w:rsid w:val="0025556F"/>
    <w:rsid w:val="00255CA5"/>
    <w:rsid w:val="0025638B"/>
    <w:rsid w:val="00260A58"/>
    <w:rsid w:val="00263F2E"/>
    <w:rsid w:val="00265658"/>
    <w:rsid w:val="00265975"/>
    <w:rsid w:val="00265B93"/>
    <w:rsid w:val="00265DA5"/>
    <w:rsid w:val="00266AA0"/>
    <w:rsid w:val="00270A96"/>
    <w:rsid w:val="00272487"/>
    <w:rsid w:val="002728A3"/>
    <w:rsid w:val="00272D17"/>
    <w:rsid w:val="00274D59"/>
    <w:rsid w:val="00275193"/>
    <w:rsid w:val="0027634D"/>
    <w:rsid w:val="00276479"/>
    <w:rsid w:val="0027706F"/>
    <w:rsid w:val="002778AF"/>
    <w:rsid w:val="002778C2"/>
    <w:rsid w:val="00280C1E"/>
    <w:rsid w:val="00282037"/>
    <w:rsid w:val="00282AE3"/>
    <w:rsid w:val="00285503"/>
    <w:rsid w:val="00286327"/>
    <w:rsid w:val="002867CF"/>
    <w:rsid w:val="00286BB3"/>
    <w:rsid w:val="00286D11"/>
    <w:rsid w:val="00286E82"/>
    <w:rsid w:val="002903D5"/>
    <w:rsid w:val="0029139F"/>
    <w:rsid w:val="0029202D"/>
    <w:rsid w:val="00292F7E"/>
    <w:rsid w:val="002933F1"/>
    <w:rsid w:val="002936C5"/>
    <w:rsid w:val="00294AD0"/>
    <w:rsid w:val="00294CB0"/>
    <w:rsid w:val="002954B7"/>
    <w:rsid w:val="0029658E"/>
    <w:rsid w:val="00296CEB"/>
    <w:rsid w:val="002976D8"/>
    <w:rsid w:val="002A0A62"/>
    <w:rsid w:val="002A0F7F"/>
    <w:rsid w:val="002A19CD"/>
    <w:rsid w:val="002A2D9E"/>
    <w:rsid w:val="002A2F05"/>
    <w:rsid w:val="002A51F4"/>
    <w:rsid w:val="002A5743"/>
    <w:rsid w:val="002A7FC8"/>
    <w:rsid w:val="002B04A6"/>
    <w:rsid w:val="002B18B7"/>
    <w:rsid w:val="002B1AD1"/>
    <w:rsid w:val="002B21B4"/>
    <w:rsid w:val="002B450C"/>
    <w:rsid w:val="002B5242"/>
    <w:rsid w:val="002B5A43"/>
    <w:rsid w:val="002B6143"/>
    <w:rsid w:val="002B777F"/>
    <w:rsid w:val="002C0A66"/>
    <w:rsid w:val="002C154B"/>
    <w:rsid w:val="002C2A56"/>
    <w:rsid w:val="002C2C8D"/>
    <w:rsid w:val="002C457D"/>
    <w:rsid w:val="002C575F"/>
    <w:rsid w:val="002C62C1"/>
    <w:rsid w:val="002C755C"/>
    <w:rsid w:val="002D1A3E"/>
    <w:rsid w:val="002D2012"/>
    <w:rsid w:val="002D5416"/>
    <w:rsid w:val="002E0580"/>
    <w:rsid w:val="002E0831"/>
    <w:rsid w:val="002E09A1"/>
    <w:rsid w:val="002E14B9"/>
    <w:rsid w:val="002E282C"/>
    <w:rsid w:val="002E303B"/>
    <w:rsid w:val="002E4382"/>
    <w:rsid w:val="002E47EF"/>
    <w:rsid w:val="002E5426"/>
    <w:rsid w:val="002E5456"/>
    <w:rsid w:val="002E5933"/>
    <w:rsid w:val="002E5D43"/>
    <w:rsid w:val="002F0568"/>
    <w:rsid w:val="002F123B"/>
    <w:rsid w:val="002F261D"/>
    <w:rsid w:val="002F4012"/>
    <w:rsid w:val="002F4133"/>
    <w:rsid w:val="002F4771"/>
    <w:rsid w:val="002F588B"/>
    <w:rsid w:val="002F7566"/>
    <w:rsid w:val="003001EB"/>
    <w:rsid w:val="0030045E"/>
    <w:rsid w:val="00304301"/>
    <w:rsid w:val="003053C2"/>
    <w:rsid w:val="00306C6E"/>
    <w:rsid w:val="00310DB6"/>
    <w:rsid w:val="00310E7A"/>
    <w:rsid w:val="00311B09"/>
    <w:rsid w:val="00312DBF"/>
    <w:rsid w:val="00313422"/>
    <w:rsid w:val="00315057"/>
    <w:rsid w:val="003155A1"/>
    <w:rsid w:val="00315EF8"/>
    <w:rsid w:val="00316169"/>
    <w:rsid w:val="003165A2"/>
    <w:rsid w:val="0031746B"/>
    <w:rsid w:val="00317CCD"/>
    <w:rsid w:val="00320521"/>
    <w:rsid w:val="00320D1F"/>
    <w:rsid w:val="00321074"/>
    <w:rsid w:val="00321FC0"/>
    <w:rsid w:val="003235A5"/>
    <w:rsid w:val="00323C30"/>
    <w:rsid w:val="00324666"/>
    <w:rsid w:val="00325573"/>
    <w:rsid w:val="003258B3"/>
    <w:rsid w:val="003260E0"/>
    <w:rsid w:val="0032610B"/>
    <w:rsid w:val="00326749"/>
    <w:rsid w:val="003279E7"/>
    <w:rsid w:val="00330708"/>
    <w:rsid w:val="0033095F"/>
    <w:rsid w:val="003310C2"/>
    <w:rsid w:val="00331B6C"/>
    <w:rsid w:val="00335117"/>
    <w:rsid w:val="00335633"/>
    <w:rsid w:val="0033660F"/>
    <w:rsid w:val="003405DE"/>
    <w:rsid w:val="003408B1"/>
    <w:rsid w:val="00340EB8"/>
    <w:rsid w:val="00341C0B"/>
    <w:rsid w:val="003439C1"/>
    <w:rsid w:val="0034423D"/>
    <w:rsid w:val="00344CB5"/>
    <w:rsid w:val="003476AA"/>
    <w:rsid w:val="003521A0"/>
    <w:rsid w:val="003537F8"/>
    <w:rsid w:val="0035380B"/>
    <w:rsid w:val="00353BF4"/>
    <w:rsid w:val="003553C9"/>
    <w:rsid w:val="0036130A"/>
    <w:rsid w:val="003617B3"/>
    <w:rsid w:val="00361E3B"/>
    <w:rsid w:val="0036458A"/>
    <w:rsid w:val="003655B0"/>
    <w:rsid w:val="00367D21"/>
    <w:rsid w:val="003700A7"/>
    <w:rsid w:val="003705F8"/>
    <w:rsid w:val="0037212B"/>
    <w:rsid w:val="003726D6"/>
    <w:rsid w:val="00373295"/>
    <w:rsid w:val="003737FF"/>
    <w:rsid w:val="00374545"/>
    <w:rsid w:val="00374CC7"/>
    <w:rsid w:val="00375E7F"/>
    <w:rsid w:val="003761A5"/>
    <w:rsid w:val="003809BE"/>
    <w:rsid w:val="00381B43"/>
    <w:rsid w:val="003832D4"/>
    <w:rsid w:val="003848E5"/>
    <w:rsid w:val="0038573C"/>
    <w:rsid w:val="0038598C"/>
    <w:rsid w:val="00386925"/>
    <w:rsid w:val="0039041E"/>
    <w:rsid w:val="003908EB"/>
    <w:rsid w:val="00390A62"/>
    <w:rsid w:val="003921E3"/>
    <w:rsid w:val="0039361A"/>
    <w:rsid w:val="003948EC"/>
    <w:rsid w:val="00394A22"/>
    <w:rsid w:val="00395375"/>
    <w:rsid w:val="00395EAF"/>
    <w:rsid w:val="00396638"/>
    <w:rsid w:val="003A1FAE"/>
    <w:rsid w:val="003A3CD5"/>
    <w:rsid w:val="003A4391"/>
    <w:rsid w:val="003A6E34"/>
    <w:rsid w:val="003A6F39"/>
    <w:rsid w:val="003B0507"/>
    <w:rsid w:val="003B2770"/>
    <w:rsid w:val="003B3A05"/>
    <w:rsid w:val="003B4083"/>
    <w:rsid w:val="003B7A1C"/>
    <w:rsid w:val="003C1E09"/>
    <w:rsid w:val="003C23CD"/>
    <w:rsid w:val="003C47EE"/>
    <w:rsid w:val="003C5355"/>
    <w:rsid w:val="003C5EC2"/>
    <w:rsid w:val="003C6E2F"/>
    <w:rsid w:val="003D141D"/>
    <w:rsid w:val="003D21DF"/>
    <w:rsid w:val="003D28B8"/>
    <w:rsid w:val="003D3298"/>
    <w:rsid w:val="003D3ED8"/>
    <w:rsid w:val="003D5BF6"/>
    <w:rsid w:val="003D69BD"/>
    <w:rsid w:val="003D7C32"/>
    <w:rsid w:val="003E0458"/>
    <w:rsid w:val="003E0626"/>
    <w:rsid w:val="003E0D41"/>
    <w:rsid w:val="003E1A2B"/>
    <w:rsid w:val="003E3D09"/>
    <w:rsid w:val="003E63E9"/>
    <w:rsid w:val="003F022F"/>
    <w:rsid w:val="003F077D"/>
    <w:rsid w:val="003F0F9E"/>
    <w:rsid w:val="003F1284"/>
    <w:rsid w:val="003F280A"/>
    <w:rsid w:val="003F321B"/>
    <w:rsid w:val="003F3677"/>
    <w:rsid w:val="003F3687"/>
    <w:rsid w:val="003F4ED6"/>
    <w:rsid w:val="003F7222"/>
    <w:rsid w:val="003F76E2"/>
    <w:rsid w:val="003F7C75"/>
    <w:rsid w:val="003F7F1B"/>
    <w:rsid w:val="00400E25"/>
    <w:rsid w:val="00401316"/>
    <w:rsid w:val="00401349"/>
    <w:rsid w:val="004030F5"/>
    <w:rsid w:val="0040428C"/>
    <w:rsid w:val="00404AA6"/>
    <w:rsid w:val="00405D4D"/>
    <w:rsid w:val="00406DCB"/>
    <w:rsid w:val="00407027"/>
    <w:rsid w:val="004071E7"/>
    <w:rsid w:val="00410570"/>
    <w:rsid w:val="00410BBC"/>
    <w:rsid w:val="00411796"/>
    <w:rsid w:val="004122A7"/>
    <w:rsid w:val="004129C8"/>
    <w:rsid w:val="004132D4"/>
    <w:rsid w:val="00413356"/>
    <w:rsid w:val="00414966"/>
    <w:rsid w:val="004151DD"/>
    <w:rsid w:val="0041583B"/>
    <w:rsid w:val="00415EAB"/>
    <w:rsid w:val="004171D2"/>
    <w:rsid w:val="004178C3"/>
    <w:rsid w:val="00420F36"/>
    <w:rsid w:val="00420F7A"/>
    <w:rsid w:val="00421760"/>
    <w:rsid w:val="00421A36"/>
    <w:rsid w:val="004223DF"/>
    <w:rsid w:val="00422D8F"/>
    <w:rsid w:val="00422E55"/>
    <w:rsid w:val="00423122"/>
    <w:rsid w:val="00425452"/>
    <w:rsid w:val="00427975"/>
    <w:rsid w:val="00431388"/>
    <w:rsid w:val="0043207A"/>
    <w:rsid w:val="004320CB"/>
    <w:rsid w:val="00432F4F"/>
    <w:rsid w:val="00433182"/>
    <w:rsid w:val="00433208"/>
    <w:rsid w:val="0043407C"/>
    <w:rsid w:val="004346B2"/>
    <w:rsid w:val="00435976"/>
    <w:rsid w:val="00437300"/>
    <w:rsid w:val="00437E09"/>
    <w:rsid w:val="00441136"/>
    <w:rsid w:val="0044163D"/>
    <w:rsid w:val="00442B06"/>
    <w:rsid w:val="00442E37"/>
    <w:rsid w:val="0044397E"/>
    <w:rsid w:val="004449AB"/>
    <w:rsid w:val="00444A29"/>
    <w:rsid w:val="004516AC"/>
    <w:rsid w:val="0045183F"/>
    <w:rsid w:val="0045291F"/>
    <w:rsid w:val="00452B7C"/>
    <w:rsid w:val="00452D6A"/>
    <w:rsid w:val="0045366B"/>
    <w:rsid w:val="00453F74"/>
    <w:rsid w:val="004561BF"/>
    <w:rsid w:val="004564D7"/>
    <w:rsid w:val="00456E09"/>
    <w:rsid w:val="00457A40"/>
    <w:rsid w:val="0046117B"/>
    <w:rsid w:val="004626EE"/>
    <w:rsid w:val="00464936"/>
    <w:rsid w:val="00465249"/>
    <w:rsid w:val="00466B93"/>
    <w:rsid w:val="00467627"/>
    <w:rsid w:val="004703A1"/>
    <w:rsid w:val="00470635"/>
    <w:rsid w:val="00471802"/>
    <w:rsid w:val="00471FB4"/>
    <w:rsid w:val="004726BD"/>
    <w:rsid w:val="004735A7"/>
    <w:rsid w:val="00473BF1"/>
    <w:rsid w:val="004754C9"/>
    <w:rsid w:val="00477AA4"/>
    <w:rsid w:val="00481062"/>
    <w:rsid w:val="00481940"/>
    <w:rsid w:val="0048232C"/>
    <w:rsid w:val="004823F0"/>
    <w:rsid w:val="00482414"/>
    <w:rsid w:val="00483124"/>
    <w:rsid w:val="0048567B"/>
    <w:rsid w:val="004862DD"/>
    <w:rsid w:val="00486515"/>
    <w:rsid w:val="00487F90"/>
    <w:rsid w:val="0049093A"/>
    <w:rsid w:val="004919EA"/>
    <w:rsid w:val="00491FDE"/>
    <w:rsid w:val="0049260D"/>
    <w:rsid w:val="00494C64"/>
    <w:rsid w:val="00497CEF"/>
    <w:rsid w:val="004A1744"/>
    <w:rsid w:val="004A2470"/>
    <w:rsid w:val="004A3137"/>
    <w:rsid w:val="004A472D"/>
    <w:rsid w:val="004A5383"/>
    <w:rsid w:val="004A5957"/>
    <w:rsid w:val="004A5C92"/>
    <w:rsid w:val="004A77A7"/>
    <w:rsid w:val="004A77C1"/>
    <w:rsid w:val="004B1E3D"/>
    <w:rsid w:val="004B259D"/>
    <w:rsid w:val="004B270F"/>
    <w:rsid w:val="004B2971"/>
    <w:rsid w:val="004B2ED1"/>
    <w:rsid w:val="004B52C5"/>
    <w:rsid w:val="004B6361"/>
    <w:rsid w:val="004C0139"/>
    <w:rsid w:val="004C0411"/>
    <w:rsid w:val="004C0EB3"/>
    <w:rsid w:val="004C111D"/>
    <w:rsid w:val="004C2F67"/>
    <w:rsid w:val="004C4644"/>
    <w:rsid w:val="004C4776"/>
    <w:rsid w:val="004C4A30"/>
    <w:rsid w:val="004C5313"/>
    <w:rsid w:val="004C5D35"/>
    <w:rsid w:val="004C5DB2"/>
    <w:rsid w:val="004C70E5"/>
    <w:rsid w:val="004C77DB"/>
    <w:rsid w:val="004C7A29"/>
    <w:rsid w:val="004C7B2E"/>
    <w:rsid w:val="004D0155"/>
    <w:rsid w:val="004D0C9A"/>
    <w:rsid w:val="004D2EC6"/>
    <w:rsid w:val="004D5B0A"/>
    <w:rsid w:val="004E0368"/>
    <w:rsid w:val="004E2F6D"/>
    <w:rsid w:val="004E50D4"/>
    <w:rsid w:val="004E6644"/>
    <w:rsid w:val="004E6FE1"/>
    <w:rsid w:val="004E70CF"/>
    <w:rsid w:val="004E782D"/>
    <w:rsid w:val="004E7AB1"/>
    <w:rsid w:val="004E7EBF"/>
    <w:rsid w:val="004F02BA"/>
    <w:rsid w:val="004F08FA"/>
    <w:rsid w:val="004F39E8"/>
    <w:rsid w:val="004F55C7"/>
    <w:rsid w:val="004F5DF4"/>
    <w:rsid w:val="004F629E"/>
    <w:rsid w:val="004F6B9D"/>
    <w:rsid w:val="005004B2"/>
    <w:rsid w:val="00500766"/>
    <w:rsid w:val="00501E3C"/>
    <w:rsid w:val="0050265A"/>
    <w:rsid w:val="005037C0"/>
    <w:rsid w:val="00504AC7"/>
    <w:rsid w:val="005051F4"/>
    <w:rsid w:val="00505267"/>
    <w:rsid w:val="00505C90"/>
    <w:rsid w:val="00505ED6"/>
    <w:rsid w:val="0050759D"/>
    <w:rsid w:val="00507C77"/>
    <w:rsid w:val="005105E6"/>
    <w:rsid w:val="00511B81"/>
    <w:rsid w:val="00511DB2"/>
    <w:rsid w:val="00511FA3"/>
    <w:rsid w:val="00512907"/>
    <w:rsid w:val="00513F33"/>
    <w:rsid w:val="00515A7D"/>
    <w:rsid w:val="00515C09"/>
    <w:rsid w:val="00516148"/>
    <w:rsid w:val="005164BB"/>
    <w:rsid w:val="005178DF"/>
    <w:rsid w:val="005209D5"/>
    <w:rsid w:val="00525358"/>
    <w:rsid w:val="00526A57"/>
    <w:rsid w:val="0053128A"/>
    <w:rsid w:val="005322CE"/>
    <w:rsid w:val="00532F1A"/>
    <w:rsid w:val="00533440"/>
    <w:rsid w:val="00533CBD"/>
    <w:rsid w:val="00533CFC"/>
    <w:rsid w:val="00535160"/>
    <w:rsid w:val="005355F8"/>
    <w:rsid w:val="00536365"/>
    <w:rsid w:val="00536708"/>
    <w:rsid w:val="0054047E"/>
    <w:rsid w:val="00544749"/>
    <w:rsid w:val="00545D52"/>
    <w:rsid w:val="00546176"/>
    <w:rsid w:val="005462A2"/>
    <w:rsid w:val="00547048"/>
    <w:rsid w:val="00550162"/>
    <w:rsid w:val="00551076"/>
    <w:rsid w:val="005514B3"/>
    <w:rsid w:val="00551BE0"/>
    <w:rsid w:val="00553549"/>
    <w:rsid w:val="005536F7"/>
    <w:rsid w:val="00553800"/>
    <w:rsid w:val="00554F13"/>
    <w:rsid w:val="00555AED"/>
    <w:rsid w:val="00556B8F"/>
    <w:rsid w:val="00556F09"/>
    <w:rsid w:val="00557C9F"/>
    <w:rsid w:val="005618CC"/>
    <w:rsid w:val="00562DF1"/>
    <w:rsid w:val="00562E1F"/>
    <w:rsid w:val="00563ADB"/>
    <w:rsid w:val="005640EA"/>
    <w:rsid w:val="00564D8C"/>
    <w:rsid w:val="00565970"/>
    <w:rsid w:val="00567872"/>
    <w:rsid w:val="005707BF"/>
    <w:rsid w:val="00570B6A"/>
    <w:rsid w:val="00571A54"/>
    <w:rsid w:val="00571AE3"/>
    <w:rsid w:val="00571C72"/>
    <w:rsid w:val="005720BF"/>
    <w:rsid w:val="0057485E"/>
    <w:rsid w:val="005753B2"/>
    <w:rsid w:val="00577289"/>
    <w:rsid w:val="00582508"/>
    <w:rsid w:val="00582BE7"/>
    <w:rsid w:val="0058336E"/>
    <w:rsid w:val="005853F1"/>
    <w:rsid w:val="00585C9C"/>
    <w:rsid w:val="005865B7"/>
    <w:rsid w:val="005866C6"/>
    <w:rsid w:val="0058750F"/>
    <w:rsid w:val="0059000F"/>
    <w:rsid w:val="00593F79"/>
    <w:rsid w:val="00596423"/>
    <w:rsid w:val="00596EAC"/>
    <w:rsid w:val="005A0303"/>
    <w:rsid w:val="005A133F"/>
    <w:rsid w:val="005A19FD"/>
    <w:rsid w:val="005A3A54"/>
    <w:rsid w:val="005A4C88"/>
    <w:rsid w:val="005A536A"/>
    <w:rsid w:val="005A6431"/>
    <w:rsid w:val="005A776F"/>
    <w:rsid w:val="005B1F14"/>
    <w:rsid w:val="005B29C4"/>
    <w:rsid w:val="005B3E9C"/>
    <w:rsid w:val="005B41E7"/>
    <w:rsid w:val="005B455A"/>
    <w:rsid w:val="005B63F4"/>
    <w:rsid w:val="005B7922"/>
    <w:rsid w:val="005C090D"/>
    <w:rsid w:val="005C11E8"/>
    <w:rsid w:val="005C17CB"/>
    <w:rsid w:val="005C4082"/>
    <w:rsid w:val="005C49A3"/>
    <w:rsid w:val="005C6354"/>
    <w:rsid w:val="005C6D6B"/>
    <w:rsid w:val="005C712B"/>
    <w:rsid w:val="005C7A56"/>
    <w:rsid w:val="005C7C30"/>
    <w:rsid w:val="005D021F"/>
    <w:rsid w:val="005D0A6C"/>
    <w:rsid w:val="005D14BE"/>
    <w:rsid w:val="005D158E"/>
    <w:rsid w:val="005D1A04"/>
    <w:rsid w:val="005D3B4E"/>
    <w:rsid w:val="005D3D63"/>
    <w:rsid w:val="005E1469"/>
    <w:rsid w:val="005E1BF6"/>
    <w:rsid w:val="005E1ECB"/>
    <w:rsid w:val="005E4A1E"/>
    <w:rsid w:val="005E559D"/>
    <w:rsid w:val="005E5BCD"/>
    <w:rsid w:val="005F1872"/>
    <w:rsid w:val="005F265E"/>
    <w:rsid w:val="005F3634"/>
    <w:rsid w:val="005F3E04"/>
    <w:rsid w:val="005F69D9"/>
    <w:rsid w:val="00600426"/>
    <w:rsid w:val="00600B5C"/>
    <w:rsid w:val="00601839"/>
    <w:rsid w:val="00601A63"/>
    <w:rsid w:val="00601FE0"/>
    <w:rsid w:val="0060253B"/>
    <w:rsid w:val="00602F26"/>
    <w:rsid w:val="0060400B"/>
    <w:rsid w:val="00604AE7"/>
    <w:rsid w:val="00605B85"/>
    <w:rsid w:val="00606454"/>
    <w:rsid w:val="00610669"/>
    <w:rsid w:val="00611C5F"/>
    <w:rsid w:val="00612D6F"/>
    <w:rsid w:val="0061308B"/>
    <w:rsid w:val="00615A8C"/>
    <w:rsid w:val="00616A5D"/>
    <w:rsid w:val="0061726A"/>
    <w:rsid w:val="006172D7"/>
    <w:rsid w:val="00620979"/>
    <w:rsid w:val="00620A3F"/>
    <w:rsid w:val="0062140C"/>
    <w:rsid w:val="00621496"/>
    <w:rsid w:val="006214F3"/>
    <w:rsid w:val="006233EF"/>
    <w:rsid w:val="00627149"/>
    <w:rsid w:val="00627B8B"/>
    <w:rsid w:val="00630563"/>
    <w:rsid w:val="006305AF"/>
    <w:rsid w:val="00630617"/>
    <w:rsid w:val="006315C9"/>
    <w:rsid w:val="0063399E"/>
    <w:rsid w:val="00634579"/>
    <w:rsid w:val="00634673"/>
    <w:rsid w:val="00634DC5"/>
    <w:rsid w:val="00635A17"/>
    <w:rsid w:val="00640C46"/>
    <w:rsid w:val="006420F0"/>
    <w:rsid w:val="006453C7"/>
    <w:rsid w:val="00645E21"/>
    <w:rsid w:val="006460E7"/>
    <w:rsid w:val="00646CF0"/>
    <w:rsid w:val="00650A07"/>
    <w:rsid w:val="00651086"/>
    <w:rsid w:val="00652B89"/>
    <w:rsid w:val="00652E33"/>
    <w:rsid w:val="00654267"/>
    <w:rsid w:val="00656CD7"/>
    <w:rsid w:val="00657465"/>
    <w:rsid w:val="006607C2"/>
    <w:rsid w:val="006611F5"/>
    <w:rsid w:val="0066149C"/>
    <w:rsid w:val="00661C2D"/>
    <w:rsid w:val="0066218F"/>
    <w:rsid w:val="00662E52"/>
    <w:rsid w:val="00663474"/>
    <w:rsid w:val="00663E3B"/>
    <w:rsid w:val="00664525"/>
    <w:rsid w:val="00665FF2"/>
    <w:rsid w:val="00667BDF"/>
    <w:rsid w:val="0067315C"/>
    <w:rsid w:val="0067405B"/>
    <w:rsid w:val="00674645"/>
    <w:rsid w:val="0067599B"/>
    <w:rsid w:val="00677B0D"/>
    <w:rsid w:val="00680193"/>
    <w:rsid w:val="00680C1A"/>
    <w:rsid w:val="006810A2"/>
    <w:rsid w:val="00681773"/>
    <w:rsid w:val="006836BA"/>
    <w:rsid w:val="00684669"/>
    <w:rsid w:val="00684CDC"/>
    <w:rsid w:val="00690D1C"/>
    <w:rsid w:val="006939C6"/>
    <w:rsid w:val="00695096"/>
    <w:rsid w:val="00695A15"/>
    <w:rsid w:val="006976E6"/>
    <w:rsid w:val="006A0185"/>
    <w:rsid w:val="006A0DF0"/>
    <w:rsid w:val="006A0FC3"/>
    <w:rsid w:val="006A24D0"/>
    <w:rsid w:val="006A48FF"/>
    <w:rsid w:val="006A539F"/>
    <w:rsid w:val="006A6937"/>
    <w:rsid w:val="006A7B10"/>
    <w:rsid w:val="006A7E45"/>
    <w:rsid w:val="006B2B4A"/>
    <w:rsid w:val="006B2E45"/>
    <w:rsid w:val="006B31AE"/>
    <w:rsid w:val="006B53B2"/>
    <w:rsid w:val="006B68BD"/>
    <w:rsid w:val="006C0663"/>
    <w:rsid w:val="006C177C"/>
    <w:rsid w:val="006C1D6D"/>
    <w:rsid w:val="006C3503"/>
    <w:rsid w:val="006C3EEC"/>
    <w:rsid w:val="006C457A"/>
    <w:rsid w:val="006C5239"/>
    <w:rsid w:val="006C5368"/>
    <w:rsid w:val="006C58F2"/>
    <w:rsid w:val="006C6E88"/>
    <w:rsid w:val="006D0474"/>
    <w:rsid w:val="006D0B48"/>
    <w:rsid w:val="006D142F"/>
    <w:rsid w:val="006D14E2"/>
    <w:rsid w:val="006D2045"/>
    <w:rsid w:val="006D36D1"/>
    <w:rsid w:val="006D4AC5"/>
    <w:rsid w:val="006D50D2"/>
    <w:rsid w:val="006D6B01"/>
    <w:rsid w:val="006D6BF5"/>
    <w:rsid w:val="006E2FF2"/>
    <w:rsid w:val="006E3515"/>
    <w:rsid w:val="006E4632"/>
    <w:rsid w:val="006E52BE"/>
    <w:rsid w:val="006E5925"/>
    <w:rsid w:val="006E681A"/>
    <w:rsid w:val="006E7060"/>
    <w:rsid w:val="006E7212"/>
    <w:rsid w:val="006E7713"/>
    <w:rsid w:val="006E7EC2"/>
    <w:rsid w:val="006F16D3"/>
    <w:rsid w:val="006F1D19"/>
    <w:rsid w:val="006F31C3"/>
    <w:rsid w:val="006F3EEC"/>
    <w:rsid w:val="006F4954"/>
    <w:rsid w:val="006F55A2"/>
    <w:rsid w:val="006F55D4"/>
    <w:rsid w:val="006F7775"/>
    <w:rsid w:val="00700075"/>
    <w:rsid w:val="00700737"/>
    <w:rsid w:val="0070111D"/>
    <w:rsid w:val="00701BAE"/>
    <w:rsid w:val="00705E00"/>
    <w:rsid w:val="00707122"/>
    <w:rsid w:val="00707E5E"/>
    <w:rsid w:val="00710DBC"/>
    <w:rsid w:val="00711171"/>
    <w:rsid w:val="00711424"/>
    <w:rsid w:val="00711C55"/>
    <w:rsid w:val="00713BA6"/>
    <w:rsid w:val="00714892"/>
    <w:rsid w:val="007156D2"/>
    <w:rsid w:val="00715D92"/>
    <w:rsid w:val="0071628F"/>
    <w:rsid w:val="00716CA0"/>
    <w:rsid w:val="00717175"/>
    <w:rsid w:val="007176FA"/>
    <w:rsid w:val="00717754"/>
    <w:rsid w:val="00717C24"/>
    <w:rsid w:val="00720288"/>
    <w:rsid w:val="00720C50"/>
    <w:rsid w:val="007212BE"/>
    <w:rsid w:val="00723455"/>
    <w:rsid w:val="00723631"/>
    <w:rsid w:val="0072367D"/>
    <w:rsid w:val="00723A6E"/>
    <w:rsid w:val="00723A7D"/>
    <w:rsid w:val="00724DC5"/>
    <w:rsid w:val="007265D3"/>
    <w:rsid w:val="00730C04"/>
    <w:rsid w:val="00731437"/>
    <w:rsid w:val="00731529"/>
    <w:rsid w:val="00735605"/>
    <w:rsid w:val="007359CF"/>
    <w:rsid w:val="007373AD"/>
    <w:rsid w:val="00740403"/>
    <w:rsid w:val="00740562"/>
    <w:rsid w:val="00740609"/>
    <w:rsid w:val="00740ADE"/>
    <w:rsid w:val="00741F6B"/>
    <w:rsid w:val="007457B1"/>
    <w:rsid w:val="00745C2A"/>
    <w:rsid w:val="007467CB"/>
    <w:rsid w:val="007502DE"/>
    <w:rsid w:val="00752119"/>
    <w:rsid w:val="00753E6B"/>
    <w:rsid w:val="00754A6E"/>
    <w:rsid w:val="0075600E"/>
    <w:rsid w:val="0075750E"/>
    <w:rsid w:val="0075783C"/>
    <w:rsid w:val="007578B5"/>
    <w:rsid w:val="007635D5"/>
    <w:rsid w:val="007652FE"/>
    <w:rsid w:val="007664D6"/>
    <w:rsid w:val="0076698D"/>
    <w:rsid w:val="0077004F"/>
    <w:rsid w:val="00770113"/>
    <w:rsid w:val="00770437"/>
    <w:rsid w:val="007714F2"/>
    <w:rsid w:val="007718A3"/>
    <w:rsid w:val="00772A64"/>
    <w:rsid w:val="00772FEB"/>
    <w:rsid w:val="00775E37"/>
    <w:rsid w:val="0077614A"/>
    <w:rsid w:val="00776A7C"/>
    <w:rsid w:val="007779D9"/>
    <w:rsid w:val="00780059"/>
    <w:rsid w:val="00780A29"/>
    <w:rsid w:val="00780F62"/>
    <w:rsid w:val="00781472"/>
    <w:rsid w:val="007822D9"/>
    <w:rsid w:val="00782C21"/>
    <w:rsid w:val="007830D2"/>
    <w:rsid w:val="00783A8C"/>
    <w:rsid w:val="00783B0C"/>
    <w:rsid w:val="0078459F"/>
    <w:rsid w:val="00785548"/>
    <w:rsid w:val="007866C7"/>
    <w:rsid w:val="00787840"/>
    <w:rsid w:val="007900DA"/>
    <w:rsid w:val="00791024"/>
    <w:rsid w:val="00793738"/>
    <w:rsid w:val="00793C4E"/>
    <w:rsid w:val="00793E24"/>
    <w:rsid w:val="00793EAE"/>
    <w:rsid w:val="00795114"/>
    <w:rsid w:val="0079557E"/>
    <w:rsid w:val="00795CFA"/>
    <w:rsid w:val="00797046"/>
    <w:rsid w:val="007975C9"/>
    <w:rsid w:val="00797603"/>
    <w:rsid w:val="00797CED"/>
    <w:rsid w:val="007A0C82"/>
    <w:rsid w:val="007A1BDB"/>
    <w:rsid w:val="007A1F5D"/>
    <w:rsid w:val="007A2210"/>
    <w:rsid w:val="007A2AB8"/>
    <w:rsid w:val="007A3BEE"/>
    <w:rsid w:val="007A6137"/>
    <w:rsid w:val="007A654A"/>
    <w:rsid w:val="007B05F8"/>
    <w:rsid w:val="007B105F"/>
    <w:rsid w:val="007B146A"/>
    <w:rsid w:val="007B15F2"/>
    <w:rsid w:val="007B245D"/>
    <w:rsid w:val="007B27D3"/>
    <w:rsid w:val="007B34D7"/>
    <w:rsid w:val="007B3735"/>
    <w:rsid w:val="007B39A5"/>
    <w:rsid w:val="007B48E0"/>
    <w:rsid w:val="007B4EC3"/>
    <w:rsid w:val="007B52B3"/>
    <w:rsid w:val="007B6A49"/>
    <w:rsid w:val="007C0D61"/>
    <w:rsid w:val="007C1E33"/>
    <w:rsid w:val="007C30BC"/>
    <w:rsid w:val="007C37B8"/>
    <w:rsid w:val="007D328D"/>
    <w:rsid w:val="007D3FA6"/>
    <w:rsid w:val="007D4472"/>
    <w:rsid w:val="007D4F0B"/>
    <w:rsid w:val="007D545C"/>
    <w:rsid w:val="007D62DD"/>
    <w:rsid w:val="007E0040"/>
    <w:rsid w:val="007E3502"/>
    <w:rsid w:val="007E39E1"/>
    <w:rsid w:val="007E40B1"/>
    <w:rsid w:val="007E590B"/>
    <w:rsid w:val="007E5D6F"/>
    <w:rsid w:val="007E6C6F"/>
    <w:rsid w:val="007E7B01"/>
    <w:rsid w:val="007E7FC7"/>
    <w:rsid w:val="007F0E79"/>
    <w:rsid w:val="007F28AA"/>
    <w:rsid w:val="007F2A70"/>
    <w:rsid w:val="007F2A75"/>
    <w:rsid w:val="007F32DA"/>
    <w:rsid w:val="007F350A"/>
    <w:rsid w:val="007F3A46"/>
    <w:rsid w:val="007F3E8B"/>
    <w:rsid w:val="007F618A"/>
    <w:rsid w:val="007F6EB6"/>
    <w:rsid w:val="0080191D"/>
    <w:rsid w:val="00802CFA"/>
    <w:rsid w:val="00803719"/>
    <w:rsid w:val="008040B1"/>
    <w:rsid w:val="0080416F"/>
    <w:rsid w:val="00804DFD"/>
    <w:rsid w:val="00807181"/>
    <w:rsid w:val="0080766E"/>
    <w:rsid w:val="0081063C"/>
    <w:rsid w:val="00810E59"/>
    <w:rsid w:val="00812AF7"/>
    <w:rsid w:val="00813A27"/>
    <w:rsid w:val="0081403A"/>
    <w:rsid w:val="00814E70"/>
    <w:rsid w:val="00815209"/>
    <w:rsid w:val="008167D1"/>
    <w:rsid w:val="00816D94"/>
    <w:rsid w:val="00816FC4"/>
    <w:rsid w:val="00817226"/>
    <w:rsid w:val="00817A38"/>
    <w:rsid w:val="008209B9"/>
    <w:rsid w:val="00820A54"/>
    <w:rsid w:val="00822779"/>
    <w:rsid w:val="0082437F"/>
    <w:rsid w:val="00824C66"/>
    <w:rsid w:val="0082624E"/>
    <w:rsid w:val="0082646E"/>
    <w:rsid w:val="00827FC5"/>
    <w:rsid w:val="008304C7"/>
    <w:rsid w:val="008309EF"/>
    <w:rsid w:val="008314DE"/>
    <w:rsid w:val="008323BF"/>
    <w:rsid w:val="00834AA2"/>
    <w:rsid w:val="00835701"/>
    <w:rsid w:val="008370FA"/>
    <w:rsid w:val="0083773F"/>
    <w:rsid w:val="008401F0"/>
    <w:rsid w:val="008402A8"/>
    <w:rsid w:val="00842029"/>
    <w:rsid w:val="0084244B"/>
    <w:rsid w:val="0084279F"/>
    <w:rsid w:val="00842A4E"/>
    <w:rsid w:val="00846743"/>
    <w:rsid w:val="00846C28"/>
    <w:rsid w:val="00847434"/>
    <w:rsid w:val="00852799"/>
    <w:rsid w:val="00853073"/>
    <w:rsid w:val="008544F6"/>
    <w:rsid w:val="00860147"/>
    <w:rsid w:val="00861631"/>
    <w:rsid w:val="00863284"/>
    <w:rsid w:val="00863F64"/>
    <w:rsid w:val="00864602"/>
    <w:rsid w:val="008649DB"/>
    <w:rsid w:val="008649F4"/>
    <w:rsid w:val="00864F7F"/>
    <w:rsid w:val="00865B5F"/>
    <w:rsid w:val="00866484"/>
    <w:rsid w:val="00866F44"/>
    <w:rsid w:val="00867CBA"/>
    <w:rsid w:val="00870A32"/>
    <w:rsid w:val="0087305B"/>
    <w:rsid w:val="00873503"/>
    <w:rsid w:val="00873F42"/>
    <w:rsid w:val="00880C03"/>
    <w:rsid w:val="0088102E"/>
    <w:rsid w:val="00881629"/>
    <w:rsid w:val="00881E02"/>
    <w:rsid w:val="0088380C"/>
    <w:rsid w:val="008844CC"/>
    <w:rsid w:val="00885592"/>
    <w:rsid w:val="0088598F"/>
    <w:rsid w:val="00885CA3"/>
    <w:rsid w:val="00886DF3"/>
    <w:rsid w:val="00887016"/>
    <w:rsid w:val="0088761A"/>
    <w:rsid w:val="008904CC"/>
    <w:rsid w:val="00893634"/>
    <w:rsid w:val="00893972"/>
    <w:rsid w:val="008A08C0"/>
    <w:rsid w:val="008A2CFC"/>
    <w:rsid w:val="008A39DE"/>
    <w:rsid w:val="008A3A2B"/>
    <w:rsid w:val="008A4036"/>
    <w:rsid w:val="008A46BF"/>
    <w:rsid w:val="008A52A5"/>
    <w:rsid w:val="008B0373"/>
    <w:rsid w:val="008B0F67"/>
    <w:rsid w:val="008B1728"/>
    <w:rsid w:val="008B1AE5"/>
    <w:rsid w:val="008B2A82"/>
    <w:rsid w:val="008B3AF8"/>
    <w:rsid w:val="008B621E"/>
    <w:rsid w:val="008B697C"/>
    <w:rsid w:val="008B6CE2"/>
    <w:rsid w:val="008B73AA"/>
    <w:rsid w:val="008B7A04"/>
    <w:rsid w:val="008B7AD5"/>
    <w:rsid w:val="008B7D19"/>
    <w:rsid w:val="008C20F0"/>
    <w:rsid w:val="008C255B"/>
    <w:rsid w:val="008C27C8"/>
    <w:rsid w:val="008C361E"/>
    <w:rsid w:val="008C3868"/>
    <w:rsid w:val="008C4676"/>
    <w:rsid w:val="008C4B7A"/>
    <w:rsid w:val="008C5C2D"/>
    <w:rsid w:val="008C5FE4"/>
    <w:rsid w:val="008C7889"/>
    <w:rsid w:val="008D11BA"/>
    <w:rsid w:val="008D3A4B"/>
    <w:rsid w:val="008D5CE8"/>
    <w:rsid w:val="008D71DC"/>
    <w:rsid w:val="008D7624"/>
    <w:rsid w:val="008D7B84"/>
    <w:rsid w:val="008E1490"/>
    <w:rsid w:val="008E1E64"/>
    <w:rsid w:val="008E25FA"/>
    <w:rsid w:val="008E2C3E"/>
    <w:rsid w:val="008E34FB"/>
    <w:rsid w:val="008E3EA8"/>
    <w:rsid w:val="008E4073"/>
    <w:rsid w:val="008E4CB3"/>
    <w:rsid w:val="008E740F"/>
    <w:rsid w:val="008E7687"/>
    <w:rsid w:val="008E7A1D"/>
    <w:rsid w:val="008E7DDB"/>
    <w:rsid w:val="008F0B9A"/>
    <w:rsid w:val="008F2BE6"/>
    <w:rsid w:val="008F2D62"/>
    <w:rsid w:val="008F505B"/>
    <w:rsid w:val="00900081"/>
    <w:rsid w:val="0090063E"/>
    <w:rsid w:val="00900663"/>
    <w:rsid w:val="00901244"/>
    <w:rsid w:val="00901CF6"/>
    <w:rsid w:val="0090293C"/>
    <w:rsid w:val="00904CF5"/>
    <w:rsid w:val="0090505E"/>
    <w:rsid w:val="0090516C"/>
    <w:rsid w:val="009055F9"/>
    <w:rsid w:val="00907206"/>
    <w:rsid w:val="00907274"/>
    <w:rsid w:val="009074D7"/>
    <w:rsid w:val="00907B05"/>
    <w:rsid w:val="00911723"/>
    <w:rsid w:val="009121B7"/>
    <w:rsid w:val="00913736"/>
    <w:rsid w:val="0091376B"/>
    <w:rsid w:val="009138EB"/>
    <w:rsid w:val="00913B10"/>
    <w:rsid w:val="0091401F"/>
    <w:rsid w:val="009147B3"/>
    <w:rsid w:val="00914A7F"/>
    <w:rsid w:val="0091637A"/>
    <w:rsid w:val="00917409"/>
    <w:rsid w:val="009176C5"/>
    <w:rsid w:val="00917F71"/>
    <w:rsid w:val="00920200"/>
    <w:rsid w:val="00920FF8"/>
    <w:rsid w:val="00923A4E"/>
    <w:rsid w:val="00923F74"/>
    <w:rsid w:val="00924377"/>
    <w:rsid w:val="00924EC9"/>
    <w:rsid w:val="00933332"/>
    <w:rsid w:val="009345FC"/>
    <w:rsid w:val="00934D34"/>
    <w:rsid w:val="00936504"/>
    <w:rsid w:val="009369AB"/>
    <w:rsid w:val="00936B5B"/>
    <w:rsid w:val="00937A62"/>
    <w:rsid w:val="00937F3D"/>
    <w:rsid w:val="00940122"/>
    <w:rsid w:val="00941209"/>
    <w:rsid w:val="00941C91"/>
    <w:rsid w:val="00943518"/>
    <w:rsid w:val="00946800"/>
    <w:rsid w:val="009477E4"/>
    <w:rsid w:val="00950A41"/>
    <w:rsid w:val="00950DE9"/>
    <w:rsid w:val="00951845"/>
    <w:rsid w:val="0095333B"/>
    <w:rsid w:val="00955888"/>
    <w:rsid w:val="009563F4"/>
    <w:rsid w:val="00956C4D"/>
    <w:rsid w:val="00957673"/>
    <w:rsid w:val="009622D0"/>
    <w:rsid w:val="009624EC"/>
    <w:rsid w:val="00963DEE"/>
    <w:rsid w:val="009645B2"/>
    <w:rsid w:val="009665CB"/>
    <w:rsid w:val="00966C95"/>
    <w:rsid w:val="009677B3"/>
    <w:rsid w:val="00970622"/>
    <w:rsid w:val="00975DE8"/>
    <w:rsid w:val="0097614A"/>
    <w:rsid w:val="00976B8B"/>
    <w:rsid w:val="00976DD4"/>
    <w:rsid w:val="00977C88"/>
    <w:rsid w:val="00977F3E"/>
    <w:rsid w:val="009828D3"/>
    <w:rsid w:val="00983354"/>
    <w:rsid w:val="00983FDA"/>
    <w:rsid w:val="00984BEB"/>
    <w:rsid w:val="00986936"/>
    <w:rsid w:val="00986CDD"/>
    <w:rsid w:val="0098772A"/>
    <w:rsid w:val="00987AD6"/>
    <w:rsid w:val="00992CB9"/>
    <w:rsid w:val="00994F77"/>
    <w:rsid w:val="00995423"/>
    <w:rsid w:val="009960D1"/>
    <w:rsid w:val="00997A36"/>
    <w:rsid w:val="009A0834"/>
    <w:rsid w:val="009A09C2"/>
    <w:rsid w:val="009A09F1"/>
    <w:rsid w:val="009A1F5A"/>
    <w:rsid w:val="009A4A2A"/>
    <w:rsid w:val="009A5777"/>
    <w:rsid w:val="009A6D0E"/>
    <w:rsid w:val="009A6DBF"/>
    <w:rsid w:val="009A7116"/>
    <w:rsid w:val="009B036C"/>
    <w:rsid w:val="009B0C69"/>
    <w:rsid w:val="009B11E5"/>
    <w:rsid w:val="009B13B9"/>
    <w:rsid w:val="009B1D49"/>
    <w:rsid w:val="009B256F"/>
    <w:rsid w:val="009B29CD"/>
    <w:rsid w:val="009B54FB"/>
    <w:rsid w:val="009B55C2"/>
    <w:rsid w:val="009B5CF8"/>
    <w:rsid w:val="009B6CA0"/>
    <w:rsid w:val="009C0321"/>
    <w:rsid w:val="009C05CB"/>
    <w:rsid w:val="009C0ECB"/>
    <w:rsid w:val="009C0FD7"/>
    <w:rsid w:val="009C20C0"/>
    <w:rsid w:val="009C3365"/>
    <w:rsid w:val="009C3EBE"/>
    <w:rsid w:val="009C4F43"/>
    <w:rsid w:val="009C7AD5"/>
    <w:rsid w:val="009D17FD"/>
    <w:rsid w:val="009D34A5"/>
    <w:rsid w:val="009D3AD0"/>
    <w:rsid w:val="009D4781"/>
    <w:rsid w:val="009D5D72"/>
    <w:rsid w:val="009E0654"/>
    <w:rsid w:val="009E0669"/>
    <w:rsid w:val="009E0947"/>
    <w:rsid w:val="009E0A48"/>
    <w:rsid w:val="009E3C1E"/>
    <w:rsid w:val="009E460C"/>
    <w:rsid w:val="009E5239"/>
    <w:rsid w:val="009E5433"/>
    <w:rsid w:val="009E5ADE"/>
    <w:rsid w:val="009F05B0"/>
    <w:rsid w:val="009F0DDA"/>
    <w:rsid w:val="009F1CDD"/>
    <w:rsid w:val="009F24FD"/>
    <w:rsid w:val="009F2CD1"/>
    <w:rsid w:val="009F5F26"/>
    <w:rsid w:val="009F651C"/>
    <w:rsid w:val="009F65D4"/>
    <w:rsid w:val="00A00579"/>
    <w:rsid w:val="00A007F8"/>
    <w:rsid w:val="00A05343"/>
    <w:rsid w:val="00A0580F"/>
    <w:rsid w:val="00A06B25"/>
    <w:rsid w:val="00A10913"/>
    <w:rsid w:val="00A10E38"/>
    <w:rsid w:val="00A11B08"/>
    <w:rsid w:val="00A12758"/>
    <w:rsid w:val="00A14DCF"/>
    <w:rsid w:val="00A15AEB"/>
    <w:rsid w:val="00A16426"/>
    <w:rsid w:val="00A16D17"/>
    <w:rsid w:val="00A16EED"/>
    <w:rsid w:val="00A20026"/>
    <w:rsid w:val="00A201BC"/>
    <w:rsid w:val="00A20FFB"/>
    <w:rsid w:val="00A22696"/>
    <w:rsid w:val="00A23C8F"/>
    <w:rsid w:val="00A2726E"/>
    <w:rsid w:val="00A30655"/>
    <w:rsid w:val="00A30CF7"/>
    <w:rsid w:val="00A31897"/>
    <w:rsid w:val="00A32A62"/>
    <w:rsid w:val="00A36B57"/>
    <w:rsid w:val="00A3756A"/>
    <w:rsid w:val="00A37952"/>
    <w:rsid w:val="00A40718"/>
    <w:rsid w:val="00A41B1F"/>
    <w:rsid w:val="00A41F31"/>
    <w:rsid w:val="00A42967"/>
    <w:rsid w:val="00A445D7"/>
    <w:rsid w:val="00A4472B"/>
    <w:rsid w:val="00A45B20"/>
    <w:rsid w:val="00A47271"/>
    <w:rsid w:val="00A47354"/>
    <w:rsid w:val="00A50AE9"/>
    <w:rsid w:val="00A50B73"/>
    <w:rsid w:val="00A50D6B"/>
    <w:rsid w:val="00A518DA"/>
    <w:rsid w:val="00A544F5"/>
    <w:rsid w:val="00A546E9"/>
    <w:rsid w:val="00A54C0F"/>
    <w:rsid w:val="00A601C7"/>
    <w:rsid w:val="00A604B3"/>
    <w:rsid w:val="00A6170F"/>
    <w:rsid w:val="00A63CD7"/>
    <w:rsid w:val="00A64400"/>
    <w:rsid w:val="00A65DBF"/>
    <w:rsid w:val="00A66B57"/>
    <w:rsid w:val="00A6716F"/>
    <w:rsid w:val="00A70251"/>
    <w:rsid w:val="00A759CB"/>
    <w:rsid w:val="00A75CEA"/>
    <w:rsid w:val="00A774F9"/>
    <w:rsid w:val="00A778C4"/>
    <w:rsid w:val="00A808CC"/>
    <w:rsid w:val="00A8093F"/>
    <w:rsid w:val="00A8258E"/>
    <w:rsid w:val="00A83041"/>
    <w:rsid w:val="00A87C39"/>
    <w:rsid w:val="00A900C0"/>
    <w:rsid w:val="00A90835"/>
    <w:rsid w:val="00A91375"/>
    <w:rsid w:val="00A93CCA"/>
    <w:rsid w:val="00A94928"/>
    <w:rsid w:val="00A94A8D"/>
    <w:rsid w:val="00A952EA"/>
    <w:rsid w:val="00A96732"/>
    <w:rsid w:val="00A96EC7"/>
    <w:rsid w:val="00A96F8D"/>
    <w:rsid w:val="00A97DAB"/>
    <w:rsid w:val="00A97F41"/>
    <w:rsid w:val="00AA3FA3"/>
    <w:rsid w:val="00AA41B9"/>
    <w:rsid w:val="00AA42D5"/>
    <w:rsid w:val="00AA4AB5"/>
    <w:rsid w:val="00AA5D6D"/>
    <w:rsid w:val="00AA6E65"/>
    <w:rsid w:val="00AB263E"/>
    <w:rsid w:val="00AB389E"/>
    <w:rsid w:val="00AB39CF"/>
    <w:rsid w:val="00AB47E4"/>
    <w:rsid w:val="00AB4C99"/>
    <w:rsid w:val="00AB4DB3"/>
    <w:rsid w:val="00AC1F93"/>
    <w:rsid w:val="00AC2E9E"/>
    <w:rsid w:val="00AC3C94"/>
    <w:rsid w:val="00AC3CB7"/>
    <w:rsid w:val="00AC5480"/>
    <w:rsid w:val="00AC61D5"/>
    <w:rsid w:val="00AC774C"/>
    <w:rsid w:val="00AD0084"/>
    <w:rsid w:val="00AD036E"/>
    <w:rsid w:val="00AD045E"/>
    <w:rsid w:val="00AD1480"/>
    <w:rsid w:val="00AD1596"/>
    <w:rsid w:val="00AD199F"/>
    <w:rsid w:val="00AD1B96"/>
    <w:rsid w:val="00AD3844"/>
    <w:rsid w:val="00AD3D4D"/>
    <w:rsid w:val="00AD4FF5"/>
    <w:rsid w:val="00AD568B"/>
    <w:rsid w:val="00AD76B0"/>
    <w:rsid w:val="00AE0190"/>
    <w:rsid w:val="00AE021C"/>
    <w:rsid w:val="00AE154B"/>
    <w:rsid w:val="00AE35D4"/>
    <w:rsid w:val="00AE3D04"/>
    <w:rsid w:val="00AE5062"/>
    <w:rsid w:val="00AE59FE"/>
    <w:rsid w:val="00AE7630"/>
    <w:rsid w:val="00AE7B23"/>
    <w:rsid w:val="00AE7FAB"/>
    <w:rsid w:val="00AF0A48"/>
    <w:rsid w:val="00AF2CA6"/>
    <w:rsid w:val="00AF31F6"/>
    <w:rsid w:val="00AF324B"/>
    <w:rsid w:val="00AF3AE2"/>
    <w:rsid w:val="00AF3C05"/>
    <w:rsid w:val="00AF48B9"/>
    <w:rsid w:val="00AF55E2"/>
    <w:rsid w:val="00AF6668"/>
    <w:rsid w:val="00AF6E51"/>
    <w:rsid w:val="00AF7771"/>
    <w:rsid w:val="00B00DBF"/>
    <w:rsid w:val="00B01A73"/>
    <w:rsid w:val="00B01D28"/>
    <w:rsid w:val="00B01EB6"/>
    <w:rsid w:val="00B03360"/>
    <w:rsid w:val="00B05059"/>
    <w:rsid w:val="00B052AB"/>
    <w:rsid w:val="00B067F1"/>
    <w:rsid w:val="00B068B1"/>
    <w:rsid w:val="00B07773"/>
    <w:rsid w:val="00B10024"/>
    <w:rsid w:val="00B10337"/>
    <w:rsid w:val="00B132C7"/>
    <w:rsid w:val="00B140F2"/>
    <w:rsid w:val="00B14AAA"/>
    <w:rsid w:val="00B14FA3"/>
    <w:rsid w:val="00B153CA"/>
    <w:rsid w:val="00B17623"/>
    <w:rsid w:val="00B1767E"/>
    <w:rsid w:val="00B23BB5"/>
    <w:rsid w:val="00B251F7"/>
    <w:rsid w:val="00B2552A"/>
    <w:rsid w:val="00B25D4E"/>
    <w:rsid w:val="00B26787"/>
    <w:rsid w:val="00B26938"/>
    <w:rsid w:val="00B26A6E"/>
    <w:rsid w:val="00B30BC3"/>
    <w:rsid w:val="00B3197B"/>
    <w:rsid w:val="00B323D8"/>
    <w:rsid w:val="00B36B6C"/>
    <w:rsid w:val="00B41C76"/>
    <w:rsid w:val="00B4278D"/>
    <w:rsid w:val="00B42BAF"/>
    <w:rsid w:val="00B455B1"/>
    <w:rsid w:val="00B4605A"/>
    <w:rsid w:val="00B478D0"/>
    <w:rsid w:val="00B503AF"/>
    <w:rsid w:val="00B50C85"/>
    <w:rsid w:val="00B50E04"/>
    <w:rsid w:val="00B51972"/>
    <w:rsid w:val="00B51B46"/>
    <w:rsid w:val="00B52C8F"/>
    <w:rsid w:val="00B5365E"/>
    <w:rsid w:val="00B53F9D"/>
    <w:rsid w:val="00B569EE"/>
    <w:rsid w:val="00B57A19"/>
    <w:rsid w:val="00B60841"/>
    <w:rsid w:val="00B60A34"/>
    <w:rsid w:val="00B627A6"/>
    <w:rsid w:val="00B63616"/>
    <w:rsid w:val="00B63FD8"/>
    <w:rsid w:val="00B654B0"/>
    <w:rsid w:val="00B6577B"/>
    <w:rsid w:val="00B65E4B"/>
    <w:rsid w:val="00B70213"/>
    <w:rsid w:val="00B7175D"/>
    <w:rsid w:val="00B719B8"/>
    <w:rsid w:val="00B71A37"/>
    <w:rsid w:val="00B71C04"/>
    <w:rsid w:val="00B71D1A"/>
    <w:rsid w:val="00B72145"/>
    <w:rsid w:val="00B72A61"/>
    <w:rsid w:val="00B73007"/>
    <w:rsid w:val="00B7570E"/>
    <w:rsid w:val="00B76D6C"/>
    <w:rsid w:val="00B7700E"/>
    <w:rsid w:val="00B77E0C"/>
    <w:rsid w:val="00B80823"/>
    <w:rsid w:val="00B80E81"/>
    <w:rsid w:val="00B8175B"/>
    <w:rsid w:val="00B81AB3"/>
    <w:rsid w:val="00B82437"/>
    <w:rsid w:val="00B82724"/>
    <w:rsid w:val="00B82A06"/>
    <w:rsid w:val="00B83845"/>
    <w:rsid w:val="00B83F4F"/>
    <w:rsid w:val="00B849F9"/>
    <w:rsid w:val="00B84D85"/>
    <w:rsid w:val="00B86CAF"/>
    <w:rsid w:val="00B86FEB"/>
    <w:rsid w:val="00B91D9E"/>
    <w:rsid w:val="00B933D6"/>
    <w:rsid w:val="00B93613"/>
    <w:rsid w:val="00B95C02"/>
    <w:rsid w:val="00B96017"/>
    <w:rsid w:val="00B97066"/>
    <w:rsid w:val="00B97349"/>
    <w:rsid w:val="00BA3468"/>
    <w:rsid w:val="00BA3DEE"/>
    <w:rsid w:val="00BA3EFF"/>
    <w:rsid w:val="00BA5090"/>
    <w:rsid w:val="00BB027B"/>
    <w:rsid w:val="00BB4B1F"/>
    <w:rsid w:val="00BB5A9E"/>
    <w:rsid w:val="00BB5C2D"/>
    <w:rsid w:val="00BB6822"/>
    <w:rsid w:val="00BB6D79"/>
    <w:rsid w:val="00BB7D3B"/>
    <w:rsid w:val="00BC24D8"/>
    <w:rsid w:val="00BC3002"/>
    <w:rsid w:val="00BC31E6"/>
    <w:rsid w:val="00BC3635"/>
    <w:rsid w:val="00BC385A"/>
    <w:rsid w:val="00BC3B20"/>
    <w:rsid w:val="00BC3E4E"/>
    <w:rsid w:val="00BC410C"/>
    <w:rsid w:val="00BC4966"/>
    <w:rsid w:val="00BC6828"/>
    <w:rsid w:val="00BC6910"/>
    <w:rsid w:val="00BC6DCF"/>
    <w:rsid w:val="00BD2564"/>
    <w:rsid w:val="00BD35C6"/>
    <w:rsid w:val="00BD4EDE"/>
    <w:rsid w:val="00BD76CC"/>
    <w:rsid w:val="00BD7AE8"/>
    <w:rsid w:val="00BD7FEF"/>
    <w:rsid w:val="00BE0656"/>
    <w:rsid w:val="00BE5D0A"/>
    <w:rsid w:val="00BE6DD3"/>
    <w:rsid w:val="00BE71FD"/>
    <w:rsid w:val="00BE7405"/>
    <w:rsid w:val="00BF1631"/>
    <w:rsid w:val="00BF170F"/>
    <w:rsid w:val="00BF33CC"/>
    <w:rsid w:val="00BF43DC"/>
    <w:rsid w:val="00BF5572"/>
    <w:rsid w:val="00BF67F2"/>
    <w:rsid w:val="00BF7477"/>
    <w:rsid w:val="00C02A92"/>
    <w:rsid w:val="00C036A3"/>
    <w:rsid w:val="00C044F5"/>
    <w:rsid w:val="00C05304"/>
    <w:rsid w:val="00C05657"/>
    <w:rsid w:val="00C061A2"/>
    <w:rsid w:val="00C13806"/>
    <w:rsid w:val="00C14BCA"/>
    <w:rsid w:val="00C14EBC"/>
    <w:rsid w:val="00C16B9A"/>
    <w:rsid w:val="00C21569"/>
    <w:rsid w:val="00C21DC9"/>
    <w:rsid w:val="00C23168"/>
    <w:rsid w:val="00C24D45"/>
    <w:rsid w:val="00C27F66"/>
    <w:rsid w:val="00C312B9"/>
    <w:rsid w:val="00C3233B"/>
    <w:rsid w:val="00C33C60"/>
    <w:rsid w:val="00C35F54"/>
    <w:rsid w:val="00C36092"/>
    <w:rsid w:val="00C37D56"/>
    <w:rsid w:val="00C37E69"/>
    <w:rsid w:val="00C40AE7"/>
    <w:rsid w:val="00C410AC"/>
    <w:rsid w:val="00C43B3D"/>
    <w:rsid w:val="00C4582B"/>
    <w:rsid w:val="00C46D45"/>
    <w:rsid w:val="00C471F5"/>
    <w:rsid w:val="00C478AB"/>
    <w:rsid w:val="00C5118E"/>
    <w:rsid w:val="00C52960"/>
    <w:rsid w:val="00C548FC"/>
    <w:rsid w:val="00C608C9"/>
    <w:rsid w:val="00C624FD"/>
    <w:rsid w:val="00C625B5"/>
    <w:rsid w:val="00C62C22"/>
    <w:rsid w:val="00C640C1"/>
    <w:rsid w:val="00C6583E"/>
    <w:rsid w:val="00C701F9"/>
    <w:rsid w:val="00C70871"/>
    <w:rsid w:val="00C70D04"/>
    <w:rsid w:val="00C72B94"/>
    <w:rsid w:val="00C76101"/>
    <w:rsid w:val="00C768A2"/>
    <w:rsid w:val="00C76D45"/>
    <w:rsid w:val="00C77ACC"/>
    <w:rsid w:val="00C80242"/>
    <w:rsid w:val="00C80994"/>
    <w:rsid w:val="00C81672"/>
    <w:rsid w:val="00C818CC"/>
    <w:rsid w:val="00C83DA9"/>
    <w:rsid w:val="00C841D6"/>
    <w:rsid w:val="00C844D4"/>
    <w:rsid w:val="00C852D0"/>
    <w:rsid w:val="00C8655F"/>
    <w:rsid w:val="00C91BE3"/>
    <w:rsid w:val="00C921E5"/>
    <w:rsid w:val="00C935FB"/>
    <w:rsid w:val="00C940DC"/>
    <w:rsid w:val="00C94612"/>
    <w:rsid w:val="00C971C4"/>
    <w:rsid w:val="00CA07EE"/>
    <w:rsid w:val="00CA1B1D"/>
    <w:rsid w:val="00CA2B90"/>
    <w:rsid w:val="00CA2B9D"/>
    <w:rsid w:val="00CA5993"/>
    <w:rsid w:val="00CA70BA"/>
    <w:rsid w:val="00CB0023"/>
    <w:rsid w:val="00CB0B2A"/>
    <w:rsid w:val="00CB4429"/>
    <w:rsid w:val="00CB4775"/>
    <w:rsid w:val="00CB5E3D"/>
    <w:rsid w:val="00CB6E6B"/>
    <w:rsid w:val="00CC03E1"/>
    <w:rsid w:val="00CC1A19"/>
    <w:rsid w:val="00CC1ADF"/>
    <w:rsid w:val="00CC24F5"/>
    <w:rsid w:val="00CC3A2D"/>
    <w:rsid w:val="00CC499E"/>
    <w:rsid w:val="00CC706A"/>
    <w:rsid w:val="00CD0186"/>
    <w:rsid w:val="00CD0839"/>
    <w:rsid w:val="00CD17D7"/>
    <w:rsid w:val="00CD194C"/>
    <w:rsid w:val="00CD215C"/>
    <w:rsid w:val="00CD27C4"/>
    <w:rsid w:val="00CD2952"/>
    <w:rsid w:val="00CD304D"/>
    <w:rsid w:val="00CD65D6"/>
    <w:rsid w:val="00CD68D1"/>
    <w:rsid w:val="00CD758F"/>
    <w:rsid w:val="00CE1C76"/>
    <w:rsid w:val="00CE1D82"/>
    <w:rsid w:val="00CE1EC9"/>
    <w:rsid w:val="00CE28D5"/>
    <w:rsid w:val="00CE2D84"/>
    <w:rsid w:val="00CE3ECA"/>
    <w:rsid w:val="00CE666D"/>
    <w:rsid w:val="00CE7953"/>
    <w:rsid w:val="00CE79D7"/>
    <w:rsid w:val="00CE7DDC"/>
    <w:rsid w:val="00CF1057"/>
    <w:rsid w:val="00CF1E64"/>
    <w:rsid w:val="00CF42DB"/>
    <w:rsid w:val="00CF45B7"/>
    <w:rsid w:val="00CF52DB"/>
    <w:rsid w:val="00D00004"/>
    <w:rsid w:val="00D00B4B"/>
    <w:rsid w:val="00D01137"/>
    <w:rsid w:val="00D01866"/>
    <w:rsid w:val="00D0303A"/>
    <w:rsid w:val="00D0315E"/>
    <w:rsid w:val="00D03379"/>
    <w:rsid w:val="00D048F8"/>
    <w:rsid w:val="00D05102"/>
    <w:rsid w:val="00D05C3D"/>
    <w:rsid w:val="00D05CDF"/>
    <w:rsid w:val="00D07EBC"/>
    <w:rsid w:val="00D10823"/>
    <w:rsid w:val="00D112F9"/>
    <w:rsid w:val="00D13051"/>
    <w:rsid w:val="00D131D5"/>
    <w:rsid w:val="00D15F21"/>
    <w:rsid w:val="00D160A0"/>
    <w:rsid w:val="00D16C04"/>
    <w:rsid w:val="00D17DB0"/>
    <w:rsid w:val="00D20121"/>
    <w:rsid w:val="00D2065C"/>
    <w:rsid w:val="00D20F53"/>
    <w:rsid w:val="00D24315"/>
    <w:rsid w:val="00D25657"/>
    <w:rsid w:val="00D276F9"/>
    <w:rsid w:val="00D27F24"/>
    <w:rsid w:val="00D27FE7"/>
    <w:rsid w:val="00D322B1"/>
    <w:rsid w:val="00D3249F"/>
    <w:rsid w:val="00D32F07"/>
    <w:rsid w:val="00D3365B"/>
    <w:rsid w:val="00D33FE6"/>
    <w:rsid w:val="00D373BA"/>
    <w:rsid w:val="00D4122B"/>
    <w:rsid w:val="00D433C0"/>
    <w:rsid w:val="00D453A2"/>
    <w:rsid w:val="00D47D06"/>
    <w:rsid w:val="00D50331"/>
    <w:rsid w:val="00D50641"/>
    <w:rsid w:val="00D50907"/>
    <w:rsid w:val="00D50B6B"/>
    <w:rsid w:val="00D50BC6"/>
    <w:rsid w:val="00D51011"/>
    <w:rsid w:val="00D51380"/>
    <w:rsid w:val="00D51863"/>
    <w:rsid w:val="00D52E0B"/>
    <w:rsid w:val="00D52E34"/>
    <w:rsid w:val="00D5603E"/>
    <w:rsid w:val="00D569B5"/>
    <w:rsid w:val="00D56F03"/>
    <w:rsid w:val="00D571F0"/>
    <w:rsid w:val="00D578A6"/>
    <w:rsid w:val="00D61996"/>
    <w:rsid w:val="00D62B76"/>
    <w:rsid w:val="00D6672D"/>
    <w:rsid w:val="00D66D66"/>
    <w:rsid w:val="00D67883"/>
    <w:rsid w:val="00D700C3"/>
    <w:rsid w:val="00D701D3"/>
    <w:rsid w:val="00D711C7"/>
    <w:rsid w:val="00D7204D"/>
    <w:rsid w:val="00D726AE"/>
    <w:rsid w:val="00D758AC"/>
    <w:rsid w:val="00D75A63"/>
    <w:rsid w:val="00D77CD0"/>
    <w:rsid w:val="00D77E5F"/>
    <w:rsid w:val="00D77F65"/>
    <w:rsid w:val="00D8198A"/>
    <w:rsid w:val="00D81B3E"/>
    <w:rsid w:val="00D85245"/>
    <w:rsid w:val="00D85A38"/>
    <w:rsid w:val="00D91DEA"/>
    <w:rsid w:val="00D94353"/>
    <w:rsid w:val="00D94F22"/>
    <w:rsid w:val="00D95651"/>
    <w:rsid w:val="00D95F42"/>
    <w:rsid w:val="00D97213"/>
    <w:rsid w:val="00DA0858"/>
    <w:rsid w:val="00DA08E5"/>
    <w:rsid w:val="00DA0CEC"/>
    <w:rsid w:val="00DA50BD"/>
    <w:rsid w:val="00DA7906"/>
    <w:rsid w:val="00DB03A9"/>
    <w:rsid w:val="00DB0A0D"/>
    <w:rsid w:val="00DB0AD3"/>
    <w:rsid w:val="00DB1116"/>
    <w:rsid w:val="00DB1393"/>
    <w:rsid w:val="00DB1FEF"/>
    <w:rsid w:val="00DB26E8"/>
    <w:rsid w:val="00DB3F6D"/>
    <w:rsid w:val="00DB5144"/>
    <w:rsid w:val="00DB5E3A"/>
    <w:rsid w:val="00DB5F5E"/>
    <w:rsid w:val="00DC1E72"/>
    <w:rsid w:val="00DC1EB3"/>
    <w:rsid w:val="00DC2D77"/>
    <w:rsid w:val="00DC37B7"/>
    <w:rsid w:val="00DC45BC"/>
    <w:rsid w:val="00DC4CEE"/>
    <w:rsid w:val="00DC535C"/>
    <w:rsid w:val="00DC7008"/>
    <w:rsid w:val="00DC75A5"/>
    <w:rsid w:val="00DD06A4"/>
    <w:rsid w:val="00DD1A89"/>
    <w:rsid w:val="00DD3628"/>
    <w:rsid w:val="00DD5278"/>
    <w:rsid w:val="00DD5EEB"/>
    <w:rsid w:val="00DD7548"/>
    <w:rsid w:val="00DD7C9C"/>
    <w:rsid w:val="00DE2AF4"/>
    <w:rsid w:val="00DE31F1"/>
    <w:rsid w:val="00DE3B3F"/>
    <w:rsid w:val="00DE5466"/>
    <w:rsid w:val="00DE5A88"/>
    <w:rsid w:val="00DE5F42"/>
    <w:rsid w:val="00DE63A9"/>
    <w:rsid w:val="00DE6405"/>
    <w:rsid w:val="00DE6B1A"/>
    <w:rsid w:val="00DE6CCE"/>
    <w:rsid w:val="00DE6D73"/>
    <w:rsid w:val="00DF4C7F"/>
    <w:rsid w:val="00DF4CF8"/>
    <w:rsid w:val="00DF6A1F"/>
    <w:rsid w:val="00DF7B1E"/>
    <w:rsid w:val="00E00B8F"/>
    <w:rsid w:val="00E01500"/>
    <w:rsid w:val="00E02327"/>
    <w:rsid w:val="00E02E6C"/>
    <w:rsid w:val="00E031E1"/>
    <w:rsid w:val="00E04234"/>
    <w:rsid w:val="00E046AF"/>
    <w:rsid w:val="00E04A32"/>
    <w:rsid w:val="00E04B36"/>
    <w:rsid w:val="00E06FB9"/>
    <w:rsid w:val="00E1216B"/>
    <w:rsid w:val="00E166EC"/>
    <w:rsid w:val="00E20CAB"/>
    <w:rsid w:val="00E2246C"/>
    <w:rsid w:val="00E23646"/>
    <w:rsid w:val="00E2401A"/>
    <w:rsid w:val="00E3424C"/>
    <w:rsid w:val="00E343A1"/>
    <w:rsid w:val="00E3508D"/>
    <w:rsid w:val="00E35E41"/>
    <w:rsid w:val="00E45E5D"/>
    <w:rsid w:val="00E45ED2"/>
    <w:rsid w:val="00E509CE"/>
    <w:rsid w:val="00E521DC"/>
    <w:rsid w:val="00E53805"/>
    <w:rsid w:val="00E5387B"/>
    <w:rsid w:val="00E54885"/>
    <w:rsid w:val="00E54924"/>
    <w:rsid w:val="00E54998"/>
    <w:rsid w:val="00E55F0C"/>
    <w:rsid w:val="00E56170"/>
    <w:rsid w:val="00E56238"/>
    <w:rsid w:val="00E56891"/>
    <w:rsid w:val="00E6154E"/>
    <w:rsid w:val="00E61B78"/>
    <w:rsid w:val="00E62CDB"/>
    <w:rsid w:val="00E63032"/>
    <w:rsid w:val="00E648E2"/>
    <w:rsid w:val="00E64F48"/>
    <w:rsid w:val="00E65E13"/>
    <w:rsid w:val="00E6623B"/>
    <w:rsid w:val="00E722A5"/>
    <w:rsid w:val="00E7518C"/>
    <w:rsid w:val="00E755FD"/>
    <w:rsid w:val="00E77DAE"/>
    <w:rsid w:val="00E81A1F"/>
    <w:rsid w:val="00E82B3D"/>
    <w:rsid w:val="00E82F43"/>
    <w:rsid w:val="00E83C48"/>
    <w:rsid w:val="00E85EBF"/>
    <w:rsid w:val="00E86BA1"/>
    <w:rsid w:val="00E86E51"/>
    <w:rsid w:val="00E90173"/>
    <w:rsid w:val="00E90414"/>
    <w:rsid w:val="00E918DA"/>
    <w:rsid w:val="00E92357"/>
    <w:rsid w:val="00E92511"/>
    <w:rsid w:val="00E92690"/>
    <w:rsid w:val="00E934BF"/>
    <w:rsid w:val="00E93989"/>
    <w:rsid w:val="00E94576"/>
    <w:rsid w:val="00E94B64"/>
    <w:rsid w:val="00E95AA1"/>
    <w:rsid w:val="00E95CAE"/>
    <w:rsid w:val="00E960D4"/>
    <w:rsid w:val="00E961A3"/>
    <w:rsid w:val="00E96D45"/>
    <w:rsid w:val="00E978B0"/>
    <w:rsid w:val="00E97FE2"/>
    <w:rsid w:val="00EA0204"/>
    <w:rsid w:val="00EA248A"/>
    <w:rsid w:val="00EA364B"/>
    <w:rsid w:val="00EA3B16"/>
    <w:rsid w:val="00EA4212"/>
    <w:rsid w:val="00EA434D"/>
    <w:rsid w:val="00EA54E3"/>
    <w:rsid w:val="00EA5806"/>
    <w:rsid w:val="00EA585B"/>
    <w:rsid w:val="00EA587C"/>
    <w:rsid w:val="00EA5F15"/>
    <w:rsid w:val="00EB0103"/>
    <w:rsid w:val="00EB03D2"/>
    <w:rsid w:val="00EB04B7"/>
    <w:rsid w:val="00EB1EFF"/>
    <w:rsid w:val="00EB24DF"/>
    <w:rsid w:val="00EB2705"/>
    <w:rsid w:val="00EB281C"/>
    <w:rsid w:val="00EB2FFD"/>
    <w:rsid w:val="00EB44D9"/>
    <w:rsid w:val="00EB49BF"/>
    <w:rsid w:val="00EB49D5"/>
    <w:rsid w:val="00EB52C5"/>
    <w:rsid w:val="00EB61C3"/>
    <w:rsid w:val="00EB6A72"/>
    <w:rsid w:val="00EB6C06"/>
    <w:rsid w:val="00EC0494"/>
    <w:rsid w:val="00EC114D"/>
    <w:rsid w:val="00EC33DC"/>
    <w:rsid w:val="00EC4936"/>
    <w:rsid w:val="00ED189A"/>
    <w:rsid w:val="00ED3639"/>
    <w:rsid w:val="00ED3781"/>
    <w:rsid w:val="00ED4C78"/>
    <w:rsid w:val="00ED4D96"/>
    <w:rsid w:val="00ED530E"/>
    <w:rsid w:val="00ED5E41"/>
    <w:rsid w:val="00ED6E70"/>
    <w:rsid w:val="00EE0017"/>
    <w:rsid w:val="00EE04E5"/>
    <w:rsid w:val="00EE152C"/>
    <w:rsid w:val="00EE2FBA"/>
    <w:rsid w:val="00EE4113"/>
    <w:rsid w:val="00EE45CE"/>
    <w:rsid w:val="00EE4C35"/>
    <w:rsid w:val="00EE6E9A"/>
    <w:rsid w:val="00EF276E"/>
    <w:rsid w:val="00EF355A"/>
    <w:rsid w:val="00EF42BF"/>
    <w:rsid w:val="00EF503B"/>
    <w:rsid w:val="00EF73C5"/>
    <w:rsid w:val="00F02775"/>
    <w:rsid w:val="00F02A2B"/>
    <w:rsid w:val="00F03012"/>
    <w:rsid w:val="00F0377D"/>
    <w:rsid w:val="00F03D88"/>
    <w:rsid w:val="00F04F18"/>
    <w:rsid w:val="00F0585F"/>
    <w:rsid w:val="00F05A9C"/>
    <w:rsid w:val="00F05D26"/>
    <w:rsid w:val="00F05E46"/>
    <w:rsid w:val="00F0765F"/>
    <w:rsid w:val="00F07E58"/>
    <w:rsid w:val="00F10273"/>
    <w:rsid w:val="00F11A43"/>
    <w:rsid w:val="00F1243F"/>
    <w:rsid w:val="00F12FE4"/>
    <w:rsid w:val="00F13512"/>
    <w:rsid w:val="00F13BD9"/>
    <w:rsid w:val="00F14553"/>
    <w:rsid w:val="00F16121"/>
    <w:rsid w:val="00F20C32"/>
    <w:rsid w:val="00F20E7E"/>
    <w:rsid w:val="00F210A1"/>
    <w:rsid w:val="00F21AD0"/>
    <w:rsid w:val="00F225D3"/>
    <w:rsid w:val="00F22A54"/>
    <w:rsid w:val="00F22A5A"/>
    <w:rsid w:val="00F24210"/>
    <w:rsid w:val="00F24E94"/>
    <w:rsid w:val="00F2570F"/>
    <w:rsid w:val="00F26AD4"/>
    <w:rsid w:val="00F26C1C"/>
    <w:rsid w:val="00F26DB5"/>
    <w:rsid w:val="00F3095F"/>
    <w:rsid w:val="00F31558"/>
    <w:rsid w:val="00F31A31"/>
    <w:rsid w:val="00F31DE6"/>
    <w:rsid w:val="00F327B0"/>
    <w:rsid w:val="00F34AF7"/>
    <w:rsid w:val="00F352BD"/>
    <w:rsid w:val="00F35838"/>
    <w:rsid w:val="00F3583E"/>
    <w:rsid w:val="00F3634E"/>
    <w:rsid w:val="00F370E6"/>
    <w:rsid w:val="00F37727"/>
    <w:rsid w:val="00F41860"/>
    <w:rsid w:val="00F424C5"/>
    <w:rsid w:val="00F43512"/>
    <w:rsid w:val="00F4354F"/>
    <w:rsid w:val="00F45A58"/>
    <w:rsid w:val="00F4694D"/>
    <w:rsid w:val="00F46A0C"/>
    <w:rsid w:val="00F47DC6"/>
    <w:rsid w:val="00F47ED5"/>
    <w:rsid w:val="00F505AF"/>
    <w:rsid w:val="00F506E1"/>
    <w:rsid w:val="00F51C84"/>
    <w:rsid w:val="00F52E43"/>
    <w:rsid w:val="00F53963"/>
    <w:rsid w:val="00F53BAB"/>
    <w:rsid w:val="00F543CB"/>
    <w:rsid w:val="00F54B36"/>
    <w:rsid w:val="00F552A6"/>
    <w:rsid w:val="00F56386"/>
    <w:rsid w:val="00F56A5E"/>
    <w:rsid w:val="00F574DC"/>
    <w:rsid w:val="00F57E08"/>
    <w:rsid w:val="00F6103B"/>
    <w:rsid w:val="00F61225"/>
    <w:rsid w:val="00F617C1"/>
    <w:rsid w:val="00F62644"/>
    <w:rsid w:val="00F62A7B"/>
    <w:rsid w:val="00F635EB"/>
    <w:rsid w:val="00F67733"/>
    <w:rsid w:val="00F7078D"/>
    <w:rsid w:val="00F709CF"/>
    <w:rsid w:val="00F72614"/>
    <w:rsid w:val="00F72CA7"/>
    <w:rsid w:val="00F730E8"/>
    <w:rsid w:val="00F76DB5"/>
    <w:rsid w:val="00F7725F"/>
    <w:rsid w:val="00F77ED4"/>
    <w:rsid w:val="00F801F3"/>
    <w:rsid w:val="00F80B06"/>
    <w:rsid w:val="00F817AF"/>
    <w:rsid w:val="00F825AB"/>
    <w:rsid w:val="00F82795"/>
    <w:rsid w:val="00F828FA"/>
    <w:rsid w:val="00F86414"/>
    <w:rsid w:val="00F91124"/>
    <w:rsid w:val="00F91308"/>
    <w:rsid w:val="00F920EB"/>
    <w:rsid w:val="00F9503E"/>
    <w:rsid w:val="00F96894"/>
    <w:rsid w:val="00F978A9"/>
    <w:rsid w:val="00FA2A8A"/>
    <w:rsid w:val="00FA2EA1"/>
    <w:rsid w:val="00FA3860"/>
    <w:rsid w:val="00FA730B"/>
    <w:rsid w:val="00FA7792"/>
    <w:rsid w:val="00FA7BCF"/>
    <w:rsid w:val="00FB00E2"/>
    <w:rsid w:val="00FB0552"/>
    <w:rsid w:val="00FB1746"/>
    <w:rsid w:val="00FB1EE6"/>
    <w:rsid w:val="00FB37C2"/>
    <w:rsid w:val="00FB3C66"/>
    <w:rsid w:val="00FB4702"/>
    <w:rsid w:val="00FB481E"/>
    <w:rsid w:val="00FB4981"/>
    <w:rsid w:val="00FB4A88"/>
    <w:rsid w:val="00FB5A89"/>
    <w:rsid w:val="00FC05F2"/>
    <w:rsid w:val="00FC0ACD"/>
    <w:rsid w:val="00FC1D07"/>
    <w:rsid w:val="00FC2243"/>
    <w:rsid w:val="00FC3308"/>
    <w:rsid w:val="00FC423E"/>
    <w:rsid w:val="00FC4C9B"/>
    <w:rsid w:val="00FD05A6"/>
    <w:rsid w:val="00FD08D4"/>
    <w:rsid w:val="00FD183E"/>
    <w:rsid w:val="00FD1950"/>
    <w:rsid w:val="00FD1AF2"/>
    <w:rsid w:val="00FD25B4"/>
    <w:rsid w:val="00FD3460"/>
    <w:rsid w:val="00FD3FB5"/>
    <w:rsid w:val="00FD4807"/>
    <w:rsid w:val="00FD710C"/>
    <w:rsid w:val="00FE01DB"/>
    <w:rsid w:val="00FE024E"/>
    <w:rsid w:val="00FE5DD2"/>
    <w:rsid w:val="00FE6CBE"/>
    <w:rsid w:val="00FE7E55"/>
    <w:rsid w:val="00FF014E"/>
    <w:rsid w:val="00FF0552"/>
    <w:rsid w:val="00FF083D"/>
    <w:rsid w:val="00FF1327"/>
    <w:rsid w:val="00FF2660"/>
    <w:rsid w:val="00FF2B4D"/>
    <w:rsid w:val="00FF3B24"/>
    <w:rsid w:val="00FF3F5E"/>
    <w:rsid w:val="00FF6EA8"/>
    <w:rsid w:val="00FF6F6C"/>
    <w:rsid w:val="00FF6F9D"/>
    <w:rsid w:val="00FF77EB"/>
    <w:rsid w:val="00FF7E7D"/>
    <w:rsid w:val="0B63A695"/>
    <w:rsid w:val="0D15AAF6"/>
    <w:rsid w:val="3705939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ED5FFCA"/>
  <w15:chartTrackingRefBased/>
  <w15:docId w15:val="{C91AE9F7-69B6-4366-BB0E-3A6AE7C4D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655"/>
    <w:pPr>
      <w:spacing w:line="480" w:lineRule="auto"/>
    </w:pPr>
    <w:rPr>
      <w:rFonts w:ascii="Arial" w:hAnsi="Arial"/>
      <w:szCs w:val="24"/>
      <w:lang w:val="en-US" w:eastAsia="en-US"/>
    </w:rPr>
  </w:style>
  <w:style w:type="paragraph" w:styleId="Heading1">
    <w:name w:val="heading 1"/>
    <w:basedOn w:val="Normal"/>
    <w:next w:val="Normal"/>
    <w:qFormat/>
    <w:rsid w:val="0060400B"/>
    <w:pPr>
      <w:keepNext/>
      <w:spacing w:before="240" w:after="60"/>
      <w:outlineLvl w:val="0"/>
    </w:pPr>
    <w:rPr>
      <w:rFonts w:cs="Arial"/>
      <w:b/>
      <w:bCs/>
      <w:kern w:val="32"/>
      <w:sz w:val="32"/>
      <w:szCs w:val="32"/>
    </w:rPr>
  </w:style>
  <w:style w:type="paragraph" w:styleId="Heading2">
    <w:name w:val="heading 2"/>
    <w:basedOn w:val="Normal"/>
    <w:next w:val="Normal"/>
    <w:qFormat/>
    <w:rsid w:val="0060400B"/>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60400B"/>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7B27D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2795"/>
    <w:pPr>
      <w:tabs>
        <w:tab w:val="center" w:pos="4320"/>
        <w:tab w:val="right" w:pos="8640"/>
      </w:tabs>
    </w:pPr>
  </w:style>
  <w:style w:type="character" w:styleId="PageNumber">
    <w:name w:val="page number"/>
    <w:basedOn w:val="DefaultParagraphFont"/>
    <w:rsid w:val="00F82795"/>
  </w:style>
  <w:style w:type="character" w:styleId="Emphasis">
    <w:name w:val="Emphasis"/>
    <w:qFormat/>
    <w:rsid w:val="00FF6EA8"/>
    <w:rPr>
      <w:b/>
      <w:bCs/>
      <w:i w:val="0"/>
      <w:iCs w:val="0"/>
    </w:rPr>
  </w:style>
  <w:style w:type="character" w:styleId="Hyperlink">
    <w:name w:val="Hyperlink"/>
    <w:rsid w:val="00887016"/>
    <w:rPr>
      <w:color w:val="0000FF"/>
      <w:u w:val="single"/>
    </w:rPr>
  </w:style>
  <w:style w:type="character" w:styleId="CommentReference">
    <w:name w:val="annotation reference"/>
    <w:uiPriority w:val="99"/>
    <w:semiHidden/>
    <w:rsid w:val="00D00B4B"/>
    <w:rPr>
      <w:sz w:val="16"/>
      <w:szCs w:val="16"/>
    </w:rPr>
  </w:style>
  <w:style w:type="paragraph" w:styleId="CommentText">
    <w:name w:val="annotation text"/>
    <w:aliases w:val="Annotationtext"/>
    <w:basedOn w:val="Normal"/>
    <w:link w:val="CommentTextChar"/>
    <w:rsid w:val="00D00B4B"/>
    <w:rPr>
      <w:szCs w:val="20"/>
    </w:rPr>
  </w:style>
  <w:style w:type="paragraph" w:styleId="CommentSubject">
    <w:name w:val="annotation subject"/>
    <w:basedOn w:val="CommentText"/>
    <w:next w:val="CommentText"/>
    <w:semiHidden/>
    <w:rsid w:val="00D00B4B"/>
    <w:rPr>
      <w:b/>
      <w:bCs/>
    </w:rPr>
  </w:style>
  <w:style w:type="paragraph" w:styleId="BalloonText">
    <w:name w:val="Balloon Text"/>
    <w:basedOn w:val="Normal"/>
    <w:semiHidden/>
    <w:rsid w:val="00D00B4B"/>
    <w:rPr>
      <w:rFonts w:ascii="Tahoma" w:hAnsi="Tahoma" w:cs="Tahoma"/>
      <w:sz w:val="16"/>
      <w:szCs w:val="16"/>
    </w:rPr>
  </w:style>
  <w:style w:type="character" w:styleId="LineNumber">
    <w:name w:val="line number"/>
    <w:rsid w:val="00C94612"/>
  </w:style>
  <w:style w:type="character" w:styleId="FollowedHyperlink">
    <w:name w:val="FollowedHyperlink"/>
    <w:basedOn w:val="DefaultParagraphFont"/>
    <w:rsid w:val="00512907"/>
    <w:rPr>
      <w:color w:val="954F72" w:themeColor="followedHyperlink"/>
      <w:u w:val="single"/>
    </w:rPr>
  </w:style>
  <w:style w:type="paragraph" w:styleId="Header">
    <w:name w:val="header"/>
    <w:basedOn w:val="Normal"/>
    <w:link w:val="HeaderChar"/>
    <w:rsid w:val="00F04F18"/>
    <w:pPr>
      <w:tabs>
        <w:tab w:val="center" w:pos="4680"/>
        <w:tab w:val="right" w:pos="9360"/>
      </w:tabs>
      <w:spacing w:line="240" w:lineRule="auto"/>
    </w:pPr>
  </w:style>
  <w:style w:type="character" w:customStyle="1" w:styleId="HeaderChar">
    <w:name w:val="Header Char"/>
    <w:basedOn w:val="DefaultParagraphFont"/>
    <w:link w:val="Header"/>
    <w:rsid w:val="00F04F18"/>
    <w:rPr>
      <w:rFonts w:ascii="Arial" w:hAnsi="Arial"/>
      <w:szCs w:val="24"/>
      <w:lang w:val="en-US" w:eastAsia="en-US"/>
    </w:rPr>
  </w:style>
  <w:style w:type="paragraph" w:styleId="Bibliography">
    <w:name w:val="Bibliography"/>
    <w:basedOn w:val="Normal"/>
    <w:next w:val="Normal"/>
    <w:uiPriority w:val="37"/>
    <w:unhideWhenUsed/>
    <w:rsid w:val="00BA3468"/>
    <w:pPr>
      <w:tabs>
        <w:tab w:val="left" w:pos="384"/>
      </w:tabs>
      <w:spacing w:after="240" w:line="240" w:lineRule="auto"/>
      <w:ind w:left="384" w:hanging="384"/>
    </w:pPr>
  </w:style>
  <w:style w:type="character" w:customStyle="1" w:styleId="CommentTextChar">
    <w:name w:val="Comment Text Char"/>
    <w:aliases w:val="Annotationtext Char"/>
    <w:basedOn w:val="DefaultParagraphFont"/>
    <w:link w:val="CommentText"/>
    <w:rsid w:val="00F14553"/>
    <w:rPr>
      <w:rFonts w:ascii="Arial" w:hAnsi="Arial"/>
      <w:lang w:val="en-US" w:eastAsia="en-US"/>
    </w:rPr>
  </w:style>
  <w:style w:type="paragraph" w:customStyle="1" w:styleId="BULLETA">
    <w:name w:val="BULLET A"/>
    <w:basedOn w:val="Normal"/>
    <w:link w:val="BULLETAChar"/>
    <w:qFormat/>
    <w:rsid w:val="004A3137"/>
    <w:pPr>
      <w:widowControl w:val="0"/>
      <w:numPr>
        <w:numId w:val="7"/>
      </w:numPr>
      <w:overflowPunct w:val="0"/>
      <w:autoSpaceDE w:val="0"/>
      <w:autoSpaceDN w:val="0"/>
      <w:adjustRightInd w:val="0"/>
      <w:spacing w:before="60" w:after="240" w:line="240" w:lineRule="exact"/>
      <w:contextualSpacing/>
      <w:jc w:val="both"/>
      <w:textAlignment w:val="baseline"/>
    </w:pPr>
    <w:rPr>
      <w:rFonts w:eastAsiaTheme="minorHAnsi" w:cs="Arial"/>
      <w:color w:val="000000"/>
      <w:szCs w:val="22"/>
      <w:lang w:val="en-CA" w:eastAsia="en-GB"/>
    </w:rPr>
  </w:style>
  <w:style w:type="character" w:customStyle="1" w:styleId="BULLETAChar">
    <w:name w:val="BULLET A Char"/>
    <w:basedOn w:val="DefaultParagraphFont"/>
    <w:link w:val="BULLETA"/>
    <w:rsid w:val="004A3137"/>
    <w:rPr>
      <w:rFonts w:ascii="Arial" w:eastAsiaTheme="minorHAnsi" w:hAnsi="Arial" w:cs="Arial"/>
      <w:color w:val="000000"/>
      <w:szCs w:val="22"/>
      <w:lang w:val="en-CA" w:eastAsia="en-GB"/>
    </w:rPr>
  </w:style>
  <w:style w:type="character" w:customStyle="1" w:styleId="Heading4Char">
    <w:name w:val="Heading 4 Char"/>
    <w:basedOn w:val="DefaultParagraphFont"/>
    <w:link w:val="Heading4"/>
    <w:semiHidden/>
    <w:rsid w:val="007B27D3"/>
    <w:rPr>
      <w:rFonts w:asciiTheme="majorHAnsi" w:eastAsiaTheme="majorEastAsia" w:hAnsiTheme="majorHAnsi" w:cstheme="majorBidi"/>
      <w:i/>
      <w:iCs/>
      <w:color w:val="2F5496" w:themeColor="accent1" w:themeShade="BF"/>
      <w:szCs w:val="24"/>
      <w:lang w:val="en-US" w:eastAsia="en-US"/>
    </w:rPr>
  </w:style>
  <w:style w:type="paragraph" w:customStyle="1" w:styleId="tablelegend">
    <w:name w:val="table legend"/>
    <w:basedOn w:val="Normal"/>
    <w:link w:val="tablelegendChar"/>
    <w:qFormat/>
    <w:rsid w:val="00D52E0B"/>
    <w:pPr>
      <w:spacing w:line="240" w:lineRule="auto"/>
      <w:contextualSpacing/>
      <w:jc w:val="both"/>
    </w:pPr>
    <w:rPr>
      <w:rFonts w:ascii="Helvetica" w:eastAsiaTheme="minorHAnsi" w:hAnsi="Helvetica"/>
      <w:color w:val="000000"/>
      <w:sz w:val="16"/>
      <w:szCs w:val="16"/>
      <w:lang w:val="en-CA"/>
    </w:rPr>
  </w:style>
  <w:style w:type="character" w:customStyle="1" w:styleId="tablelegendChar">
    <w:name w:val="table legend Char"/>
    <w:basedOn w:val="DefaultParagraphFont"/>
    <w:link w:val="tablelegend"/>
    <w:rsid w:val="00D52E0B"/>
    <w:rPr>
      <w:rFonts w:ascii="Helvetica" w:eastAsiaTheme="minorHAnsi" w:hAnsi="Helvetica"/>
      <w:color w:val="000000"/>
      <w:sz w:val="16"/>
      <w:szCs w:val="16"/>
      <w:lang w:val="en-CA" w:eastAsia="en-US"/>
    </w:rPr>
  </w:style>
  <w:style w:type="paragraph" w:customStyle="1" w:styleId="Tablebulletlevel1">
    <w:name w:val="Table bullet level 1"/>
    <w:basedOn w:val="ListParagraph"/>
    <w:link w:val="Tablebulletlevel1Char"/>
    <w:qFormat/>
    <w:rsid w:val="001A7B4A"/>
    <w:pPr>
      <w:numPr>
        <w:numId w:val="10"/>
      </w:numPr>
      <w:spacing w:before="40" w:after="40" w:line="240" w:lineRule="exact"/>
      <w:contextualSpacing w:val="0"/>
      <w:jc w:val="both"/>
    </w:pPr>
    <w:rPr>
      <w:rFonts w:ascii="Helvetica" w:eastAsia="Batang" w:hAnsi="Helvetica" w:cstheme="minorBidi"/>
      <w:bCs/>
      <w:color w:val="000000"/>
      <w:sz w:val="18"/>
      <w:szCs w:val="18"/>
      <w:lang w:val="en-CA" w:eastAsia="en-GB"/>
    </w:rPr>
  </w:style>
  <w:style w:type="paragraph" w:customStyle="1" w:styleId="Tablebulletlevel2">
    <w:name w:val="Table bullet level 2"/>
    <w:basedOn w:val="Tablebulletlevel1"/>
    <w:qFormat/>
    <w:rsid w:val="001A7B4A"/>
    <w:pPr>
      <w:numPr>
        <w:ilvl w:val="1"/>
      </w:numPr>
      <w:tabs>
        <w:tab w:val="num" w:pos="360"/>
      </w:tabs>
    </w:pPr>
    <w:rPr>
      <w:bCs w:val="0"/>
    </w:rPr>
  </w:style>
  <w:style w:type="character" w:customStyle="1" w:styleId="Tablebulletlevel1Char">
    <w:name w:val="Table bullet level 1 Char"/>
    <w:basedOn w:val="DefaultParagraphFont"/>
    <w:link w:val="Tablebulletlevel1"/>
    <w:rsid w:val="001A7B4A"/>
    <w:rPr>
      <w:rFonts w:ascii="Helvetica" w:eastAsia="Batang" w:hAnsi="Helvetica" w:cstheme="minorBidi"/>
      <w:bCs/>
      <w:color w:val="000000"/>
      <w:sz w:val="18"/>
      <w:szCs w:val="18"/>
      <w:lang w:val="en-CA" w:eastAsia="en-GB"/>
    </w:rPr>
  </w:style>
  <w:style w:type="paragraph" w:customStyle="1" w:styleId="Tablebulletlevel3">
    <w:name w:val="Table bullet level 3"/>
    <w:basedOn w:val="Tablebulletlevel2"/>
    <w:qFormat/>
    <w:rsid w:val="001A7B4A"/>
    <w:pPr>
      <w:numPr>
        <w:ilvl w:val="2"/>
      </w:numPr>
      <w:tabs>
        <w:tab w:val="num" w:pos="360"/>
      </w:tabs>
    </w:pPr>
  </w:style>
  <w:style w:type="paragraph" w:styleId="ListParagraph">
    <w:name w:val="List Paragraph"/>
    <w:basedOn w:val="Normal"/>
    <w:uiPriority w:val="34"/>
    <w:qFormat/>
    <w:rsid w:val="001A7B4A"/>
    <w:pPr>
      <w:ind w:left="720"/>
      <w:contextualSpacing/>
    </w:pPr>
  </w:style>
  <w:style w:type="table" w:styleId="TableGrid">
    <w:name w:val="Table Grid"/>
    <w:basedOn w:val="TableNormal"/>
    <w:uiPriority w:val="39"/>
    <w:rsid w:val="004B259D"/>
    <w:pPr>
      <w:spacing w:before="240"/>
    </w:pPr>
    <w:rPr>
      <w:rFonts w:ascii="Helvetica" w:eastAsiaTheme="minorHAnsi" w:hAnsi="Helvetica"/>
      <w:color w:val="000000"/>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DC45BC"/>
    <w:rPr>
      <w:rFonts w:ascii="Arial" w:hAnsi="Arial" w:cs="Arial"/>
      <w:b/>
      <w:bCs/>
      <w:sz w:val="26"/>
      <w:szCs w:val="26"/>
      <w:lang w:val="en-US" w:eastAsia="en-US"/>
    </w:rPr>
  </w:style>
  <w:style w:type="paragraph" w:styleId="Caption">
    <w:name w:val="caption"/>
    <w:aliases w:val="IB Caption,Medical Caption,B Caption,Bayer Caption,Caption2,Figure/Table,Caption - H17,- H17,Caption Char1,Caption Char Char,Char Char Char,Char Char1,Table caption,Caption 3,c,appendix,Char,Caption Char2 Char,Caption Char1 Char Char,! Q,Figure"/>
    <w:basedOn w:val="Normal"/>
    <w:next w:val="Normal"/>
    <w:link w:val="CaptionChar"/>
    <w:autoRedefine/>
    <w:unhideWhenUsed/>
    <w:qFormat/>
    <w:rsid w:val="00AD0084"/>
    <w:pPr>
      <w:keepNext/>
      <w:spacing w:before="60" w:after="60" w:line="240" w:lineRule="auto"/>
      <w:contextualSpacing/>
      <w:jc w:val="both"/>
    </w:pPr>
    <w:rPr>
      <w:rFonts w:ascii="Helvetica" w:eastAsiaTheme="minorHAnsi" w:hAnsi="Helvetica" w:cs="Arial"/>
      <w:b/>
      <w:bCs/>
      <w:iCs/>
      <w:color w:val="7030A0"/>
      <w:szCs w:val="22"/>
      <w:lang w:val="en-CA"/>
    </w:rPr>
  </w:style>
  <w:style w:type="character" w:customStyle="1" w:styleId="CaptionChar">
    <w:name w:val="Caption Char"/>
    <w:aliases w:val="IB Caption Char,Medical Caption Char,B Caption Char,Bayer Caption Char,Caption2 Char,Figure/Table Char,Caption - H17 Char,- H17 Char,Caption Char1 Char,Caption Char Char Char,Char Char Char Char,Char Char1 Char,Table caption Char,c Char"/>
    <w:link w:val="Caption"/>
    <w:locked/>
    <w:rsid w:val="00AD0084"/>
    <w:rPr>
      <w:rFonts w:ascii="Helvetica" w:eastAsiaTheme="minorHAnsi" w:hAnsi="Helvetica" w:cs="Arial"/>
      <w:b/>
      <w:bCs/>
      <w:iCs/>
      <w:color w:val="7030A0"/>
      <w:szCs w:val="22"/>
      <w:lang w:val="en-CA" w:eastAsia="en-US"/>
    </w:rPr>
  </w:style>
  <w:style w:type="table" w:styleId="TableTheme">
    <w:name w:val="Table Theme"/>
    <w:basedOn w:val="TableNormal"/>
    <w:uiPriority w:val="99"/>
    <w:rsid w:val="00DB26E8"/>
    <w:pPr>
      <w:spacing w:before="240"/>
    </w:pPr>
    <w:rPr>
      <w:rFonts w:ascii="Helvetica" w:eastAsiaTheme="minorHAnsi" w:hAnsi="Helvetica"/>
      <w:color w:val="000000"/>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864F7F"/>
    <w:pPr>
      <w:spacing w:before="120" w:after="120"/>
    </w:pPr>
    <w:rPr>
      <w:rFonts w:ascii="Helvetica" w:eastAsia="Batang" w:hAnsi="Helvetica" w:cstheme="minorBidi"/>
      <w:color w:val="4E5053"/>
      <w:sz w:val="16"/>
      <w:szCs w:val="22"/>
      <w:lang w:val="en-GB" w:eastAsia="en-US"/>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wordWrap/>
        <w:spacing w:beforeLines="0" w:before="100" w:beforeAutospacing="1" w:afterLines="0" w:after="100" w:afterAutospacing="1" w:line="240" w:lineRule="auto"/>
        <w:jc w:val="left"/>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val="0"/>
        <w:bCs/>
      </w:rPr>
    </w:tblStylePr>
    <w:tblStylePr w:type="lastCol">
      <w:rPr>
        <w:b w:val="0"/>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styleId="Strong">
    <w:name w:val="Strong"/>
    <w:basedOn w:val="DefaultParagraphFont"/>
    <w:qFormat/>
    <w:rsid w:val="00437300"/>
    <w:rPr>
      <w:b/>
      <w:bCs/>
    </w:rPr>
  </w:style>
  <w:style w:type="paragraph" w:styleId="Title">
    <w:name w:val="Title"/>
    <w:basedOn w:val="Normal"/>
    <w:next w:val="Normal"/>
    <w:link w:val="TitleChar"/>
    <w:qFormat/>
    <w:rsid w:val="0026565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65658"/>
    <w:rPr>
      <w:rFonts w:asciiTheme="majorHAnsi" w:eastAsiaTheme="majorEastAsia" w:hAnsiTheme="majorHAnsi" w:cstheme="majorBidi"/>
      <w:spacing w:val="-10"/>
      <w:kern w:val="28"/>
      <w:sz w:val="56"/>
      <w:szCs w:val="56"/>
      <w:lang w:val="en-US" w:eastAsia="en-US"/>
    </w:rPr>
  </w:style>
  <w:style w:type="paragraph" w:styleId="Revision">
    <w:name w:val="Revision"/>
    <w:hidden/>
    <w:uiPriority w:val="99"/>
    <w:semiHidden/>
    <w:rsid w:val="001F2231"/>
    <w:rPr>
      <w:rFonts w:ascii="Arial" w:hAnsi="Arial"/>
      <w:szCs w:val="24"/>
      <w:lang w:val="en-US" w:eastAsia="en-US"/>
    </w:rPr>
  </w:style>
  <w:style w:type="character" w:styleId="PlaceholderText">
    <w:name w:val="Placeholder Text"/>
    <w:basedOn w:val="DefaultParagraphFont"/>
    <w:uiPriority w:val="99"/>
    <w:semiHidden/>
    <w:rsid w:val="008B73AA"/>
    <w:rPr>
      <w:color w:val="808080"/>
    </w:rPr>
  </w:style>
  <w:style w:type="character" w:styleId="UnresolvedMention">
    <w:name w:val="Unresolved Mention"/>
    <w:basedOn w:val="DefaultParagraphFont"/>
    <w:uiPriority w:val="99"/>
    <w:unhideWhenUsed/>
    <w:rsid w:val="0019383B"/>
    <w:rPr>
      <w:color w:val="605E5C"/>
      <w:shd w:val="clear" w:color="auto" w:fill="E1DFDD"/>
    </w:rPr>
  </w:style>
  <w:style w:type="character" w:styleId="Mention">
    <w:name w:val="Mention"/>
    <w:basedOn w:val="DefaultParagraphFont"/>
    <w:uiPriority w:val="99"/>
    <w:unhideWhenUsed/>
    <w:rsid w:val="0019383B"/>
    <w:rPr>
      <w:color w:val="2B579A"/>
      <w:shd w:val="clear" w:color="auto" w:fill="E1DFDD"/>
    </w:rPr>
  </w:style>
  <w:style w:type="paragraph" w:styleId="NormalWeb">
    <w:name w:val="Normal (Web)"/>
    <w:basedOn w:val="Normal"/>
    <w:uiPriority w:val="99"/>
    <w:unhideWhenUsed/>
    <w:rsid w:val="00770437"/>
    <w:pPr>
      <w:spacing w:before="100" w:beforeAutospacing="1" w:after="100" w:afterAutospacing="1" w:line="240" w:lineRule="auto"/>
    </w:pPr>
    <w:rPr>
      <w:rFonts w:ascii="Times New Roman" w:hAnsi="Times New Roman"/>
      <w:sz w:val="24"/>
    </w:rPr>
  </w:style>
  <w:style w:type="character" w:customStyle="1" w:styleId="cf01">
    <w:name w:val="cf01"/>
    <w:basedOn w:val="DefaultParagraphFont"/>
    <w:rsid w:val="00770437"/>
    <w:rPr>
      <w:rFonts w:ascii="Segoe UI" w:hAnsi="Segoe UI" w:cs="Segoe UI" w:hint="default"/>
      <w:sz w:val="18"/>
      <w:szCs w:val="18"/>
    </w:rPr>
  </w:style>
  <w:style w:type="character" w:customStyle="1" w:styleId="normaltextrun">
    <w:name w:val="normaltextrun"/>
    <w:basedOn w:val="DefaultParagraphFont"/>
    <w:rsid w:val="00A93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256583">
      <w:bodyDiv w:val="1"/>
      <w:marLeft w:val="0"/>
      <w:marRight w:val="0"/>
      <w:marTop w:val="0"/>
      <w:marBottom w:val="0"/>
      <w:divBdr>
        <w:top w:val="none" w:sz="0" w:space="0" w:color="auto"/>
        <w:left w:val="none" w:sz="0" w:space="0" w:color="auto"/>
        <w:bottom w:val="none" w:sz="0" w:space="0" w:color="auto"/>
        <w:right w:val="none" w:sz="0" w:space="0" w:color="auto"/>
      </w:divBdr>
    </w:div>
    <w:div w:id="735477146">
      <w:bodyDiv w:val="1"/>
      <w:marLeft w:val="0"/>
      <w:marRight w:val="0"/>
      <w:marTop w:val="0"/>
      <w:marBottom w:val="0"/>
      <w:divBdr>
        <w:top w:val="none" w:sz="0" w:space="0" w:color="auto"/>
        <w:left w:val="none" w:sz="0" w:space="0" w:color="auto"/>
        <w:bottom w:val="none" w:sz="0" w:space="0" w:color="auto"/>
        <w:right w:val="none" w:sz="0" w:space="0" w:color="auto"/>
      </w:divBdr>
    </w:div>
    <w:div w:id="913080312">
      <w:bodyDiv w:val="1"/>
      <w:marLeft w:val="0"/>
      <w:marRight w:val="0"/>
      <w:marTop w:val="0"/>
      <w:marBottom w:val="0"/>
      <w:divBdr>
        <w:top w:val="none" w:sz="0" w:space="0" w:color="auto"/>
        <w:left w:val="none" w:sz="0" w:space="0" w:color="auto"/>
        <w:bottom w:val="none" w:sz="0" w:space="0" w:color="auto"/>
        <w:right w:val="none" w:sz="0" w:space="0" w:color="auto"/>
      </w:divBdr>
    </w:div>
    <w:div w:id="206949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C0D8A7D6FE0469D1BA865BCA834CE" ma:contentTypeVersion="17" ma:contentTypeDescription="Create a new document." ma:contentTypeScope="" ma:versionID="8107859c7806329030009d0970fd4529">
  <xsd:schema xmlns:xsd="http://www.w3.org/2001/XMLSchema" xmlns:xs="http://www.w3.org/2001/XMLSchema" xmlns:p="http://schemas.microsoft.com/office/2006/metadata/properties" xmlns:ns2="c267871d-e92d-4bec-a268-edb541a91654" xmlns:ns3="4654e9f1-a236-4d55-b6c2-932c37e5d109" targetNamespace="http://schemas.microsoft.com/office/2006/metadata/properties" ma:root="true" ma:fieldsID="606b79859a0f47cd980d7b2996a449dc" ns2:_="" ns3:_="">
    <xsd:import namespace="c267871d-e92d-4bec-a268-edb541a91654"/>
    <xsd:import namespace="4654e9f1-a236-4d55-b6c2-932c37e5d1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7871d-e92d-4bec-a268-edb541a916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94b2f8-43cf-4c65-9941-920c0affe5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54e9f1-a236-4d55-b6c2-932c37e5d10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992148d-026d-468f-962a-741eec23a7de}" ma:internalName="TaxCatchAll" ma:showField="CatchAllData" ma:web="4654e9f1-a236-4d55-b6c2-932c37e5d1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654e9f1-a236-4d55-b6c2-932c37e5d109" xsi:nil="true"/>
    <lcf76f155ced4ddcb4097134ff3c332f xmlns="c267871d-e92d-4bec-a268-edb541a916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F89614-6696-43A5-B4C5-507422F8E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7871d-e92d-4bec-a268-edb541a91654"/>
    <ds:schemaRef ds:uri="4654e9f1-a236-4d55-b6c2-932c37e5d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0E2D2B-A7D3-43D4-92A1-EEF1F3320286}">
  <ds:schemaRefs>
    <ds:schemaRef ds:uri="http://schemas.microsoft.com/sharepoint/v3/contenttype/forms"/>
  </ds:schemaRefs>
</ds:datastoreItem>
</file>

<file path=customXml/itemProps3.xml><?xml version="1.0" encoding="utf-8"?>
<ds:datastoreItem xmlns:ds="http://schemas.openxmlformats.org/officeDocument/2006/customXml" ds:itemID="{8D19FA56-B1BB-45C4-9611-B8B58350687F}">
  <ds:schemaRefs>
    <ds:schemaRef ds:uri="http://schemas.openxmlformats.org/officeDocument/2006/bibliography"/>
  </ds:schemaRefs>
</ds:datastoreItem>
</file>

<file path=customXml/itemProps4.xml><?xml version="1.0" encoding="utf-8"?>
<ds:datastoreItem xmlns:ds="http://schemas.openxmlformats.org/officeDocument/2006/customXml" ds:itemID="{DC31E161-7E43-4FBE-AC33-6846E47F531F}">
  <ds:schemaRefs>
    <ds:schemaRef ds:uri="http://schemas.microsoft.com/office/2006/metadata/properties"/>
    <ds:schemaRef ds:uri="http://schemas.microsoft.com/office/infopath/2007/PartnerControls"/>
    <ds:schemaRef ds:uri="4654e9f1-a236-4d55-b6c2-932c37e5d109"/>
    <ds:schemaRef ds:uri="c267871d-e92d-4bec-a268-edb541a91654"/>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10586</Words>
  <Characters>60341</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Manuscript template</vt:lpstr>
    </vt:vector>
  </TitlesOfParts>
  <Company>Dove Medical Press</Company>
  <LinksUpToDate>false</LinksUpToDate>
  <CharactersWithSpaces>70786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template</dc:title>
  <dc:subject/>
  <dc:creator>Angela Jones</dc:creator>
  <cp:keywords/>
  <cp:lastModifiedBy>Lee, Boon</cp:lastModifiedBy>
  <cp:revision>2</cp:revision>
  <cp:lastPrinted>2009-01-08T11:57:00Z</cp:lastPrinted>
  <dcterms:created xsi:type="dcterms:W3CDTF">2023-03-26T21:06:00Z</dcterms:created>
  <dcterms:modified xsi:type="dcterms:W3CDTF">2023-03-26T21:06:00Z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zotero-version="6.0.12"&gt;&lt;session id="EiB8jDoc"/&gt;&lt;style id="http://www.zotero.org/styles/american-medical-association" hasBibliography="1" bibliographyStyleHasBeenSet="1"/&gt;&lt;prefs&gt;&lt;pref name="fieldType" value="Field"/&gt;&lt;pref name="dont</vt:lpwstr>
  </property>
  <property fmtid="{D5CDD505-2E9C-101B-9397-08002B2CF9AE}" pid="3" name="ContentTypeId">
    <vt:lpwstr>0x0101003B7996CA415D904EAB14C98CDF2711F0</vt:lpwstr>
  </property>
  <property fmtid="{D5CDD505-2E9C-101B-9397-08002B2CF9AE}" pid="4" name="MediaServiceImageTags">
    <vt:lpwstr/>
  </property>
  <property fmtid="{D5CDD505-2E9C-101B-9397-08002B2CF9AE}" pid="5" name="ZOTERO_PREF_2">
    <vt:lpwstr>AskDelayCitationUpdates" value="true"/&gt;&lt;/prefs&gt;&lt;/data&gt;</vt:lpwstr>
  </property>
  <property fmtid="{D5CDD505-2E9C-101B-9397-08002B2CF9AE}" pid="6" name="MSIP_Label_2bbab825-a111-45e4-86a1-18cee0005896_Enabled">
    <vt:lpwstr>true</vt:lpwstr>
  </property>
  <property fmtid="{D5CDD505-2E9C-101B-9397-08002B2CF9AE}" pid="7" name="MSIP_Label_2bbab825-a111-45e4-86a1-18cee0005896_SetDate">
    <vt:lpwstr>2023-03-26T21:06:14Z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045af0bd-cef1-4d27-870a-1868c29e71f3</vt:lpwstr>
  </property>
  <property fmtid="{D5CDD505-2E9C-101B-9397-08002B2CF9AE}" pid="12" name="MSIP_Label_2bbab825-a111-45e4-86a1-18cee0005896_ContentBits">
    <vt:lpwstr>2</vt:lpwstr>
  </property>
</Properties>
</file>