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471F6" w14:textId="77777777" w:rsidR="00E615D1" w:rsidRPr="005D65A9" w:rsidRDefault="00861F0E" w:rsidP="00E615D1">
      <w:pPr>
        <w:jc w:val="center"/>
        <w:rPr>
          <w:rFonts w:ascii="Arial" w:hAnsi="Arial" w:cs="Arial"/>
          <w:b/>
          <w:bCs/>
          <w:color w:val="000000"/>
          <w:sz w:val="30"/>
          <w:szCs w:val="30"/>
        </w:rPr>
      </w:pPr>
      <w:r w:rsidRPr="005D65A9">
        <w:rPr>
          <w:rFonts w:ascii="Arial" w:hAnsi="Arial" w:cs="Arial"/>
          <w:b/>
          <w:bCs/>
          <w:color w:val="000000"/>
          <w:sz w:val="30"/>
          <w:szCs w:val="30"/>
        </w:rPr>
        <w:t>Supporting information</w:t>
      </w:r>
    </w:p>
    <w:p w14:paraId="1B77A758" w14:textId="19A23FC0" w:rsidR="00725AAC" w:rsidRPr="005D65A9" w:rsidRDefault="00725AAC" w:rsidP="00E615D1">
      <w:pPr>
        <w:jc w:val="left"/>
        <w:rPr>
          <w:rFonts w:ascii="Arial" w:hAnsi="Arial" w:cs="Arial"/>
          <w:b/>
          <w:bCs/>
          <w:color w:val="000000"/>
          <w:sz w:val="30"/>
          <w:szCs w:val="30"/>
        </w:rPr>
      </w:pPr>
      <w:r w:rsidRPr="005D65A9">
        <w:rPr>
          <w:rFonts w:ascii="Arial" w:hAnsi="Arial" w:cs="Arial"/>
          <w:b/>
          <w:bCs/>
          <w:color w:val="000000"/>
          <w:sz w:val="30"/>
          <w:szCs w:val="30"/>
        </w:rPr>
        <w:t xml:space="preserve">Materials </w:t>
      </w:r>
    </w:p>
    <w:p w14:paraId="585BA5AC" w14:textId="77777777" w:rsidR="00725AAC" w:rsidRPr="005D65A9" w:rsidRDefault="00725AAC" w:rsidP="00725AAC">
      <w:pPr>
        <w:spacing w:line="480" w:lineRule="auto"/>
        <w:rPr>
          <w:rFonts w:ascii="Arial" w:hAnsi="Arial" w:cs="Arial"/>
          <w:color w:val="000000"/>
          <w:sz w:val="20"/>
          <w:szCs w:val="20"/>
        </w:rPr>
      </w:pPr>
      <w:r w:rsidRPr="005D65A9">
        <w:rPr>
          <w:rFonts w:ascii="Arial" w:hAnsi="Arial" w:cs="Arial"/>
          <w:color w:val="000000"/>
          <w:sz w:val="20"/>
          <w:szCs w:val="20"/>
        </w:rPr>
        <w:t>Sunitinib, Sialic acid, ibuprofen and 4-Dimethylaminopyridine (4-DMAP) were purchased from Aladdin Bio-chem Technology Co., Limited (Shanghai, China). HOOC-PEG-NH</w:t>
      </w:r>
      <w:r w:rsidRPr="005D65A9">
        <w:rPr>
          <w:rFonts w:ascii="Arial" w:hAnsi="Arial" w:cs="Arial"/>
          <w:color w:val="000000"/>
          <w:sz w:val="20"/>
          <w:szCs w:val="20"/>
          <w:vertAlign w:val="subscript"/>
        </w:rPr>
        <w:t>2</w:t>
      </w:r>
      <w:r w:rsidRPr="005D65A9">
        <w:rPr>
          <w:rFonts w:ascii="Arial" w:hAnsi="Arial" w:cs="Arial"/>
          <w:color w:val="000000"/>
          <w:sz w:val="20"/>
          <w:szCs w:val="20"/>
        </w:rPr>
        <w:t xml:space="preserve"> (MW= 2.0 Kda), N-(3-Dimethylaminopropyl)-N’-ethylcarbodiimide hydrochloride (EDC) and N-Hydroxysuccinimide (NHS) were purchased from Macklin Bio-chem Technology Co., Limited. (Shanghai, China). COX2/ Cyclooxygenase 2/ PTGS2 Monoclonal Antibody was purchased form Proteintech Group Co. Limited. (WuHan, China).</w:t>
      </w:r>
    </w:p>
    <w:p w14:paraId="4EEF94FF" w14:textId="77777777" w:rsidR="00725AAC" w:rsidRPr="005D65A9" w:rsidRDefault="00725AAC" w:rsidP="00725AAC">
      <w:pPr>
        <w:spacing w:line="480" w:lineRule="auto"/>
        <w:rPr>
          <w:rFonts w:ascii="Arial" w:hAnsi="Arial" w:cs="Arial"/>
          <w:color w:val="000000"/>
          <w:sz w:val="20"/>
          <w:szCs w:val="20"/>
        </w:rPr>
      </w:pPr>
      <w:r w:rsidRPr="005D65A9">
        <w:rPr>
          <w:rFonts w:ascii="Arial" w:hAnsi="Arial" w:cs="Arial"/>
          <w:color w:val="000000"/>
          <w:sz w:val="20"/>
          <w:szCs w:val="20"/>
        </w:rPr>
        <w:t>Human embryonic kidney 293T cells (HEK 293T), Clear cell carcinoma of human kidney 786-O cells and Human renal cell adenocarcinoma cell ACHN were purchased from Procell Life Science&amp;Technology Co., Limited. (Wuhan, China) 293T cells, 786-O cells and ACHN cells were respectively cultured in DMEM medium (Procell Life Science&amp;Technology), RPMI 1640 medium (Procell Life Science&amp;Technology) and MEM medium (Procell Life Science&amp;Technology) with 10% fetal bovine serum (FBS) (Procell Life Science&amp;Technology) and 1% penicillin/streptomycin (Procell Life Science&amp;Technology) at 37°C in 5% CO</w:t>
      </w:r>
      <w:r w:rsidRPr="005D65A9">
        <w:rPr>
          <w:rFonts w:ascii="Arial" w:hAnsi="Arial" w:cs="Arial"/>
          <w:color w:val="000000"/>
          <w:sz w:val="20"/>
          <w:szCs w:val="20"/>
          <w:vertAlign w:val="subscript"/>
        </w:rPr>
        <w:t xml:space="preserve">2 </w:t>
      </w:r>
      <w:r w:rsidRPr="005D65A9">
        <w:rPr>
          <w:rFonts w:ascii="Arial" w:hAnsi="Arial" w:cs="Arial"/>
          <w:color w:val="000000"/>
          <w:sz w:val="20"/>
          <w:szCs w:val="20"/>
        </w:rPr>
        <w:t>atmosphere.</w:t>
      </w:r>
    </w:p>
    <w:p w14:paraId="5833C87C" w14:textId="63DB9858" w:rsidR="00725AAC" w:rsidRPr="005D65A9" w:rsidRDefault="00725AAC" w:rsidP="00725AAC">
      <w:pPr>
        <w:spacing w:line="480" w:lineRule="auto"/>
        <w:rPr>
          <w:rFonts w:ascii="Arial" w:hAnsi="Arial" w:cs="Arial"/>
          <w:color w:val="000000"/>
          <w:sz w:val="20"/>
          <w:szCs w:val="20"/>
        </w:rPr>
      </w:pPr>
      <w:r w:rsidRPr="005D65A9">
        <w:rPr>
          <w:rFonts w:ascii="Arial" w:hAnsi="Arial" w:cs="Arial"/>
          <w:color w:val="000000"/>
          <w:sz w:val="20"/>
          <w:szCs w:val="20"/>
        </w:rPr>
        <w:t>BALB/c nude mice (male, 4-5 weeks, 16-18 g) were purchased from Vital River Laboratory Animal Technology Co., Limited. (Zhejiang, China). The animals were fed feed and water after a strict disinfection process. All animal experiments were carried out in compliance with Animal 55, 2001) and the Animal Experiment Ethics Review of QingDao University.</w:t>
      </w:r>
    </w:p>
    <w:p w14:paraId="44C382A4" w14:textId="272C3D10" w:rsidR="00725AAC" w:rsidRPr="005D65A9" w:rsidRDefault="00725AAC" w:rsidP="00861F0E">
      <w:pPr>
        <w:jc w:val="center"/>
        <w:rPr>
          <w:rFonts w:ascii="Arial" w:hAnsi="Arial" w:cs="Arial"/>
          <w:b/>
          <w:bCs/>
          <w:color w:val="000000"/>
          <w:sz w:val="30"/>
          <w:szCs w:val="30"/>
        </w:rPr>
      </w:pPr>
    </w:p>
    <w:p w14:paraId="672F467B" w14:textId="77777777" w:rsidR="00F86E91" w:rsidRPr="005D65A9" w:rsidRDefault="00F86E91" w:rsidP="00861F0E">
      <w:pPr>
        <w:jc w:val="center"/>
        <w:rPr>
          <w:rFonts w:ascii="Arial" w:hAnsi="Arial" w:cs="Arial"/>
          <w:b/>
          <w:bCs/>
          <w:color w:val="000000"/>
          <w:sz w:val="30"/>
          <w:szCs w:val="30"/>
        </w:rPr>
      </w:pPr>
    </w:p>
    <w:p w14:paraId="1FEA17BF" w14:textId="77777777" w:rsidR="00F86E91" w:rsidRPr="005D65A9" w:rsidRDefault="00F86E91" w:rsidP="00F86E91">
      <w:pPr>
        <w:jc w:val="left"/>
        <w:rPr>
          <w:rFonts w:ascii="Arial" w:hAnsi="Arial" w:cs="Arial"/>
          <w:b/>
          <w:bCs/>
          <w:color w:val="000000"/>
          <w:sz w:val="30"/>
          <w:szCs w:val="30"/>
        </w:rPr>
      </w:pPr>
      <w:r w:rsidRPr="005D65A9">
        <w:rPr>
          <w:rFonts w:ascii="Arial" w:hAnsi="Arial" w:cs="Arial"/>
          <w:b/>
          <w:bCs/>
          <w:color w:val="000000"/>
          <w:sz w:val="30"/>
          <w:szCs w:val="30"/>
        </w:rPr>
        <w:lastRenderedPageBreak/>
        <w:t>E-Selectin</w:t>
      </w:r>
    </w:p>
    <w:p w14:paraId="381D1024" w14:textId="4E00F43E" w:rsidR="00F86E91" w:rsidRPr="005D65A9" w:rsidRDefault="00F86E91" w:rsidP="00861F0E">
      <w:pPr>
        <w:jc w:val="center"/>
        <w:rPr>
          <w:rFonts w:ascii="Arial" w:hAnsi="Arial" w:cs="Arial"/>
          <w:b/>
          <w:bCs/>
          <w:color w:val="000000"/>
          <w:sz w:val="30"/>
          <w:szCs w:val="30"/>
        </w:rPr>
      </w:pPr>
    </w:p>
    <w:p w14:paraId="3B16814F" w14:textId="77777777" w:rsidR="00F86E91" w:rsidRPr="005D65A9" w:rsidRDefault="00F86E91" w:rsidP="00F86E91">
      <w:pPr>
        <w:jc w:val="center"/>
        <w:rPr>
          <w:rFonts w:ascii="Arial" w:hAnsi="Arial" w:cs="Arial"/>
          <w:b/>
          <w:bCs/>
          <w:color w:val="000000"/>
          <w:sz w:val="20"/>
          <w:szCs w:val="20"/>
        </w:rPr>
      </w:pPr>
      <w:r w:rsidRPr="005D65A9">
        <w:rPr>
          <w:rFonts w:ascii="Arial" w:hAnsi="Arial" w:cs="Arial"/>
          <w:b/>
          <w:bCs/>
          <w:color w:val="000000"/>
          <w:sz w:val="30"/>
          <w:szCs w:val="30"/>
        </w:rPr>
        <w:drawing>
          <wp:inline distT="0" distB="0" distL="0" distR="0" wp14:anchorId="5F668A30" wp14:editId="7BD04DDE">
            <wp:extent cx="2917641" cy="1704109"/>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2974677" cy="1737422"/>
                    </a:xfrm>
                    <a:prstGeom prst="rect">
                      <a:avLst/>
                    </a:prstGeom>
                  </pic:spPr>
                </pic:pic>
              </a:graphicData>
            </a:graphic>
          </wp:inline>
        </w:drawing>
      </w:r>
      <w:r w:rsidRPr="005D65A9">
        <w:rPr>
          <w:rFonts w:ascii="Arial" w:hAnsi="Arial" w:cs="Arial"/>
          <w:b/>
          <w:bCs/>
          <w:color w:val="000000"/>
          <w:sz w:val="20"/>
          <w:szCs w:val="20"/>
        </w:rPr>
        <w:t xml:space="preserve"> </w:t>
      </w:r>
    </w:p>
    <w:p w14:paraId="696B9601" w14:textId="77777777" w:rsidR="00F86E91" w:rsidRPr="005D65A9" w:rsidRDefault="00F86E91" w:rsidP="00F86E91">
      <w:pPr>
        <w:jc w:val="left"/>
        <w:rPr>
          <w:rFonts w:ascii="Arial" w:hAnsi="Arial" w:cs="Arial"/>
          <w:b/>
          <w:bCs/>
          <w:color w:val="000000"/>
          <w:sz w:val="30"/>
          <w:szCs w:val="30"/>
        </w:rPr>
      </w:pPr>
      <w:r w:rsidRPr="005D65A9">
        <w:rPr>
          <w:rFonts w:ascii="Arial" w:hAnsi="Arial" w:cs="Arial"/>
          <w:b/>
          <w:bCs/>
          <w:color w:val="000000"/>
          <w:sz w:val="20"/>
          <w:szCs w:val="20"/>
        </w:rPr>
        <w:t>Supporting Figure S1. The protein expression level of E-selectin in 786-O, ACHN and 293T cell lines.</w:t>
      </w:r>
    </w:p>
    <w:p w14:paraId="15A6CD16" w14:textId="1BAFDB51" w:rsidR="00F86E91" w:rsidRPr="005D65A9" w:rsidRDefault="00F86E91" w:rsidP="00861F0E">
      <w:pPr>
        <w:jc w:val="center"/>
        <w:rPr>
          <w:rFonts w:ascii="Arial" w:hAnsi="Arial" w:cs="Arial"/>
          <w:b/>
          <w:bCs/>
          <w:color w:val="000000"/>
          <w:sz w:val="30"/>
          <w:szCs w:val="30"/>
        </w:rPr>
      </w:pPr>
    </w:p>
    <w:p w14:paraId="447D64DA" w14:textId="092117BA" w:rsidR="00F86E91" w:rsidRPr="005D65A9" w:rsidRDefault="00B94B71" w:rsidP="00B94B71">
      <w:pPr>
        <w:jc w:val="left"/>
        <w:rPr>
          <w:rFonts w:ascii="Arial" w:hAnsi="Arial" w:cs="Arial"/>
          <w:b/>
          <w:bCs/>
          <w:color w:val="000000"/>
          <w:sz w:val="30"/>
          <w:szCs w:val="30"/>
        </w:rPr>
      </w:pPr>
      <w:r w:rsidRPr="005D65A9">
        <w:rPr>
          <w:rFonts w:ascii="Arial" w:hAnsi="Arial" w:cs="Arial"/>
          <w:b/>
          <w:bCs/>
          <w:color w:val="000000"/>
          <w:sz w:val="30"/>
          <w:szCs w:val="30"/>
        </w:rPr>
        <w:t>Synthe</w:t>
      </w:r>
      <w:r w:rsidR="00DB3CE2" w:rsidRPr="005D65A9">
        <w:rPr>
          <w:rFonts w:ascii="Arial" w:hAnsi="Arial" w:cs="Arial"/>
          <w:b/>
          <w:bCs/>
          <w:color w:val="000000"/>
          <w:sz w:val="30"/>
          <w:szCs w:val="30"/>
        </w:rPr>
        <w:t>t</w:t>
      </w:r>
      <w:r w:rsidRPr="005D65A9">
        <w:rPr>
          <w:rFonts w:ascii="Arial" w:hAnsi="Arial" w:cs="Arial"/>
          <w:b/>
          <w:bCs/>
          <w:color w:val="000000"/>
          <w:sz w:val="30"/>
          <w:szCs w:val="30"/>
        </w:rPr>
        <w:t>i</w:t>
      </w:r>
      <w:r w:rsidR="00DB3CE2" w:rsidRPr="005D65A9">
        <w:rPr>
          <w:rFonts w:ascii="Arial" w:hAnsi="Arial" w:cs="Arial"/>
          <w:b/>
          <w:bCs/>
          <w:color w:val="000000"/>
          <w:sz w:val="30"/>
          <w:szCs w:val="30"/>
        </w:rPr>
        <w:t>c Route</w:t>
      </w:r>
    </w:p>
    <w:p w14:paraId="0AA9CD88" w14:textId="49C9CE76" w:rsidR="00D71910" w:rsidRPr="005D65A9" w:rsidRDefault="000E24C4" w:rsidP="00861F0E">
      <w:pPr>
        <w:jc w:val="center"/>
        <w:rPr>
          <w:rFonts w:ascii="Arial" w:hAnsi="Arial" w:cs="Arial"/>
          <w:b/>
          <w:bCs/>
          <w:color w:val="000000"/>
          <w:sz w:val="30"/>
          <w:szCs w:val="30"/>
        </w:rPr>
      </w:pPr>
      <w:r w:rsidRPr="005D65A9">
        <w:rPr>
          <w:rFonts w:ascii="Arial" w:hAnsi="Arial" w:cs="Arial"/>
          <w:color w:val="000000"/>
          <w:sz w:val="20"/>
          <w:szCs w:val="20"/>
        </w:rPr>
        <w:drawing>
          <wp:inline distT="0" distB="0" distL="0" distR="0" wp14:anchorId="26435E20" wp14:editId="4A4DC996">
            <wp:extent cx="5274310" cy="1754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14:paraId="1B965BD3" w14:textId="56814C42" w:rsidR="0018469B" w:rsidRPr="005D65A9" w:rsidRDefault="0018469B" w:rsidP="0018469B">
      <w:pPr>
        <w:jc w:val="left"/>
        <w:rPr>
          <w:rFonts w:ascii="Arial" w:hAnsi="Arial" w:cs="Arial"/>
          <w:b/>
          <w:bCs/>
          <w:color w:val="000000"/>
          <w:sz w:val="20"/>
          <w:szCs w:val="20"/>
        </w:rPr>
      </w:pPr>
      <w:r w:rsidRPr="005D65A9">
        <w:rPr>
          <w:rFonts w:ascii="Arial" w:hAnsi="Arial" w:cs="Arial"/>
          <w:b/>
          <w:bCs/>
          <w:color w:val="000000"/>
          <w:sz w:val="20"/>
          <w:szCs w:val="20"/>
        </w:rPr>
        <w:t>Supporting Figure S</w:t>
      </w:r>
      <w:r w:rsidR="00F86E91" w:rsidRPr="005D65A9">
        <w:rPr>
          <w:rFonts w:ascii="Arial" w:hAnsi="Arial" w:cs="Arial"/>
          <w:b/>
          <w:bCs/>
          <w:color w:val="000000"/>
          <w:sz w:val="20"/>
          <w:szCs w:val="20"/>
        </w:rPr>
        <w:t>2</w:t>
      </w:r>
      <w:r w:rsidRPr="005D65A9">
        <w:rPr>
          <w:rFonts w:ascii="Arial" w:hAnsi="Arial" w:cs="Arial"/>
          <w:b/>
          <w:bCs/>
          <w:color w:val="000000"/>
          <w:sz w:val="20"/>
          <w:szCs w:val="20"/>
        </w:rPr>
        <w:t xml:space="preserve">. Schematic diagram of SPI chemical synthesis steps about SA-PEG-IBU conjugation. </w:t>
      </w:r>
    </w:p>
    <w:p w14:paraId="08D08CC2" w14:textId="77777777" w:rsidR="00D71910" w:rsidRPr="005D65A9" w:rsidRDefault="00D71910" w:rsidP="00F86E91">
      <w:pPr>
        <w:rPr>
          <w:rFonts w:ascii="Arial" w:hAnsi="Arial" w:cs="Arial"/>
          <w:b/>
          <w:bCs/>
          <w:color w:val="000000"/>
          <w:sz w:val="30"/>
          <w:szCs w:val="30"/>
        </w:rPr>
      </w:pPr>
    </w:p>
    <w:p w14:paraId="54E9EB62" w14:textId="2DA91353" w:rsidR="00861F0E" w:rsidRPr="005D65A9" w:rsidRDefault="00302770" w:rsidP="00302770">
      <w:pPr>
        <w:jc w:val="left"/>
        <w:rPr>
          <w:rFonts w:ascii="Arial" w:hAnsi="Arial" w:cs="Arial"/>
          <w:b/>
          <w:bCs/>
          <w:color w:val="000000"/>
          <w:sz w:val="28"/>
          <w:szCs w:val="28"/>
        </w:rPr>
      </w:pPr>
      <w:r w:rsidRPr="005D65A9">
        <w:rPr>
          <w:rFonts w:ascii="Arial" w:hAnsi="Arial" w:cs="Arial"/>
          <w:b/>
          <w:bCs/>
          <w:color w:val="000000"/>
          <w:sz w:val="28"/>
          <w:szCs w:val="28"/>
          <w:vertAlign w:val="superscript"/>
        </w:rPr>
        <w:t>1</w:t>
      </w:r>
      <w:r w:rsidRPr="005D65A9">
        <w:rPr>
          <w:rFonts w:ascii="Arial" w:hAnsi="Arial" w:cs="Arial"/>
          <w:b/>
          <w:bCs/>
          <w:color w:val="000000"/>
          <w:sz w:val="28"/>
          <w:szCs w:val="28"/>
        </w:rPr>
        <w:t>H</w:t>
      </w:r>
      <w:r w:rsidR="00465F72" w:rsidRPr="005D65A9">
        <w:rPr>
          <w:rFonts w:ascii="Arial" w:hAnsi="Arial" w:cs="Arial"/>
          <w:b/>
          <w:bCs/>
          <w:color w:val="000000"/>
          <w:sz w:val="28"/>
          <w:szCs w:val="28"/>
        </w:rPr>
        <w:t xml:space="preserve"> NMR</w:t>
      </w:r>
    </w:p>
    <w:p w14:paraId="66681563" w14:textId="65CF49C4" w:rsidR="00F62A3B" w:rsidRPr="005D65A9" w:rsidRDefault="00F62A3B" w:rsidP="00302770">
      <w:pPr>
        <w:jc w:val="left"/>
        <w:rPr>
          <w:rFonts w:ascii="Arial" w:hAnsi="Arial" w:cs="Arial"/>
          <w:color w:val="000000"/>
          <w:sz w:val="24"/>
        </w:rPr>
      </w:pPr>
    </w:p>
    <w:p w14:paraId="722D5B6D" w14:textId="30D66F62" w:rsidR="000A0189" w:rsidRPr="005D65A9" w:rsidRDefault="00DB3EA1" w:rsidP="00DB3EA1">
      <w:pPr>
        <w:jc w:val="center"/>
        <w:rPr>
          <w:rFonts w:ascii="Arial" w:hAnsi="Arial" w:cs="Arial"/>
          <w:color w:val="000000"/>
          <w:sz w:val="24"/>
        </w:rPr>
      </w:pPr>
      <w:r w:rsidRPr="005D65A9">
        <w:rPr>
          <w:rFonts w:ascii="Arial" w:hAnsi="Arial" w:cs="Arial"/>
          <w:color w:val="000000"/>
          <w:sz w:val="24"/>
        </w:rPr>
        <w:lastRenderedPageBreak/>
        <w:drawing>
          <wp:inline distT="0" distB="0" distL="0" distR="0" wp14:anchorId="5316BE7A" wp14:editId="1C92AE0B">
            <wp:extent cx="4680327" cy="3851564"/>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305" cy="3903390"/>
                    </a:xfrm>
                    <a:prstGeom prst="rect">
                      <a:avLst/>
                    </a:prstGeom>
                  </pic:spPr>
                </pic:pic>
              </a:graphicData>
            </a:graphic>
          </wp:inline>
        </w:drawing>
      </w:r>
    </w:p>
    <w:p w14:paraId="2D7BC909" w14:textId="7C92790B" w:rsidR="0075459C" w:rsidRPr="005D65A9" w:rsidRDefault="0075459C" w:rsidP="0075459C">
      <w:pPr>
        <w:jc w:val="left"/>
        <w:rPr>
          <w:rFonts w:ascii="Arial" w:hAnsi="Arial" w:cs="Arial"/>
          <w:b/>
          <w:bCs/>
          <w:color w:val="000000"/>
          <w:sz w:val="20"/>
          <w:szCs w:val="20"/>
        </w:rPr>
      </w:pPr>
      <w:r w:rsidRPr="005D65A9">
        <w:rPr>
          <w:rFonts w:ascii="Arial" w:hAnsi="Arial" w:cs="Arial"/>
          <w:b/>
          <w:bCs/>
          <w:color w:val="000000"/>
          <w:sz w:val="20"/>
          <w:szCs w:val="20"/>
        </w:rPr>
        <w:t xml:space="preserve">Supporting Figure </w:t>
      </w:r>
      <w:r w:rsidR="00FF2257" w:rsidRPr="005D65A9">
        <w:rPr>
          <w:rFonts w:ascii="Arial" w:hAnsi="Arial" w:cs="Arial"/>
          <w:b/>
          <w:bCs/>
          <w:color w:val="000000"/>
          <w:sz w:val="20"/>
          <w:szCs w:val="20"/>
        </w:rPr>
        <w:t>S</w:t>
      </w:r>
      <w:r w:rsidR="000E24C4" w:rsidRPr="005D65A9">
        <w:rPr>
          <w:rFonts w:ascii="Arial" w:hAnsi="Arial" w:cs="Arial"/>
          <w:b/>
          <w:bCs/>
          <w:color w:val="000000"/>
          <w:sz w:val="20"/>
          <w:szCs w:val="20"/>
        </w:rPr>
        <w:t>3</w:t>
      </w:r>
      <w:r w:rsidR="00241079" w:rsidRPr="005D65A9">
        <w:rPr>
          <w:rFonts w:ascii="Arial" w:hAnsi="Arial" w:cs="Arial"/>
          <w:b/>
          <w:bCs/>
          <w:color w:val="000000"/>
          <w:sz w:val="20"/>
          <w:szCs w:val="20"/>
        </w:rPr>
        <w:t>.</w:t>
      </w:r>
      <w:r w:rsidRPr="005D65A9">
        <w:rPr>
          <w:rFonts w:ascii="Arial" w:hAnsi="Arial" w:cs="Arial"/>
          <w:b/>
          <w:bCs/>
          <w:color w:val="000000"/>
          <w:sz w:val="20"/>
          <w:szCs w:val="20"/>
        </w:rPr>
        <w:t xml:space="preserve"> (A) The </w:t>
      </w:r>
      <w:r w:rsidRPr="005D65A9">
        <w:rPr>
          <w:rFonts w:ascii="Arial" w:hAnsi="Arial" w:cs="Arial"/>
          <w:b/>
          <w:bCs/>
          <w:color w:val="000000"/>
          <w:sz w:val="20"/>
          <w:szCs w:val="20"/>
          <w:vertAlign w:val="superscript"/>
        </w:rPr>
        <w:t>1</w:t>
      </w:r>
      <w:r w:rsidRPr="005D65A9">
        <w:rPr>
          <w:rFonts w:ascii="Arial" w:hAnsi="Arial" w:cs="Arial"/>
          <w:b/>
          <w:bCs/>
          <w:color w:val="000000"/>
          <w:sz w:val="20"/>
          <w:szCs w:val="20"/>
        </w:rPr>
        <w:t>H NMR spectra of HOOC-PEG-NH</w:t>
      </w:r>
      <w:r w:rsidRPr="005D65A9">
        <w:rPr>
          <w:rFonts w:ascii="Arial" w:hAnsi="Arial" w:cs="Arial"/>
          <w:b/>
          <w:bCs/>
          <w:color w:val="000000"/>
          <w:sz w:val="20"/>
          <w:szCs w:val="20"/>
          <w:vertAlign w:val="subscript"/>
        </w:rPr>
        <w:t>2</w:t>
      </w:r>
      <w:r w:rsidRPr="005D65A9">
        <w:rPr>
          <w:rFonts w:ascii="Arial" w:hAnsi="Arial" w:cs="Arial"/>
          <w:b/>
          <w:bCs/>
          <w:color w:val="000000"/>
          <w:sz w:val="20"/>
          <w:szCs w:val="20"/>
        </w:rPr>
        <w:t>, (B) The 1H NMR spectra of HOOC-PEG-IBU.</w:t>
      </w:r>
    </w:p>
    <w:p w14:paraId="2FF46D38" w14:textId="58CF1DB6" w:rsidR="00B76B21" w:rsidRPr="005D65A9" w:rsidRDefault="00B76B21" w:rsidP="0075459C">
      <w:pPr>
        <w:jc w:val="left"/>
        <w:rPr>
          <w:rFonts w:ascii="Arial" w:hAnsi="Arial" w:cs="Arial"/>
          <w:b/>
          <w:bCs/>
          <w:color w:val="000000"/>
          <w:sz w:val="28"/>
          <w:szCs w:val="28"/>
        </w:rPr>
      </w:pPr>
      <w:r w:rsidRPr="005D65A9">
        <w:rPr>
          <w:rFonts w:ascii="Arial" w:hAnsi="Arial" w:cs="Arial"/>
          <w:b/>
          <w:bCs/>
          <w:color w:val="000000"/>
          <w:sz w:val="28"/>
          <w:szCs w:val="28"/>
        </w:rPr>
        <w:t>CMC</w:t>
      </w:r>
    </w:p>
    <w:p w14:paraId="1CB3C1C0" w14:textId="77777777" w:rsidR="00B76B21" w:rsidRPr="005D65A9" w:rsidRDefault="00B76B21" w:rsidP="0075459C">
      <w:pPr>
        <w:jc w:val="left"/>
        <w:rPr>
          <w:rFonts w:ascii="Arial" w:hAnsi="Arial" w:cs="Arial"/>
          <w:color w:val="000000"/>
          <w:sz w:val="32"/>
          <w:szCs w:val="32"/>
          <w:vertAlign w:val="superscript"/>
        </w:rPr>
      </w:pPr>
    </w:p>
    <w:p w14:paraId="2D5724F2" w14:textId="0815FFC2" w:rsidR="00480894" w:rsidRPr="005D65A9" w:rsidRDefault="00BB55F5" w:rsidP="000C2A94">
      <w:pPr>
        <w:jc w:val="center"/>
        <w:rPr>
          <w:rFonts w:ascii="Arial" w:hAnsi="Arial" w:cs="Arial"/>
          <w:color w:val="000000"/>
          <w:sz w:val="24"/>
        </w:rPr>
      </w:pPr>
      <w:r w:rsidRPr="005D65A9">
        <w:rPr>
          <w:rFonts w:ascii="Arial" w:hAnsi="Arial" w:cs="Arial"/>
          <w:color w:val="000000"/>
          <w:sz w:val="20"/>
          <w:szCs w:val="20"/>
        </w:rPr>
        <w:drawing>
          <wp:inline distT="0" distB="0" distL="0" distR="0" wp14:anchorId="38A798C0" wp14:editId="109BD9C4">
            <wp:extent cx="3543300" cy="25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300" cy="2590800"/>
                    </a:xfrm>
                    <a:prstGeom prst="rect">
                      <a:avLst/>
                    </a:prstGeom>
                  </pic:spPr>
                </pic:pic>
              </a:graphicData>
            </a:graphic>
          </wp:inline>
        </w:drawing>
      </w:r>
    </w:p>
    <w:p w14:paraId="22828BD9" w14:textId="52B4A40E" w:rsidR="00241079" w:rsidRPr="005D65A9" w:rsidRDefault="00480894" w:rsidP="00241079">
      <w:pPr>
        <w:widowControl/>
        <w:jc w:val="left"/>
        <w:rPr>
          <w:rFonts w:ascii="Arial" w:hAnsi="Arial" w:cs="Arial"/>
          <w:b/>
          <w:bCs/>
          <w:color w:val="000000"/>
          <w:sz w:val="20"/>
          <w:szCs w:val="20"/>
        </w:rPr>
      </w:pPr>
      <w:r w:rsidRPr="005D65A9">
        <w:rPr>
          <w:rFonts w:ascii="Arial" w:hAnsi="Arial" w:cs="Arial"/>
          <w:b/>
          <w:bCs/>
          <w:color w:val="000000"/>
          <w:sz w:val="20"/>
          <w:szCs w:val="20"/>
        </w:rPr>
        <w:t xml:space="preserve">Supporting Figure </w:t>
      </w:r>
      <w:r w:rsidR="00FF2257" w:rsidRPr="005D65A9">
        <w:rPr>
          <w:rFonts w:ascii="Arial" w:hAnsi="Arial" w:cs="Arial"/>
          <w:b/>
          <w:bCs/>
          <w:color w:val="000000"/>
          <w:sz w:val="20"/>
          <w:szCs w:val="20"/>
        </w:rPr>
        <w:t>S</w:t>
      </w:r>
      <w:r w:rsidR="000E24C4" w:rsidRPr="005D65A9">
        <w:rPr>
          <w:rFonts w:ascii="Arial" w:hAnsi="Arial" w:cs="Arial"/>
          <w:b/>
          <w:bCs/>
          <w:color w:val="000000"/>
          <w:sz w:val="20"/>
          <w:szCs w:val="20"/>
        </w:rPr>
        <w:t>4</w:t>
      </w:r>
      <w:r w:rsidR="00B76B21" w:rsidRPr="005D65A9">
        <w:rPr>
          <w:rFonts w:ascii="Arial" w:hAnsi="Arial" w:cs="Arial"/>
          <w:b/>
          <w:bCs/>
          <w:color w:val="000000"/>
          <w:sz w:val="20"/>
          <w:szCs w:val="20"/>
        </w:rPr>
        <w:t xml:space="preserve">. </w:t>
      </w:r>
      <w:r w:rsidR="00241079" w:rsidRPr="005D65A9">
        <w:rPr>
          <w:rFonts w:ascii="Arial" w:hAnsi="Arial" w:cs="Arial"/>
          <w:b/>
          <w:bCs/>
          <w:color w:val="000000"/>
          <w:sz w:val="20"/>
          <w:szCs w:val="20"/>
        </w:rPr>
        <w:t>The CMC was measured by the light scattering intensity of blank SPI at different concentrations. The inflection point represents the critical micelle concentration.</w:t>
      </w:r>
    </w:p>
    <w:p w14:paraId="1CF51D94" w14:textId="5C8E4222" w:rsidR="00B76B21" w:rsidRPr="005D65A9" w:rsidRDefault="00B76B21" w:rsidP="00241079">
      <w:pPr>
        <w:widowControl/>
        <w:jc w:val="left"/>
        <w:rPr>
          <w:rFonts w:ascii="Arial" w:eastAsia="SimSun" w:hAnsi="Arial" w:cs="Arial"/>
          <w:b/>
          <w:bCs/>
          <w:color w:val="000000"/>
          <w:kern w:val="0"/>
          <w:sz w:val="28"/>
          <w:szCs w:val="28"/>
        </w:rPr>
      </w:pPr>
      <w:r w:rsidRPr="005D65A9">
        <w:rPr>
          <w:rFonts w:ascii="Arial" w:hAnsi="Arial" w:cs="Arial"/>
          <w:b/>
          <w:bCs/>
          <w:color w:val="000000"/>
          <w:sz w:val="28"/>
          <w:szCs w:val="28"/>
        </w:rPr>
        <w:t>Hemolysis rate</w:t>
      </w:r>
    </w:p>
    <w:p w14:paraId="4F016B91" w14:textId="053BCAB8" w:rsidR="00480894" w:rsidRPr="005D65A9" w:rsidRDefault="00480894" w:rsidP="000C2A94">
      <w:pPr>
        <w:jc w:val="center"/>
        <w:rPr>
          <w:rFonts w:ascii="Arial" w:hAnsi="Arial" w:cs="Arial"/>
          <w:color w:val="000000"/>
          <w:sz w:val="24"/>
        </w:rPr>
      </w:pPr>
    </w:p>
    <w:p w14:paraId="38A0E1BC" w14:textId="66964161" w:rsidR="00270898" w:rsidRPr="005D65A9" w:rsidRDefault="00061191" w:rsidP="000C2A94">
      <w:pPr>
        <w:jc w:val="center"/>
        <w:rPr>
          <w:rFonts w:ascii="Arial" w:hAnsi="Arial" w:cs="Arial"/>
          <w:color w:val="000000"/>
          <w:sz w:val="24"/>
        </w:rPr>
      </w:pPr>
      <w:r w:rsidRPr="005D65A9">
        <w:rPr>
          <w:rFonts w:ascii="Arial" w:hAnsi="Arial" w:cs="Arial"/>
          <w:color w:val="000000"/>
          <w:sz w:val="24"/>
        </w:rPr>
        <w:drawing>
          <wp:inline distT="0" distB="0" distL="0" distR="0" wp14:anchorId="416285B9" wp14:editId="713395D1">
            <wp:extent cx="5274310" cy="45834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583430"/>
                    </a:xfrm>
                    <a:prstGeom prst="rect">
                      <a:avLst/>
                    </a:prstGeom>
                  </pic:spPr>
                </pic:pic>
              </a:graphicData>
            </a:graphic>
          </wp:inline>
        </w:drawing>
      </w:r>
    </w:p>
    <w:p w14:paraId="4E4DFD48" w14:textId="4EEEF53A" w:rsidR="000C2A94" w:rsidRPr="005D65A9" w:rsidRDefault="000C2A94" w:rsidP="00480894">
      <w:pPr>
        <w:rPr>
          <w:rFonts w:ascii="Arial" w:hAnsi="Arial" w:cs="Arial"/>
          <w:b/>
          <w:bCs/>
          <w:color w:val="000000"/>
          <w:sz w:val="20"/>
          <w:szCs w:val="20"/>
        </w:rPr>
      </w:pPr>
      <w:r w:rsidRPr="005D65A9">
        <w:rPr>
          <w:rFonts w:ascii="Arial" w:hAnsi="Arial" w:cs="Arial"/>
          <w:b/>
          <w:bCs/>
          <w:color w:val="000000"/>
          <w:sz w:val="20"/>
          <w:szCs w:val="20"/>
        </w:rPr>
        <w:t xml:space="preserve">Supporting Figure </w:t>
      </w:r>
      <w:r w:rsidR="00FF2257" w:rsidRPr="005D65A9">
        <w:rPr>
          <w:rFonts w:ascii="Arial" w:hAnsi="Arial" w:cs="Arial"/>
          <w:b/>
          <w:bCs/>
          <w:color w:val="000000"/>
          <w:sz w:val="20"/>
          <w:szCs w:val="20"/>
        </w:rPr>
        <w:t>S</w:t>
      </w:r>
      <w:r w:rsidR="000E24C4" w:rsidRPr="005D65A9">
        <w:rPr>
          <w:rFonts w:ascii="Arial" w:hAnsi="Arial" w:cs="Arial"/>
          <w:b/>
          <w:bCs/>
          <w:color w:val="000000"/>
          <w:sz w:val="20"/>
          <w:szCs w:val="20"/>
        </w:rPr>
        <w:t>5</w:t>
      </w:r>
      <w:r w:rsidRPr="005D65A9">
        <w:rPr>
          <w:rFonts w:ascii="Arial" w:hAnsi="Arial" w:cs="Arial"/>
          <w:b/>
          <w:bCs/>
          <w:color w:val="000000"/>
          <w:sz w:val="20"/>
          <w:szCs w:val="20"/>
        </w:rPr>
        <w:t xml:space="preserve"> </w:t>
      </w:r>
      <w:r w:rsidR="003005FD" w:rsidRPr="005D65A9">
        <w:rPr>
          <w:rFonts w:ascii="Arial" w:hAnsi="Arial" w:cs="Arial"/>
          <w:b/>
          <w:bCs/>
          <w:color w:val="000000"/>
          <w:sz w:val="20"/>
          <w:szCs w:val="20"/>
        </w:rPr>
        <w:t>Pictures of hemolytic tests and hemolysis rates of SA-PEG-IBU conjugate.</w:t>
      </w:r>
    </w:p>
    <w:p w14:paraId="16F349FE" w14:textId="5E99BA73" w:rsidR="009C4F23" w:rsidRPr="005D65A9" w:rsidRDefault="009C4F23" w:rsidP="00480894">
      <w:pPr>
        <w:rPr>
          <w:rFonts w:ascii="Arial" w:hAnsi="Arial" w:cs="Arial"/>
          <w:color w:val="000000"/>
          <w:sz w:val="20"/>
          <w:szCs w:val="20"/>
        </w:rPr>
      </w:pPr>
      <w:r w:rsidRPr="005D65A9">
        <w:rPr>
          <w:rFonts w:ascii="Arial" w:hAnsi="Arial" w:cs="Arial"/>
          <w:color w:val="000000"/>
          <w:sz w:val="20"/>
          <w:szCs w:val="20"/>
        </w:rPr>
        <w:t>SPI micelles with a concentration of 0.01-2 mg/mL were incubated in a shaker at 37 ° C for 3 hours with a 2% erythrocyte suspension.</w:t>
      </w:r>
      <w:r w:rsidR="00000101" w:rsidRPr="005D65A9">
        <w:rPr>
          <w:rFonts w:ascii="Arial" w:hAnsi="Arial" w:cs="Arial"/>
          <w:color w:val="000000"/>
        </w:rPr>
        <w:t xml:space="preserve"> </w:t>
      </w:r>
      <w:r w:rsidR="00000101" w:rsidRPr="005D65A9">
        <w:rPr>
          <w:rFonts w:ascii="Arial" w:hAnsi="Arial" w:cs="Arial"/>
          <w:color w:val="000000"/>
          <w:sz w:val="20"/>
          <w:szCs w:val="20"/>
        </w:rPr>
        <w:t>The positive control was 2% Triton X-100, whereas the negative control was PBS. After incubation, centrifugation was performed for 10 minutes at 4°C and 3000rpm. At 540nm, the supernatant's UV absorbance was measured, and the hemolysis rate at each concentration was estimated. The lack of evident hemolysis at all doses, as illustrated in the picture, demonstrates the SPI micelles' good biocompatibility.</w:t>
      </w:r>
    </w:p>
    <w:p w14:paraId="4A92C284" w14:textId="036209B3" w:rsidR="00355219" w:rsidRPr="005D65A9" w:rsidRDefault="00355219" w:rsidP="00FB4B91">
      <w:pPr>
        <w:jc w:val="center"/>
        <w:rPr>
          <w:rFonts w:ascii="Arial" w:hAnsi="Arial" w:cs="Arial"/>
          <w:color w:val="000000"/>
          <w:sz w:val="20"/>
          <w:szCs w:val="20"/>
        </w:rPr>
      </w:pPr>
    </w:p>
    <w:p w14:paraId="631AC86E" w14:textId="15880AD7" w:rsidR="001164E7" w:rsidRPr="005D65A9" w:rsidRDefault="001164E7" w:rsidP="00FB4B91">
      <w:pPr>
        <w:jc w:val="center"/>
        <w:rPr>
          <w:rFonts w:ascii="Arial" w:hAnsi="Arial" w:cs="Arial"/>
          <w:color w:val="000000"/>
          <w:sz w:val="20"/>
          <w:szCs w:val="20"/>
        </w:rPr>
      </w:pPr>
    </w:p>
    <w:p w14:paraId="1F149CA5" w14:textId="74CA24CE" w:rsidR="001164E7" w:rsidRPr="005D65A9" w:rsidRDefault="001164E7" w:rsidP="00FB4B91">
      <w:pPr>
        <w:jc w:val="center"/>
        <w:rPr>
          <w:rFonts w:ascii="Arial" w:hAnsi="Arial" w:cs="Arial"/>
          <w:color w:val="000000"/>
          <w:sz w:val="20"/>
          <w:szCs w:val="20"/>
        </w:rPr>
      </w:pPr>
    </w:p>
    <w:p w14:paraId="09F2DBE4" w14:textId="0C9A4E82" w:rsidR="001164E7" w:rsidRPr="005D65A9" w:rsidRDefault="001164E7" w:rsidP="00FB4B91">
      <w:pPr>
        <w:jc w:val="center"/>
        <w:rPr>
          <w:rFonts w:ascii="Arial" w:hAnsi="Arial" w:cs="Arial"/>
          <w:color w:val="000000"/>
          <w:sz w:val="20"/>
          <w:szCs w:val="20"/>
        </w:rPr>
      </w:pPr>
    </w:p>
    <w:p w14:paraId="3EC9CE5E" w14:textId="5EFEBF51" w:rsidR="00A25050" w:rsidRPr="005D65A9" w:rsidRDefault="00A25050" w:rsidP="00703CFC">
      <w:pPr>
        <w:rPr>
          <w:rFonts w:ascii="Arial" w:hAnsi="Arial" w:cs="Arial"/>
          <w:color w:val="000000"/>
          <w:sz w:val="20"/>
          <w:szCs w:val="20"/>
        </w:rPr>
      </w:pPr>
    </w:p>
    <w:p w14:paraId="6DFE7817" w14:textId="5651F940" w:rsidR="00A25050" w:rsidRPr="005D65A9" w:rsidRDefault="00A25050" w:rsidP="00FB4B91">
      <w:pPr>
        <w:jc w:val="center"/>
        <w:rPr>
          <w:rFonts w:ascii="Arial" w:hAnsi="Arial" w:cs="Arial"/>
          <w:color w:val="000000"/>
          <w:sz w:val="20"/>
          <w:szCs w:val="20"/>
        </w:rPr>
      </w:pPr>
    </w:p>
    <w:p w14:paraId="21D3DF7F" w14:textId="5831DD68" w:rsidR="00A25050" w:rsidRPr="005D65A9" w:rsidRDefault="00A25050" w:rsidP="00FB4B91">
      <w:pPr>
        <w:jc w:val="center"/>
        <w:rPr>
          <w:rFonts w:ascii="Arial" w:hAnsi="Arial" w:cs="Arial"/>
          <w:color w:val="000000"/>
          <w:sz w:val="20"/>
          <w:szCs w:val="20"/>
        </w:rPr>
      </w:pPr>
    </w:p>
    <w:p w14:paraId="0C07C98F" w14:textId="7D2B14C8" w:rsidR="00A25050" w:rsidRPr="005D65A9" w:rsidRDefault="00A25050" w:rsidP="00FB4B91">
      <w:pPr>
        <w:jc w:val="center"/>
        <w:rPr>
          <w:rFonts w:ascii="Arial" w:hAnsi="Arial" w:cs="Arial"/>
          <w:color w:val="000000"/>
          <w:sz w:val="20"/>
          <w:szCs w:val="20"/>
        </w:rPr>
      </w:pPr>
    </w:p>
    <w:p w14:paraId="18D8F684" w14:textId="77777777" w:rsidR="004D4147" w:rsidRPr="005D65A9" w:rsidRDefault="004D4147" w:rsidP="009B4C7A">
      <w:pPr>
        <w:widowControl/>
        <w:jc w:val="left"/>
        <w:rPr>
          <w:rFonts w:ascii="Arial" w:hAnsi="Arial" w:cs="Arial"/>
          <w:b/>
          <w:bCs/>
          <w:color w:val="000000"/>
          <w:sz w:val="28"/>
          <w:szCs w:val="28"/>
        </w:rPr>
      </w:pPr>
    </w:p>
    <w:p w14:paraId="04D50F1A" w14:textId="77777777" w:rsidR="004D4147" w:rsidRPr="005D65A9" w:rsidRDefault="004D4147" w:rsidP="009B4C7A">
      <w:pPr>
        <w:widowControl/>
        <w:jc w:val="left"/>
        <w:rPr>
          <w:rFonts w:ascii="Arial" w:hAnsi="Arial" w:cs="Arial"/>
          <w:b/>
          <w:bCs/>
          <w:color w:val="000000"/>
          <w:sz w:val="28"/>
          <w:szCs w:val="28"/>
        </w:rPr>
      </w:pPr>
    </w:p>
    <w:p w14:paraId="2CC4A9B2" w14:textId="77777777" w:rsidR="004D4147" w:rsidRPr="005D65A9" w:rsidRDefault="004D4147" w:rsidP="009B4C7A">
      <w:pPr>
        <w:widowControl/>
        <w:jc w:val="left"/>
        <w:rPr>
          <w:rFonts w:ascii="Arial" w:hAnsi="Arial" w:cs="Arial"/>
          <w:b/>
          <w:bCs/>
          <w:color w:val="000000"/>
          <w:sz w:val="28"/>
          <w:szCs w:val="28"/>
        </w:rPr>
      </w:pPr>
    </w:p>
    <w:p w14:paraId="78C93B5B" w14:textId="7CB0FC1C" w:rsidR="009B4C7A" w:rsidRPr="005D65A9" w:rsidRDefault="009B4C7A" w:rsidP="009B4C7A">
      <w:pPr>
        <w:widowControl/>
        <w:jc w:val="left"/>
        <w:rPr>
          <w:rFonts w:ascii="Arial" w:hAnsi="Arial" w:cs="Arial"/>
          <w:b/>
          <w:bCs/>
          <w:color w:val="000000"/>
          <w:sz w:val="28"/>
          <w:szCs w:val="28"/>
        </w:rPr>
      </w:pPr>
      <w:r w:rsidRPr="005D65A9">
        <w:rPr>
          <w:rFonts w:ascii="Arial" w:hAnsi="Arial" w:cs="Arial"/>
          <w:b/>
          <w:bCs/>
          <w:color w:val="000000"/>
          <w:sz w:val="28"/>
          <w:szCs w:val="28"/>
        </w:rPr>
        <w:t>Pseudopodia form</w:t>
      </w:r>
    </w:p>
    <w:p w14:paraId="546A5BBD" w14:textId="77777777" w:rsidR="009B4C7A" w:rsidRPr="005D65A9" w:rsidRDefault="009B4C7A" w:rsidP="00FB4B91">
      <w:pPr>
        <w:jc w:val="center"/>
        <w:rPr>
          <w:rFonts w:ascii="Arial" w:hAnsi="Arial" w:cs="Arial"/>
          <w:color w:val="000000"/>
          <w:sz w:val="20"/>
          <w:szCs w:val="20"/>
        </w:rPr>
      </w:pPr>
    </w:p>
    <w:p w14:paraId="2EFC6001" w14:textId="0E9B5B4B" w:rsidR="00A25050" w:rsidRPr="005D65A9" w:rsidRDefault="00703CFC" w:rsidP="00FB4B91">
      <w:pPr>
        <w:jc w:val="center"/>
        <w:rPr>
          <w:rFonts w:ascii="Arial" w:hAnsi="Arial" w:cs="Arial"/>
          <w:color w:val="000000"/>
          <w:sz w:val="20"/>
          <w:szCs w:val="20"/>
        </w:rPr>
      </w:pPr>
      <w:r w:rsidRPr="005D65A9">
        <w:rPr>
          <w:rFonts w:ascii="Arial" w:hAnsi="Arial" w:cs="Arial"/>
          <w:color w:val="000000"/>
          <w:sz w:val="20"/>
          <w:szCs w:val="20"/>
        </w:rPr>
        <w:drawing>
          <wp:inline distT="0" distB="0" distL="0" distR="0" wp14:anchorId="7909FB73" wp14:editId="1AD35670">
            <wp:extent cx="3505200" cy="3225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0" cy="3225800"/>
                    </a:xfrm>
                    <a:prstGeom prst="rect">
                      <a:avLst/>
                    </a:prstGeom>
                  </pic:spPr>
                </pic:pic>
              </a:graphicData>
            </a:graphic>
          </wp:inline>
        </w:drawing>
      </w:r>
    </w:p>
    <w:p w14:paraId="334822E7" w14:textId="716FB50F" w:rsidR="00A25050" w:rsidRPr="005D65A9" w:rsidRDefault="00A25050" w:rsidP="00FB4B91">
      <w:pPr>
        <w:jc w:val="center"/>
        <w:rPr>
          <w:rFonts w:ascii="Arial" w:hAnsi="Arial" w:cs="Arial"/>
          <w:color w:val="000000"/>
          <w:sz w:val="20"/>
          <w:szCs w:val="20"/>
        </w:rPr>
      </w:pPr>
    </w:p>
    <w:p w14:paraId="6581E2AE" w14:textId="42E20C25" w:rsidR="00A25050" w:rsidRPr="005D65A9" w:rsidRDefault="00A25050" w:rsidP="00A25050">
      <w:pPr>
        <w:rPr>
          <w:rFonts w:ascii="Arial" w:hAnsi="Arial" w:cs="Arial"/>
          <w:color w:val="000000"/>
          <w:sz w:val="20"/>
          <w:szCs w:val="20"/>
        </w:rPr>
      </w:pPr>
    </w:p>
    <w:p w14:paraId="74F8C699" w14:textId="56D29ABA" w:rsidR="00A25050" w:rsidRPr="005D65A9" w:rsidRDefault="00A25050" w:rsidP="00A25050">
      <w:pPr>
        <w:rPr>
          <w:rFonts w:ascii="Arial" w:hAnsi="Arial" w:cs="Arial"/>
          <w:color w:val="000000"/>
          <w:sz w:val="20"/>
          <w:szCs w:val="20"/>
        </w:rPr>
      </w:pPr>
      <w:r w:rsidRPr="005D65A9">
        <w:rPr>
          <w:rFonts w:ascii="Arial" w:hAnsi="Arial" w:cs="Arial"/>
          <w:b/>
          <w:bCs/>
          <w:color w:val="000000"/>
          <w:sz w:val="20"/>
          <w:szCs w:val="20"/>
        </w:rPr>
        <w:t xml:space="preserve">Supporting Figure </w:t>
      </w:r>
      <w:r w:rsidR="00FF2257" w:rsidRPr="005D65A9">
        <w:rPr>
          <w:rFonts w:ascii="Arial" w:hAnsi="Arial" w:cs="Arial"/>
          <w:b/>
          <w:bCs/>
          <w:color w:val="000000"/>
          <w:sz w:val="20"/>
          <w:szCs w:val="20"/>
        </w:rPr>
        <w:t>S</w:t>
      </w:r>
      <w:r w:rsidR="000E24C4" w:rsidRPr="005D65A9">
        <w:rPr>
          <w:rFonts w:ascii="Arial" w:hAnsi="Arial" w:cs="Arial"/>
          <w:b/>
          <w:bCs/>
          <w:color w:val="000000"/>
          <w:sz w:val="20"/>
          <w:szCs w:val="20"/>
        </w:rPr>
        <w:t>6</w:t>
      </w:r>
      <w:r w:rsidRPr="005D65A9">
        <w:rPr>
          <w:rFonts w:ascii="Arial" w:hAnsi="Arial" w:cs="Arial"/>
          <w:b/>
          <w:bCs/>
          <w:color w:val="000000"/>
          <w:sz w:val="20"/>
          <w:szCs w:val="20"/>
        </w:rPr>
        <w:t>. The Confocal microscope image of 786-O cell and ACHN lines after incubation with SPI micelles and PI micelles.</w:t>
      </w:r>
      <w:r w:rsidR="00480BB5" w:rsidRPr="005D65A9">
        <w:rPr>
          <w:rFonts w:ascii="Arial" w:hAnsi="Arial" w:cs="Arial"/>
          <w:color w:val="000000"/>
        </w:rPr>
        <w:t xml:space="preserve"> </w:t>
      </w:r>
      <w:r w:rsidR="00480BB5" w:rsidRPr="005D65A9">
        <w:rPr>
          <w:rFonts w:ascii="Arial" w:hAnsi="Arial" w:cs="Arial"/>
          <w:b/>
          <w:bCs/>
          <w:color w:val="000000"/>
          <w:sz w:val="20"/>
          <w:szCs w:val="20"/>
        </w:rPr>
        <w:t>White arrows indicate the pseudopodia of the cell.</w:t>
      </w:r>
      <w:r w:rsidR="00480BB5" w:rsidRPr="005D65A9">
        <w:rPr>
          <w:rFonts w:ascii="Arial" w:hAnsi="Arial" w:cs="Arial"/>
          <w:color w:val="000000"/>
          <w:sz w:val="20"/>
          <w:szCs w:val="20"/>
        </w:rPr>
        <w:t xml:space="preserve"> </w:t>
      </w:r>
      <w:r w:rsidR="00480BB5" w:rsidRPr="005D65A9">
        <w:rPr>
          <w:rFonts w:ascii="Arial" w:hAnsi="Arial" w:cs="Arial"/>
          <w:color w:val="000000"/>
        </w:rPr>
        <w:t>(</w:t>
      </w:r>
      <w:r w:rsidRPr="005D65A9">
        <w:rPr>
          <w:rFonts w:ascii="Arial" w:hAnsi="Arial" w:cs="Arial"/>
          <w:b/>
          <w:bCs/>
          <w:color w:val="000000"/>
          <w:sz w:val="20"/>
          <w:szCs w:val="20"/>
        </w:rPr>
        <w:t>The image is an enlarged version of Figure 4).</w:t>
      </w:r>
      <w:r w:rsidR="00703CFC" w:rsidRPr="005D65A9">
        <w:rPr>
          <w:rFonts w:ascii="Arial" w:hAnsi="Arial" w:cs="Arial"/>
          <w:b/>
          <w:bCs/>
          <w:color w:val="000000"/>
          <w:sz w:val="20"/>
          <w:szCs w:val="20"/>
        </w:rPr>
        <w:t xml:space="preserve"> The scale bar is 25μm.</w:t>
      </w:r>
    </w:p>
    <w:p w14:paraId="16EB27DB" w14:textId="77777777" w:rsidR="00F67755" w:rsidRPr="005D65A9" w:rsidRDefault="00F67755" w:rsidP="00FF2257">
      <w:pPr>
        <w:rPr>
          <w:rFonts w:ascii="Arial" w:hAnsi="Arial" w:cs="Arial"/>
          <w:color w:val="000000"/>
          <w:sz w:val="20"/>
          <w:szCs w:val="20"/>
        </w:rPr>
      </w:pPr>
    </w:p>
    <w:sectPr w:rsidR="00F67755" w:rsidRPr="005D65A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35E21" w14:textId="77777777" w:rsidR="005D65A9" w:rsidRDefault="005D65A9" w:rsidP="005D65A9">
      <w:r>
        <w:separator/>
      </w:r>
    </w:p>
  </w:endnote>
  <w:endnote w:type="continuationSeparator" w:id="0">
    <w:p w14:paraId="1233BD30" w14:textId="77777777" w:rsidR="005D65A9" w:rsidRDefault="005D65A9" w:rsidP="005D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6F00" w14:textId="77777777" w:rsidR="005D65A9" w:rsidRDefault="005D6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23F4" w14:textId="19B148D0" w:rsidR="005D65A9" w:rsidRDefault="005D65A9">
    <w:pPr>
      <w:pStyle w:val="Footer"/>
    </w:pPr>
    <w:r>
      <w:rPr>
        <w:noProof/>
      </w:rPr>
      <mc:AlternateContent>
        <mc:Choice Requires="wps">
          <w:drawing>
            <wp:anchor distT="0" distB="0" distL="114300" distR="114300" simplePos="0" relativeHeight="251659264" behindDoc="0" locked="0" layoutInCell="0" allowOverlap="1" wp14:anchorId="414306E3" wp14:editId="0B349DCF">
              <wp:simplePos x="0" y="0"/>
              <wp:positionH relativeFrom="page">
                <wp:posOffset>0</wp:posOffset>
              </wp:positionH>
              <wp:positionV relativeFrom="page">
                <wp:posOffset>10237470</wp:posOffset>
              </wp:positionV>
              <wp:extent cx="7560310" cy="263525"/>
              <wp:effectExtent l="0" t="0" r="0" b="3175"/>
              <wp:wrapNone/>
              <wp:docPr id="7" name="MSIPCM75294730bf6397b37545b380"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06520" w14:textId="465BD9DF" w:rsidR="005D65A9" w:rsidRPr="005D65A9" w:rsidRDefault="005D65A9" w:rsidP="005D65A9">
                          <w:pPr>
                            <w:jc w:val="left"/>
                            <w:rPr>
                              <w:rFonts w:ascii="Rockwell" w:hAnsi="Rockwell"/>
                              <w:color w:val="0078D7"/>
                              <w:sz w:val="18"/>
                            </w:rPr>
                          </w:pPr>
                          <w:r w:rsidRPr="005D65A9">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14306E3" id="_x0000_t202" coordsize="21600,21600" o:spt="202" path="m,l,21600r21600,l21600,xe">
              <v:stroke joinstyle="miter"/>
              <v:path gradientshapeok="t" o:connecttype="rect"/>
            </v:shapetype>
            <v:shape id="MSIPCM75294730bf6397b37545b380" o:spid="_x0000_s1026" type="#_x0000_t202" alt="{&quot;HashCode&quot;:-1348403003,&quot;Height&quot;:841.0,&quot;Width&quot;:595.0,&quot;Placement&quot;:&quot;Footer&quot;,&quot;Index&quot;:&quot;Primary&quot;,&quot;Section&quot;:1,&quot;Top&quot;:0.0,&quot;Left&quot;:0.0}" style="position:absolute;left:0;text-align:left;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28E06520" w14:textId="465BD9DF" w:rsidR="005D65A9" w:rsidRPr="005D65A9" w:rsidRDefault="005D65A9" w:rsidP="005D65A9">
                    <w:pPr>
                      <w:jc w:val="left"/>
                      <w:rPr>
                        <w:rFonts w:ascii="Rockwell" w:hAnsi="Rockwell"/>
                        <w:color w:val="0078D7"/>
                        <w:sz w:val="18"/>
                      </w:rPr>
                    </w:pPr>
                    <w:r w:rsidRPr="005D65A9">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B3A2" w14:textId="77777777" w:rsidR="005D65A9" w:rsidRDefault="005D6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2BBB4" w14:textId="77777777" w:rsidR="005D65A9" w:rsidRDefault="005D65A9" w:rsidP="005D65A9">
      <w:r>
        <w:separator/>
      </w:r>
    </w:p>
  </w:footnote>
  <w:footnote w:type="continuationSeparator" w:id="0">
    <w:p w14:paraId="3DD0AE71" w14:textId="77777777" w:rsidR="005D65A9" w:rsidRDefault="005D65A9" w:rsidP="005D6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E9E7" w14:textId="77777777" w:rsidR="005D65A9" w:rsidRDefault="005D6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5ADD" w14:textId="77777777" w:rsidR="005D65A9" w:rsidRDefault="005D65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6AE1" w14:textId="77777777" w:rsidR="005D65A9" w:rsidRDefault="005D6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723"/>
    <w:multiLevelType w:val="multilevel"/>
    <w:tmpl w:val="38A8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0E"/>
    <w:rsid w:val="00000101"/>
    <w:rsid w:val="000017C3"/>
    <w:rsid w:val="0002350A"/>
    <w:rsid w:val="000277D0"/>
    <w:rsid w:val="0003358C"/>
    <w:rsid w:val="00033E8F"/>
    <w:rsid w:val="00051B8C"/>
    <w:rsid w:val="00053DB8"/>
    <w:rsid w:val="00061191"/>
    <w:rsid w:val="000A0189"/>
    <w:rsid w:val="000A2003"/>
    <w:rsid w:val="000C2A94"/>
    <w:rsid w:val="000E24C4"/>
    <w:rsid w:val="000E2BEA"/>
    <w:rsid w:val="00100C8C"/>
    <w:rsid w:val="00110039"/>
    <w:rsid w:val="001164E7"/>
    <w:rsid w:val="001250F6"/>
    <w:rsid w:val="00131239"/>
    <w:rsid w:val="00131DD5"/>
    <w:rsid w:val="0016752B"/>
    <w:rsid w:val="0018469B"/>
    <w:rsid w:val="001848A8"/>
    <w:rsid w:val="0019232D"/>
    <w:rsid w:val="00193BC1"/>
    <w:rsid w:val="001A0845"/>
    <w:rsid w:val="001A6F45"/>
    <w:rsid w:val="001D2BE5"/>
    <w:rsid w:val="001D7325"/>
    <w:rsid w:val="001D7BBE"/>
    <w:rsid w:val="002372E9"/>
    <w:rsid w:val="00241079"/>
    <w:rsid w:val="002616F4"/>
    <w:rsid w:val="00270898"/>
    <w:rsid w:val="00273C5E"/>
    <w:rsid w:val="002B35D8"/>
    <w:rsid w:val="002C14AC"/>
    <w:rsid w:val="002E5815"/>
    <w:rsid w:val="002F2F6A"/>
    <w:rsid w:val="002F7AE9"/>
    <w:rsid w:val="003005FD"/>
    <w:rsid w:val="00302770"/>
    <w:rsid w:val="00307D9B"/>
    <w:rsid w:val="00312ECF"/>
    <w:rsid w:val="003303BC"/>
    <w:rsid w:val="00334148"/>
    <w:rsid w:val="003547C2"/>
    <w:rsid w:val="00355219"/>
    <w:rsid w:val="00365BB2"/>
    <w:rsid w:val="00372468"/>
    <w:rsid w:val="00382AD3"/>
    <w:rsid w:val="00393FCB"/>
    <w:rsid w:val="003F0C6B"/>
    <w:rsid w:val="0041039D"/>
    <w:rsid w:val="004235C8"/>
    <w:rsid w:val="004255E8"/>
    <w:rsid w:val="00437456"/>
    <w:rsid w:val="00453AD0"/>
    <w:rsid w:val="00465F72"/>
    <w:rsid w:val="00480894"/>
    <w:rsid w:val="00480BB5"/>
    <w:rsid w:val="004A1423"/>
    <w:rsid w:val="004A2236"/>
    <w:rsid w:val="004B0E11"/>
    <w:rsid w:val="004D0559"/>
    <w:rsid w:val="004D1540"/>
    <w:rsid w:val="004D4147"/>
    <w:rsid w:val="00562630"/>
    <w:rsid w:val="005646B9"/>
    <w:rsid w:val="00566E04"/>
    <w:rsid w:val="00596C98"/>
    <w:rsid w:val="005A04EE"/>
    <w:rsid w:val="005B0DEC"/>
    <w:rsid w:val="005B364C"/>
    <w:rsid w:val="005D65A9"/>
    <w:rsid w:val="005E3EB6"/>
    <w:rsid w:val="00611BA5"/>
    <w:rsid w:val="0061596A"/>
    <w:rsid w:val="00640FA9"/>
    <w:rsid w:val="00645D14"/>
    <w:rsid w:val="0065411D"/>
    <w:rsid w:val="00676FE2"/>
    <w:rsid w:val="0069554A"/>
    <w:rsid w:val="006B27F0"/>
    <w:rsid w:val="006B37C4"/>
    <w:rsid w:val="006C5965"/>
    <w:rsid w:val="006F2D89"/>
    <w:rsid w:val="00703CFC"/>
    <w:rsid w:val="00725AAC"/>
    <w:rsid w:val="00746B8F"/>
    <w:rsid w:val="0075459C"/>
    <w:rsid w:val="00786730"/>
    <w:rsid w:val="007B3D8B"/>
    <w:rsid w:val="007C5085"/>
    <w:rsid w:val="007D1644"/>
    <w:rsid w:val="007D2D2D"/>
    <w:rsid w:val="007D5839"/>
    <w:rsid w:val="007F11E5"/>
    <w:rsid w:val="00843E7E"/>
    <w:rsid w:val="00861F0E"/>
    <w:rsid w:val="00877DB5"/>
    <w:rsid w:val="008D3B4B"/>
    <w:rsid w:val="008E4611"/>
    <w:rsid w:val="008E4D00"/>
    <w:rsid w:val="008E5BAE"/>
    <w:rsid w:val="008E6DA6"/>
    <w:rsid w:val="008F5F49"/>
    <w:rsid w:val="009419A3"/>
    <w:rsid w:val="00944993"/>
    <w:rsid w:val="009735CC"/>
    <w:rsid w:val="00977FD2"/>
    <w:rsid w:val="009A2D4D"/>
    <w:rsid w:val="009A3B55"/>
    <w:rsid w:val="009B23B1"/>
    <w:rsid w:val="009B4C7A"/>
    <w:rsid w:val="009C4F23"/>
    <w:rsid w:val="009D618B"/>
    <w:rsid w:val="009D7CFB"/>
    <w:rsid w:val="00A1383C"/>
    <w:rsid w:val="00A22089"/>
    <w:rsid w:val="00A25050"/>
    <w:rsid w:val="00A3166A"/>
    <w:rsid w:val="00A51E84"/>
    <w:rsid w:val="00A659DC"/>
    <w:rsid w:val="00A67544"/>
    <w:rsid w:val="00A75982"/>
    <w:rsid w:val="00AA097B"/>
    <w:rsid w:val="00AB706B"/>
    <w:rsid w:val="00AC0BC4"/>
    <w:rsid w:val="00AD2537"/>
    <w:rsid w:val="00AD272D"/>
    <w:rsid w:val="00AD2874"/>
    <w:rsid w:val="00AE3CA6"/>
    <w:rsid w:val="00AE7CAD"/>
    <w:rsid w:val="00AF0F87"/>
    <w:rsid w:val="00AF4A75"/>
    <w:rsid w:val="00B354A7"/>
    <w:rsid w:val="00B663A2"/>
    <w:rsid w:val="00B76B21"/>
    <w:rsid w:val="00B92512"/>
    <w:rsid w:val="00B94B71"/>
    <w:rsid w:val="00BA1C7B"/>
    <w:rsid w:val="00BB45BD"/>
    <w:rsid w:val="00BB55F5"/>
    <w:rsid w:val="00BD2CB2"/>
    <w:rsid w:val="00BF619D"/>
    <w:rsid w:val="00C009E5"/>
    <w:rsid w:val="00C071FA"/>
    <w:rsid w:val="00C13508"/>
    <w:rsid w:val="00C30467"/>
    <w:rsid w:val="00C328D5"/>
    <w:rsid w:val="00C4144F"/>
    <w:rsid w:val="00C66C67"/>
    <w:rsid w:val="00C85585"/>
    <w:rsid w:val="00CB0A91"/>
    <w:rsid w:val="00CB56EF"/>
    <w:rsid w:val="00CC25F9"/>
    <w:rsid w:val="00CC77B0"/>
    <w:rsid w:val="00CE404E"/>
    <w:rsid w:val="00D247C7"/>
    <w:rsid w:val="00D321D9"/>
    <w:rsid w:val="00D33B34"/>
    <w:rsid w:val="00D602E3"/>
    <w:rsid w:val="00D620C9"/>
    <w:rsid w:val="00D71910"/>
    <w:rsid w:val="00D81F21"/>
    <w:rsid w:val="00DB3CE2"/>
    <w:rsid w:val="00DB3EA1"/>
    <w:rsid w:val="00DE5C72"/>
    <w:rsid w:val="00E17521"/>
    <w:rsid w:val="00E615D1"/>
    <w:rsid w:val="00E73176"/>
    <w:rsid w:val="00E90DFA"/>
    <w:rsid w:val="00EF2212"/>
    <w:rsid w:val="00F101EB"/>
    <w:rsid w:val="00F10EFD"/>
    <w:rsid w:val="00F16708"/>
    <w:rsid w:val="00F1678E"/>
    <w:rsid w:val="00F25C64"/>
    <w:rsid w:val="00F26762"/>
    <w:rsid w:val="00F339A8"/>
    <w:rsid w:val="00F54F53"/>
    <w:rsid w:val="00F62A3B"/>
    <w:rsid w:val="00F67755"/>
    <w:rsid w:val="00F75C8E"/>
    <w:rsid w:val="00F86E91"/>
    <w:rsid w:val="00F92D3C"/>
    <w:rsid w:val="00FA2FBA"/>
    <w:rsid w:val="00FA2FFE"/>
    <w:rsid w:val="00FB4B91"/>
    <w:rsid w:val="00FD432F"/>
    <w:rsid w:val="00FF2257"/>
    <w:rsid w:val="00FF4F2C"/>
    <w:rsid w:val="00FF6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9085E"/>
  <w15:chartTrackingRefBased/>
  <w15:docId w15:val="{371C35EB-4708-034D-B80A-2D69D716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3">
    <w:name w:val="heading 3"/>
    <w:basedOn w:val="Normal"/>
    <w:next w:val="Normal"/>
    <w:link w:val="Heading3Char"/>
    <w:qFormat/>
    <w:rsid w:val="00725AAC"/>
    <w:pPr>
      <w:keepNext/>
      <w:widowControl/>
      <w:spacing w:before="240" w:after="60"/>
      <w:jc w:val="left"/>
      <w:outlineLvl w:val="2"/>
    </w:pPr>
    <w:rPr>
      <w:rFonts w:ascii="SimSun" w:eastAsia="Arial" w:hAnsi="SimSun" w:cs="Arial"/>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sent">
    <w:name w:val="transsent"/>
    <w:basedOn w:val="DefaultParagraphFont"/>
    <w:rsid w:val="00241079"/>
  </w:style>
  <w:style w:type="paragraph" w:customStyle="1" w:styleId="src">
    <w:name w:val="src"/>
    <w:basedOn w:val="Normal"/>
    <w:rsid w:val="00131239"/>
    <w:pPr>
      <w:widowControl/>
      <w:spacing w:before="100" w:beforeAutospacing="1" w:after="100" w:afterAutospacing="1"/>
      <w:jc w:val="left"/>
    </w:pPr>
    <w:rPr>
      <w:rFonts w:ascii="SimSun" w:eastAsia="SimSun" w:hAnsi="SimSun" w:cs="SimSun"/>
      <w:kern w:val="0"/>
      <w:sz w:val="24"/>
    </w:rPr>
  </w:style>
  <w:style w:type="character" w:customStyle="1" w:styleId="Heading3Char">
    <w:name w:val="Heading 3 Char"/>
    <w:basedOn w:val="DefaultParagraphFont"/>
    <w:link w:val="Heading3"/>
    <w:rsid w:val="00725AAC"/>
    <w:rPr>
      <w:rFonts w:ascii="SimSun" w:eastAsia="Arial" w:hAnsi="SimSun" w:cs="Arial"/>
      <w:b/>
      <w:bCs/>
      <w:kern w:val="0"/>
      <w:sz w:val="26"/>
      <w:szCs w:val="26"/>
    </w:rPr>
  </w:style>
  <w:style w:type="paragraph" w:styleId="Header">
    <w:name w:val="header"/>
    <w:basedOn w:val="Normal"/>
    <w:link w:val="HeaderChar"/>
    <w:uiPriority w:val="99"/>
    <w:unhideWhenUsed/>
    <w:rsid w:val="005D65A9"/>
    <w:pPr>
      <w:tabs>
        <w:tab w:val="center" w:pos="4513"/>
        <w:tab w:val="right" w:pos="9026"/>
      </w:tabs>
    </w:pPr>
  </w:style>
  <w:style w:type="character" w:customStyle="1" w:styleId="HeaderChar">
    <w:name w:val="Header Char"/>
    <w:basedOn w:val="DefaultParagraphFont"/>
    <w:link w:val="Header"/>
    <w:uiPriority w:val="99"/>
    <w:rsid w:val="005D65A9"/>
  </w:style>
  <w:style w:type="paragraph" w:styleId="Footer">
    <w:name w:val="footer"/>
    <w:basedOn w:val="Normal"/>
    <w:link w:val="FooterChar"/>
    <w:uiPriority w:val="99"/>
    <w:unhideWhenUsed/>
    <w:rsid w:val="005D65A9"/>
    <w:pPr>
      <w:tabs>
        <w:tab w:val="center" w:pos="4513"/>
        <w:tab w:val="right" w:pos="9026"/>
      </w:tabs>
    </w:pPr>
  </w:style>
  <w:style w:type="character" w:customStyle="1" w:styleId="FooterChar">
    <w:name w:val="Footer Char"/>
    <w:basedOn w:val="DefaultParagraphFont"/>
    <w:link w:val="Footer"/>
    <w:uiPriority w:val="99"/>
    <w:rsid w:val="005D6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5969">
      <w:bodyDiv w:val="1"/>
      <w:marLeft w:val="0"/>
      <w:marRight w:val="0"/>
      <w:marTop w:val="0"/>
      <w:marBottom w:val="0"/>
      <w:divBdr>
        <w:top w:val="none" w:sz="0" w:space="0" w:color="auto"/>
        <w:left w:val="none" w:sz="0" w:space="0" w:color="auto"/>
        <w:bottom w:val="none" w:sz="0" w:space="0" w:color="auto"/>
        <w:right w:val="none" w:sz="0" w:space="0" w:color="auto"/>
      </w:divBdr>
    </w:div>
    <w:div w:id="479230076">
      <w:bodyDiv w:val="1"/>
      <w:marLeft w:val="0"/>
      <w:marRight w:val="0"/>
      <w:marTop w:val="0"/>
      <w:marBottom w:val="0"/>
      <w:divBdr>
        <w:top w:val="none" w:sz="0" w:space="0" w:color="auto"/>
        <w:left w:val="none" w:sz="0" w:space="0" w:color="auto"/>
        <w:bottom w:val="none" w:sz="0" w:space="0" w:color="auto"/>
        <w:right w:val="none" w:sz="0" w:space="0" w:color="auto"/>
      </w:divBdr>
    </w:div>
    <w:div w:id="638803981">
      <w:bodyDiv w:val="1"/>
      <w:marLeft w:val="0"/>
      <w:marRight w:val="0"/>
      <w:marTop w:val="0"/>
      <w:marBottom w:val="0"/>
      <w:divBdr>
        <w:top w:val="none" w:sz="0" w:space="0" w:color="auto"/>
        <w:left w:val="none" w:sz="0" w:space="0" w:color="auto"/>
        <w:bottom w:val="none" w:sz="0" w:space="0" w:color="auto"/>
        <w:right w:val="none" w:sz="0" w:space="0" w:color="auto"/>
      </w:divBdr>
    </w:div>
    <w:div w:id="1416055261">
      <w:bodyDiv w:val="1"/>
      <w:marLeft w:val="0"/>
      <w:marRight w:val="0"/>
      <w:marTop w:val="0"/>
      <w:marBottom w:val="0"/>
      <w:divBdr>
        <w:top w:val="none" w:sz="0" w:space="0" w:color="auto"/>
        <w:left w:val="none" w:sz="0" w:space="0" w:color="auto"/>
        <w:bottom w:val="none" w:sz="0" w:space="0" w:color="auto"/>
        <w:right w:val="none" w:sz="0" w:space="0" w:color="auto"/>
      </w:divBdr>
    </w:div>
    <w:div w:id="153527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1884F00-26A8-164B-9C16-A6238F0D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2262773074@qq.com</dc:creator>
  <cp:keywords/>
  <dc:description/>
  <cp:lastModifiedBy>Spence, Oliver</cp:lastModifiedBy>
  <cp:revision>3</cp:revision>
  <dcterms:created xsi:type="dcterms:W3CDTF">2022-11-24T19:54:00Z</dcterms:created>
  <dcterms:modified xsi:type="dcterms:W3CDTF">2022-11-24T19:54:00Z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2022-11-24T19:54:16Z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7125c98f-ddd0-4026-a8fe-664414364337</vt:lpwstr>
  </property>
  <property fmtid="{D5CDD505-2E9C-101B-9397-08002B2CF9AE}" pid="8" name="MSIP_Label_2bbab825-a111-45e4-86a1-18cee0005896_ContentBits">
    <vt:lpwstr>2</vt:lpwstr>
  </property>
</Properties>
</file>