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EE" w:rsidRPr="003A3458" w:rsidRDefault="00B70EEE" w:rsidP="00B70EEE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3A3458">
        <w:rPr>
          <w:rFonts w:ascii="Arial" w:hAnsi="Arial" w:cs="Arial"/>
          <w:b/>
          <w:sz w:val="28"/>
        </w:rPr>
        <w:t xml:space="preserve">Comparative colloidal stability of </w:t>
      </w:r>
      <w:r w:rsidRPr="003A3458">
        <w:rPr>
          <w:rFonts w:ascii="Arial" w:hAnsi="Arial" w:cs="Arial" w:hint="eastAsia"/>
          <w:b/>
          <w:sz w:val="28"/>
        </w:rPr>
        <w:t xml:space="preserve">commercial </w:t>
      </w:r>
      <w:r w:rsidRPr="003A3458">
        <w:rPr>
          <w:rFonts w:ascii="Arial" w:hAnsi="Arial" w:cs="Arial"/>
          <w:b/>
          <w:sz w:val="28"/>
        </w:rPr>
        <w:t>amphotericin B</w:t>
      </w:r>
      <w:r w:rsidRPr="003A3458">
        <w:rPr>
          <w:rFonts w:ascii="Arial" w:hAnsi="Arial" w:cs="Arial" w:hint="eastAsia"/>
          <w:b/>
          <w:sz w:val="28"/>
        </w:rPr>
        <w:t xml:space="preserve"> </w:t>
      </w:r>
      <w:proofErr w:type="spellStart"/>
      <w:r w:rsidRPr="003A3458">
        <w:rPr>
          <w:rFonts w:ascii="Arial" w:hAnsi="Arial" w:cs="Arial" w:hint="eastAsia"/>
          <w:b/>
          <w:sz w:val="28"/>
        </w:rPr>
        <w:t>nano</w:t>
      </w:r>
      <w:r w:rsidRPr="003A3458">
        <w:rPr>
          <w:rFonts w:ascii="Arial" w:hAnsi="Arial" w:cs="Arial"/>
          <w:b/>
          <w:sz w:val="28"/>
        </w:rPr>
        <w:t>formulation</w:t>
      </w:r>
      <w:r w:rsidRPr="003A3458">
        <w:rPr>
          <w:rFonts w:ascii="Arial" w:hAnsi="Arial" w:cs="Arial" w:hint="eastAsia"/>
          <w:b/>
          <w:sz w:val="28"/>
        </w:rPr>
        <w:t>s</w:t>
      </w:r>
      <w:proofErr w:type="spellEnd"/>
      <w:r w:rsidRPr="003A3458">
        <w:rPr>
          <w:rFonts w:ascii="Arial" w:hAnsi="Arial" w:cs="Arial" w:hint="eastAsia"/>
          <w:b/>
          <w:sz w:val="28"/>
        </w:rPr>
        <w:t xml:space="preserve"> using d</w:t>
      </w:r>
      <w:r w:rsidRPr="003A3458">
        <w:rPr>
          <w:rFonts w:ascii="Arial" w:hAnsi="Arial" w:cs="Arial"/>
          <w:b/>
          <w:sz w:val="28"/>
        </w:rPr>
        <w:t>ynamic</w:t>
      </w:r>
      <w:r w:rsidRPr="003A3458">
        <w:rPr>
          <w:rFonts w:ascii="Arial" w:hAnsi="Arial" w:cs="Arial" w:hint="eastAsia"/>
          <w:b/>
          <w:sz w:val="28"/>
        </w:rPr>
        <w:t xml:space="preserve"> and s</w:t>
      </w:r>
      <w:r w:rsidRPr="003A3458">
        <w:rPr>
          <w:rFonts w:ascii="Arial" w:hAnsi="Arial" w:cs="Arial"/>
          <w:b/>
          <w:sz w:val="28"/>
        </w:rPr>
        <w:t xml:space="preserve">tatic </w:t>
      </w:r>
      <w:r w:rsidRPr="003A3458">
        <w:rPr>
          <w:rFonts w:ascii="Arial" w:hAnsi="Arial" w:cs="Arial" w:hint="eastAsia"/>
          <w:b/>
          <w:sz w:val="28"/>
        </w:rPr>
        <w:t>m</w:t>
      </w:r>
      <w:r w:rsidRPr="003A3458">
        <w:rPr>
          <w:rFonts w:ascii="Arial" w:hAnsi="Arial" w:cs="Arial"/>
          <w:b/>
          <w:sz w:val="28"/>
        </w:rPr>
        <w:t xml:space="preserve">ultiple </w:t>
      </w:r>
      <w:r w:rsidRPr="003A3458">
        <w:rPr>
          <w:rFonts w:ascii="Arial" w:hAnsi="Arial" w:cs="Arial" w:hint="eastAsia"/>
          <w:b/>
          <w:sz w:val="28"/>
        </w:rPr>
        <w:t>l</w:t>
      </w:r>
      <w:r w:rsidRPr="003A3458">
        <w:rPr>
          <w:rFonts w:ascii="Arial" w:hAnsi="Arial" w:cs="Arial"/>
          <w:b/>
          <w:sz w:val="28"/>
        </w:rPr>
        <w:t xml:space="preserve">ight </w:t>
      </w:r>
      <w:r w:rsidRPr="003A3458">
        <w:rPr>
          <w:rFonts w:ascii="Arial" w:hAnsi="Arial" w:cs="Arial" w:hint="eastAsia"/>
          <w:b/>
          <w:sz w:val="28"/>
        </w:rPr>
        <w:t>s</w:t>
      </w:r>
      <w:r w:rsidRPr="003A3458">
        <w:rPr>
          <w:rFonts w:ascii="Arial" w:hAnsi="Arial" w:cs="Arial"/>
          <w:b/>
          <w:sz w:val="28"/>
        </w:rPr>
        <w:t>cattering</w:t>
      </w:r>
      <w:r w:rsidRPr="003A3458">
        <w:rPr>
          <w:rFonts w:ascii="Arial" w:hAnsi="Arial" w:cs="Arial" w:hint="eastAsia"/>
          <w:b/>
          <w:sz w:val="28"/>
        </w:rPr>
        <w:t xml:space="preserve"> </w:t>
      </w:r>
      <w:r w:rsidRPr="003A3458">
        <w:rPr>
          <w:rFonts w:ascii="Arial" w:hAnsi="Arial" w:cs="Arial"/>
          <w:b/>
          <w:sz w:val="28"/>
        </w:rPr>
        <w:t>technique</w:t>
      </w:r>
      <w:r w:rsidRPr="003A3458">
        <w:rPr>
          <w:rFonts w:ascii="Arial" w:hAnsi="Arial" w:cs="Arial" w:hint="eastAsia"/>
          <w:b/>
          <w:sz w:val="28"/>
        </w:rPr>
        <w:t>s</w:t>
      </w:r>
    </w:p>
    <w:p w:rsidR="00B70EEE" w:rsidRPr="003A3458" w:rsidRDefault="00B70EEE" w:rsidP="00B70EEE">
      <w:pPr>
        <w:spacing w:line="360" w:lineRule="auto"/>
        <w:jc w:val="left"/>
        <w:rPr>
          <w:rFonts w:ascii="Arial" w:hAnsi="Arial" w:cs="Arial"/>
          <w:szCs w:val="21"/>
        </w:rPr>
      </w:pPr>
      <w:r w:rsidRPr="003A3458">
        <w:rPr>
          <w:rFonts w:ascii="Arial" w:hAnsi="Arial" w:cs="Arial"/>
          <w:szCs w:val="21"/>
        </w:rPr>
        <w:t xml:space="preserve">Jun </w:t>
      </w:r>
      <w:proofErr w:type="spellStart"/>
      <w:r w:rsidRPr="003A3458">
        <w:rPr>
          <w:rFonts w:ascii="Arial" w:hAnsi="Arial" w:cs="Arial"/>
          <w:szCs w:val="21"/>
        </w:rPr>
        <w:t>Ye</w:t>
      </w:r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/>
          <w:szCs w:val="21"/>
        </w:rPr>
        <w:t xml:space="preserve">, </w:t>
      </w:r>
      <w:proofErr w:type="spellStart"/>
      <w:r w:rsidRPr="003A3458">
        <w:rPr>
          <w:rFonts w:ascii="Arial" w:hAnsi="Arial" w:cs="Arial"/>
          <w:szCs w:val="21"/>
        </w:rPr>
        <w:t>Renjie</w:t>
      </w:r>
      <w:proofErr w:type="spellEnd"/>
      <w:r w:rsidRPr="003A3458">
        <w:rPr>
          <w:rFonts w:ascii="Arial" w:hAnsi="Arial" w:cs="Arial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Li</w:t>
      </w:r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/>
          <w:szCs w:val="21"/>
        </w:rPr>
        <w:t>,</w:t>
      </w:r>
      <w:r w:rsidRPr="003A3458">
        <w:rPr>
          <w:rFonts w:ascii="Arial" w:hAnsi="Arial" w:cs="Arial" w:hint="eastAsia"/>
          <w:szCs w:val="21"/>
        </w:rPr>
        <w:t xml:space="preserve"> Jialing </w:t>
      </w:r>
      <w:proofErr w:type="spellStart"/>
      <w:r w:rsidRPr="003A3458">
        <w:rPr>
          <w:rFonts w:ascii="Arial" w:hAnsi="Arial" w:cs="Arial" w:hint="eastAsia"/>
          <w:szCs w:val="21"/>
        </w:rPr>
        <w:t>Cheng</w:t>
      </w:r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/>
          <w:szCs w:val="21"/>
        </w:rPr>
        <w:t>,</w:t>
      </w:r>
      <w:r w:rsidRPr="003A3458">
        <w:rPr>
          <w:rFonts w:ascii="Arial" w:hAnsi="Arial" w:cs="Arial" w:hint="eastAsia"/>
          <w:szCs w:val="21"/>
        </w:rPr>
        <w:t xml:space="preserve"> </w:t>
      </w:r>
      <w:proofErr w:type="spellStart"/>
      <w:r w:rsidRPr="003A3458">
        <w:rPr>
          <w:rFonts w:ascii="Arial" w:hAnsi="Arial" w:cs="Arial" w:hint="eastAsia"/>
          <w:szCs w:val="21"/>
        </w:rPr>
        <w:t>Dongdong</w:t>
      </w:r>
      <w:proofErr w:type="spellEnd"/>
      <w:r w:rsidRPr="003A3458">
        <w:rPr>
          <w:rFonts w:ascii="Arial" w:hAnsi="Arial" w:cs="Arial" w:hint="eastAsia"/>
          <w:szCs w:val="21"/>
        </w:rPr>
        <w:t xml:space="preserve"> </w:t>
      </w:r>
      <w:proofErr w:type="spellStart"/>
      <w:r w:rsidRPr="003A3458">
        <w:rPr>
          <w:rFonts w:ascii="Arial" w:hAnsi="Arial" w:cs="Arial" w:hint="eastAsia"/>
          <w:szCs w:val="21"/>
        </w:rPr>
        <w:t>Liu</w:t>
      </w:r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/>
          <w:szCs w:val="21"/>
        </w:rPr>
        <w:t>,</w:t>
      </w:r>
      <w:r w:rsidRPr="003A3458">
        <w:rPr>
          <w:rFonts w:ascii="Arial" w:hAnsi="Arial" w:cs="Arial" w:hint="eastAsia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Yanfang</w:t>
      </w:r>
      <w:proofErr w:type="spellEnd"/>
      <w:r w:rsidRPr="003A3458">
        <w:rPr>
          <w:rFonts w:ascii="Arial" w:hAnsi="Arial" w:cs="Arial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Yang</w:t>
      </w:r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/>
          <w:szCs w:val="21"/>
        </w:rPr>
        <w:t>,</w:t>
      </w:r>
      <w:r w:rsidRPr="003A3458">
        <w:rPr>
          <w:rFonts w:ascii="Arial" w:hAnsi="Arial" w:cs="Arial" w:hint="eastAsia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Hongliang</w:t>
      </w:r>
      <w:proofErr w:type="spellEnd"/>
      <w:r w:rsidRPr="003A3458">
        <w:rPr>
          <w:rFonts w:ascii="Arial" w:hAnsi="Arial" w:cs="Arial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Wang</w:t>
      </w:r>
      <w:bookmarkStart w:id="0" w:name="OLE_LINK34"/>
      <w:bookmarkStart w:id="1" w:name="OLE_LINK35"/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/>
          <w:szCs w:val="21"/>
        </w:rPr>
        <w:t>,</w:t>
      </w:r>
      <w:bookmarkEnd w:id="0"/>
      <w:bookmarkEnd w:id="1"/>
      <w:r w:rsidRPr="003A3458">
        <w:rPr>
          <w:rFonts w:ascii="Arial" w:hAnsi="Arial" w:cs="Arial"/>
          <w:szCs w:val="21"/>
        </w:rPr>
        <w:t xml:space="preserve"> </w:t>
      </w:r>
      <w:proofErr w:type="spellStart"/>
      <w:r w:rsidRPr="003A3458">
        <w:rPr>
          <w:rFonts w:ascii="Arial" w:hAnsi="Arial" w:cs="Arial" w:hint="eastAsia"/>
          <w:szCs w:val="21"/>
        </w:rPr>
        <w:t>Xiaoyan</w:t>
      </w:r>
      <w:proofErr w:type="spellEnd"/>
      <w:r w:rsidRPr="003A3458">
        <w:rPr>
          <w:rFonts w:ascii="Arial" w:hAnsi="Arial" w:cs="Arial" w:hint="eastAsia"/>
          <w:szCs w:val="21"/>
        </w:rPr>
        <w:t xml:space="preserve"> </w:t>
      </w:r>
      <w:proofErr w:type="spellStart"/>
      <w:r w:rsidRPr="003A3458">
        <w:rPr>
          <w:rFonts w:ascii="Arial" w:hAnsi="Arial" w:cs="Arial" w:hint="eastAsia"/>
          <w:szCs w:val="21"/>
        </w:rPr>
        <w:t>Xu</w:t>
      </w:r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/>
          <w:szCs w:val="21"/>
        </w:rPr>
        <w:t>,</w:t>
      </w:r>
      <w:r w:rsidRPr="003A3458">
        <w:rPr>
          <w:rFonts w:ascii="Arial" w:hAnsi="Arial" w:cs="Arial" w:hint="eastAsia"/>
          <w:szCs w:val="21"/>
        </w:rPr>
        <w:t xml:space="preserve"> Lin </w:t>
      </w:r>
      <w:proofErr w:type="spellStart"/>
      <w:r w:rsidRPr="003A3458">
        <w:rPr>
          <w:rFonts w:ascii="Arial" w:hAnsi="Arial" w:cs="Arial" w:hint="eastAsia"/>
          <w:szCs w:val="21"/>
        </w:rPr>
        <w:t>Li</w:t>
      </w:r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 w:hint="eastAsia"/>
          <w:szCs w:val="21"/>
        </w:rPr>
        <w:t xml:space="preserve">, </w:t>
      </w:r>
      <w:proofErr w:type="spellStart"/>
      <w:r w:rsidRPr="003A3458">
        <w:rPr>
          <w:rFonts w:ascii="Arial" w:hAnsi="Arial" w:cs="Arial" w:hint="eastAsia"/>
          <w:szCs w:val="21"/>
        </w:rPr>
        <w:t>Panpan</w:t>
      </w:r>
      <w:proofErr w:type="spellEnd"/>
      <w:r w:rsidRPr="003A3458">
        <w:rPr>
          <w:rFonts w:ascii="Arial" w:hAnsi="Arial" w:cs="Arial" w:hint="eastAsia"/>
          <w:szCs w:val="21"/>
        </w:rPr>
        <w:t xml:space="preserve"> Ma</w:t>
      </w:r>
      <w:r w:rsidRPr="003A3458">
        <w:rPr>
          <w:rFonts w:ascii="Arial" w:hAnsi="Arial" w:cs="Arial" w:hint="eastAsia"/>
          <w:szCs w:val="21"/>
          <w:vertAlign w:val="superscript"/>
        </w:rPr>
        <w:t>c</w:t>
      </w:r>
      <w:r w:rsidRPr="003A3458">
        <w:rPr>
          <w:rFonts w:ascii="Arial" w:hAnsi="Arial" w:cs="Arial"/>
          <w:szCs w:val="21"/>
        </w:rPr>
        <w:t>,</w:t>
      </w:r>
      <w:r w:rsidRPr="003A3458">
        <w:rPr>
          <w:rFonts w:ascii="Arial" w:hAnsi="Arial" w:cs="Arial" w:hint="eastAsia"/>
          <w:szCs w:val="21"/>
        </w:rPr>
        <w:t xml:space="preserve"> </w:t>
      </w:r>
      <w:r w:rsidRPr="003A3458">
        <w:rPr>
          <w:rFonts w:ascii="Arial" w:hAnsi="Arial" w:cs="Arial"/>
          <w:szCs w:val="21"/>
        </w:rPr>
        <w:t xml:space="preserve">and </w:t>
      </w:r>
      <w:proofErr w:type="spellStart"/>
      <w:r w:rsidRPr="003A3458">
        <w:rPr>
          <w:rFonts w:ascii="Arial" w:hAnsi="Arial" w:cs="Arial"/>
          <w:szCs w:val="21"/>
        </w:rPr>
        <w:t>Yuling</w:t>
      </w:r>
      <w:proofErr w:type="spellEnd"/>
      <w:r w:rsidRPr="003A3458">
        <w:rPr>
          <w:rFonts w:ascii="Arial" w:hAnsi="Arial" w:cs="Arial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Liu</w:t>
      </w:r>
      <w:r w:rsidRPr="003A3458">
        <w:rPr>
          <w:rFonts w:ascii="Arial" w:hAnsi="Arial" w:cs="Arial"/>
          <w:szCs w:val="21"/>
          <w:vertAlign w:val="superscript"/>
        </w:rPr>
        <w:t>a,b</w:t>
      </w:r>
      <w:proofErr w:type="spellEnd"/>
      <w:r w:rsidRPr="003A3458">
        <w:rPr>
          <w:rFonts w:ascii="Arial" w:hAnsi="Arial" w:cs="Arial" w:hint="eastAsia"/>
          <w:szCs w:val="21"/>
          <w:vertAlign w:val="superscript"/>
        </w:rPr>
        <w:t>*</w:t>
      </w:r>
    </w:p>
    <w:p w:rsidR="00B70EEE" w:rsidRPr="003A3458" w:rsidRDefault="00B70EEE" w:rsidP="00B70EEE">
      <w:pPr>
        <w:spacing w:line="360" w:lineRule="auto"/>
        <w:jc w:val="left"/>
        <w:rPr>
          <w:rFonts w:ascii="Arial" w:hAnsi="Arial" w:cs="Arial"/>
          <w:szCs w:val="21"/>
        </w:rPr>
      </w:pPr>
      <w:proofErr w:type="spellStart"/>
      <w:r w:rsidRPr="003A3458">
        <w:rPr>
          <w:rFonts w:ascii="Arial" w:hAnsi="Arial" w:cs="Arial"/>
          <w:szCs w:val="21"/>
          <w:vertAlign w:val="superscript"/>
        </w:rPr>
        <w:t>a</w:t>
      </w:r>
      <w:r w:rsidRPr="003A3458">
        <w:rPr>
          <w:rFonts w:ascii="Arial" w:hAnsi="Arial" w:cs="Arial"/>
          <w:szCs w:val="21"/>
        </w:rPr>
        <w:t>State</w:t>
      </w:r>
      <w:proofErr w:type="spellEnd"/>
      <w:r w:rsidRPr="003A3458">
        <w:rPr>
          <w:rFonts w:ascii="Arial" w:hAnsi="Arial" w:cs="Arial"/>
          <w:szCs w:val="21"/>
        </w:rPr>
        <w:t xml:space="preserve"> Key Laboratory of Bioactive Substance and Function of Natural Medicines, Institute of </w:t>
      </w:r>
      <w:proofErr w:type="spellStart"/>
      <w:r w:rsidRPr="003A3458">
        <w:rPr>
          <w:rFonts w:ascii="Arial" w:hAnsi="Arial" w:cs="Arial"/>
          <w:szCs w:val="21"/>
        </w:rPr>
        <w:t>Materia</w:t>
      </w:r>
      <w:proofErr w:type="spellEnd"/>
      <w:r w:rsidRPr="003A3458">
        <w:rPr>
          <w:rFonts w:ascii="Arial" w:hAnsi="Arial" w:cs="Arial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Medica</w:t>
      </w:r>
      <w:proofErr w:type="spellEnd"/>
      <w:r w:rsidRPr="003A3458">
        <w:rPr>
          <w:rFonts w:ascii="Arial" w:hAnsi="Arial" w:cs="Arial"/>
          <w:szCs w:val="21"/>
        </w:rPr>
        <w:t>, Chinese Academy of Medical Sciences &amp; Peking Union Medical College, Beijing 100050, P.R. China</w:t>
      </w:r>
    </w:p>
    <w:p w:rsidR="00B70EEE" w:rsidRPr="003A3458" w:rsidRDefault="00B70EEE" w:rsidP="00B70EEE">
      <w:pPr>
        <w:spacing w:line="360" w:lineRule="auto"/>
        <w:jc w:val="left"/>
        <w:rPr>
          <w:rFonts w:ascii="Arial" w:hAnsi="Arial" w:cs="Arial"/>
          <w:szCs w:val="21"/>
        </w:rPr>
      </w:pPr>
      <w:proofErr w:type="spellStart"/>
      <w:r w:rsidRPr="003A3458">
        <w:rPr>
          <w:rFonts w:ascii="Arial" w:hAnsi="Arial" w:cs="Arial"/>
          <w:szCs w:val="21"/>
          <w:vertAlign w:val="superscript"/>
        </w:rPr>
        <w:t>b</w:t>
      </w:r>
      <w:r w:rsidRPr="003A3458">
        <w:rPr>
          <w:rFonts w:ascii="Arial" w:hAnsi="Arial" w:cs="Arial"/>
          <w:szCs w:val="21"/>
        </w:rPr>
        <w:t>Beijing</w:t>
      </w:r>
      <w:proofErr w:type="spellEnd"/>
      <w:r w:rsidRPr="003A3458">
        <w:rPr>
          <w:rFonts w:ascii="Arial" w:hAnsi="Arial" w:cs="Arial"/>
          <w:szCs w:val="21"/>
        </w:rPr>
        <w:t xml:space="preserve"> Key Laboratory of Drug Delivery Technology and Novel Formulation, Institute of </w:t>
      </w:r>
      <w:proofErr w:type="spellStart"/>
      <w:r w:rsidRPr="003A3458">
        <w:rPr>
          <w:rFonts w:ascii="Arial" w:hAnsi="Arial" w:cs="Arial"/>
          <w:szCs w:val="21"/>
        </w:rPr>
        <w:t>Materia</w:t>
      </w:r>
      <w:proofErr w:type="spellEnd"/>
      <w:r w:rsidRPr="003A3458">
        <w:rPr>
          <w:rFonts w:ascii="Arial" w:hAnsi="Arial" w:cs="Arial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Medica</w:t>
      </w:r>
      <w:proofErr w:type="spellEnd"/>
      <w:r w:rsidRPr="003A3458">
        <w:rPr>
          <w:rFonts w:ascii="Arial" w:hAnsi="Arial" w:cs="Arial"/>
          <w:szCs w:val="21"/>
        </w:rPr>
        <w:t>, Chinese Academy of Medical Sciences &amp; Peking Union Medical College, Beijing 100050, P.R. China</w:t>
      </w:r>
    </w:p>
    <w:p w:rsidR="00B70EEE" w:rsidRPr="003A3458" w:rsidRDefault="00B70EEE" w:rsidP="00B70EEE">
      <w:pPr>
        <w:spacing w:line="360" w:lineRule="auto"/>
        <w:jc w:val="left"/>
        <w:rPr>
          <w:rFonts w:ascii="Arial" w:hAnsi="Arial" w:cs="Arial"/>
          <w:szCs w:val="21"/>
        </w:rPr>
      </w:pPr>
      <w:proofErr w:type="spellStart"/>
      <w:proofErr w:type="gramStart"/>
      <w:r w:rsidRPr="003A3458">
        <w:rPr>
          <w:rFonts w:ascii="Arial" w:hAnsi="Arial" w:cs="Arial" w:hint="eastAsia"/>
          <w:szCs w:val="21"/>
          <w:vertAlign w:val="superscript"/>
        </w:rPr>
        <w:t>c</w:t>
      </w:r>
      <w:r w:rsidRPr="003A3458">
        <w:rPr>
          <w:rFonts w:ascii="Arial" w:hAnsi="Arial" w:cs="Arial" w:hint="eastAsia"/>
          <w:szCs w:val="21"/>
        </w:rPr>
        <w:t>Beijing</w:t>
      </w:r>
      <w:proofErr w:type="spellEnd"/>
      <w:proofErr w:type="gramEnd"/>
      <w:r w:rsidRPr="003A3458">
        <w:rPr>
          <w:rFonts w:ascii="Arial" w:hAnsi="Arial" w:cs="Arial" w:hint="eastAsia"/>
          <w:szCs w:val="21"/>
        </w:rPr>
        <w:t xml:space="preserve"> Union Second Pharmaceutical Factory, </w:t>
      </w:r>
      <w:r w:rsidRPr="003A3458">
        <w:rPr>
          <w:rFonts w:ascii="Arial" w:hAnsi="Arial" w:cs="Arial"/>
          <w:szCs w:val="21"/>
        </w:rPr>
        <w:t>Beijing 100</w:t>
      </w:r>
      <w:r w:rsidRPr="003A3458">
        <w:rPr>
          <w:rFonts w:ascii="Arial" w:hAnsi="Arial" w:cs="Arial" w:hint="eastAsia"/>
          <w:szCs w:val="21"/>
        </w:rPr>
        <w:t>060</w:t>
      </w:r>
      <w:r w:rsidRPr="003A3458">
        <w:rPr>
          <w:rFonts w:ascii="Arial" w:hAnsi="Arial" w:cs="Arial"/>
          <w:szCs w:val="21"/>
        </w:rPr>
        <w:t>, P.R. China</w:t>
      </w:r>
    </w:p>
    <w:p w:rsidR="00B70EEE" w:rsidRPr="003A3458" w:rsidRDefault="00B70EEE" w:rsidP="00B70EEE">
      <w:pPr>
        <w:spacing w:line="360" w:lineRule="auto"/>
        <w:jc w:val="left"/>
        <w:rPr>
          <w:rStyle w:val="a5"/>
          <w:rFonts w:ascii="Arial" w:hAnsi="Arial" w:cs="Arial"/>
          <w:szCs w:val="21"/>
        </w:rPr>
      </w:pPr>
      <w:r w:rsidRPr="003A3458">
        <w:rPr>
          <w:rFonts w:ascii="Arial" w:hAnsi="Arial" w:cs="Arial"/>
          <w:szCs w:val="21"/>
        </w:rPr>
        <w:t xml:space="preserve">Correspondence: Professor </w:t>
      </w:r>
      <w:proofErr w:type="spellStart"/>
      <w:r w:rsidRPr="003A3458">
        <w:rPr>
          <w:rFonts w:ascii="Arial" w:hAnsi="Arial" w:cs="Arial"/>
          <w:szCs w:val="21"/>
        </w:rPr>
        <w:t>Yuling</w:t>
      </w:r>
      <w:proofErr w:type="spellEnd"/>
      <w:r w:rsidRPr="003A3458">
        <w:rPr>
          <w:rFonts w:ascii="Arial" w:hAnsi="Arial" w:cs="Arial"/>
          <w:szCs w:val="21"/>
        </w:rPr>
        <w:t xml:space="preserve"> Liu, State Key Laboratory of Bioactive Substance and Function of Natural Medicines, Institute of </w:t>
      </w:r>
      <w:proofErr w:type="spellStart"/>
      <w:r w:rsidRPr="003A3458">
        <w:rPr>
          <w:rFonts w:ascii="Arial" w:hAnsi="Arial" w:cs="Arial"/>
          <w:szCs w:val="21"/>
        </w:rPr>
        <w:t>Materia</w:t>
      </w:r>
      <w:proofErr w:type="spellEnd"/>
      <w:r w:rsidRPr="003A3458">
        <w:rPr>
          <w:rFonts w:ascii="Arial" w:hAnsi="Arial" w:cs="Arial"/>
          <w:szCs w:val="21"/>
        </w:rPr>
        <w:t xml:space="preserve"> </w:t>
      </w:r>
      <w:proofErr w:type="spellStart"/>
      <w:r w:rsidRPr="003A3458">
        <w:rPr>
          <w:rFonts w:ascii="Arial" w:hAnsi="Arial" w:cs="Arial"/>
          <w:szCs w:val="21"/>
        </w:rPr>
        <w:t>Medica</w:t>
      </w:r>
      <w:proofErr w:type="spellEnd"/>
      <w:r w:rsidRPr="003A3458">
        <w:rPr>
          <w:rFonts w:ascii="Arial" w:hAnsi="Arial" w:cs="Arial"/>
          <w:szCs w:val="21"/>
        </w:rPr>
        <w:t xml:space="preserve">, Chinese Academy of Medical Sciences &amp; Peking Union Medical College, 1 </w:t>
      </w:r>
      <w:proofErr w:type="spellStart"/>
      <w:r w:rsidRPr="003A3458">
        <w:rPr>
          <w:rFonts w:ascii="Arial" w:hAnsi="Arial" w:cs="Arial"/>
          <w:szCs w:val="21"/>
        </w:rPr>
        <w:t>Xiannongtan</w:t>
      </w:r>
      <w:proofErr w:type="spellEnd"/>
      <w:r w:rsidRPr="003A3458">
        <w:rPr>
          <w:rFonts w:ascii="Arial" w:hAnsi="Arial" w:cs="Arial"/>
          <w:szCs w:val="21"/>
        </w:rPr>
        <w:t xml:space="preserve"> Street, Beijing 100050, P.R. China, Tel (86)10-89285188, Fax (86)10-89285190, Email </w:t>
      </w:r>
      <w:hyperlink r:id="rId7" w:history="1">
        <w:r w:rsidRPr="003A3458">
          <w:rPr>
            <w:rStyle w:val="a5"/>
            <w:rFonts w:ascii="Arial" w:hAnsi="Arial" w:cs="Arial"/>
            <w:szCs w:val="21"/>
          </w:rPr>
          <w:t>ylliu@imm.ac.cn</w:t>
        </w:r>
      </w:hyperlink>
      <w:r w:rsidRPr="003A3458">
        <w:rPr>
          <w:rStyle w:val="a5"/>
          <w:rFonts w:ascii="Arial" w:hAnsi="Arial" w:cs="Arial"/>
          <w:szCs w:val="21"/>
        </w:rPr>
        <w:t>.</w:t>
      </w:r>
    </w:p>
    <w:p w:rsidR="00B70EEE" w:rsidRPr="00B70EEE" w:rsidRDefault="00B70EEE">
      <w:pPr>
        <w:widowControl/>
        <w:jc w:val="left"/>
      </w:pPr>
    </w:p>
    <w:p w:rsidR="00B70EEE" w:rsidRDefault="00B70EEE">
      <w:pPr>
        <w:widowControl/>
        <w:jc w:val="left"/>
      </w:pPr>
      <w:r>
        <w:br w:type="page"/>
      </w:r>
    </w:p>
    <w:p w:rsidR="00B70EEE" w:rsidRPr="008A1B2C" w:rsidRDefault="00B70EEE" w:rsidP="00B70EEE">
      <w:pPr>
        <w:rPr>
          <w:rFonts w:ascii="Arial" w:hAnsi="Arial" w:cs="Arial"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DCB17FE" wp14:editId="33644DBB">
            <wp:simplePos x="0" y="0"/>
            <wp:positionH relativeFrom="margin">
              <wp:posOffset>-1905</wp:posOffset>
            </wp:positionH>
            <wp:positionV relativeFrom="paragraph">
              <wp:posOffset>89535</wp:posOffset>
            </wp:positionV>
            <wp:extent cx="5274978" cy="4968417"/>
            <wp:effectExtent l="0" t="0" r="1905" b="3810"/>
            <wp:wrapTopAndBottom/>
            <wp:docPr id="1" name="图片 1" descr="D:\OneDrive\AmB\Manuscript\International Journal of Nanomedicine\Revised manuscript\上传Figures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neDrive\AmB\Manuscript\International Journal of Nanomedicine\Revised manuscript\上传Figures\Figure S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78" cy="496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GoBack"/>
      <w:bookmarkEnd w:id="2"/>
      <w:r w:rsidRPr="008A1B2C">
        <w:rPr>
          <w:rFonts w:ascii="Arial" w:hAnsi="Arial" w:cs="Arial"/>
          <w:b/>
        </w:rPr>
        <w:t>Fig</w:t>
      </w:r>
      <w:r w:rsidRPr="008A1B2C">
        <w:rPr>
          <w:rFonts w:ascii="Arial" w:hAnsi="Arial" w:cs="Arial" w:hint="eastAsia"/>
          <w:b/>
        </w:rPr>
        <w:t>ure</w:t>
      </w:r>
      <w:r w:rsidRPr="008A1B2C">
        <w:rPr>
          <w:rFonts w:ascii="Arial" w:hAnsi="Arial" w:cs="Arial"/>
          <w:b/>
        </w:rPr>
        <w:t xml:space="preserve"> </w:t>
      </w:r>
      <w:r w:rsidRPr="008A1B2C">
        <w:rPr>
          <w:rFonts w:ascii="Arial" w:hAnsi="Arial" w:cs="Arial" w:hint="eastAsia"/>
          <w:b/>
        </w:rPr>
        <w:t>S1</w:t>
      </w:r>
      <w:r w:rsidRPr="008A1B2C">
        <w:rPr>
          <w:rFonts w:ascii="Arial" w:hAnsi="Arial" w:cs="Arial"/>
        </w:rPr>
        <w:t xml:space="preserve"> In vitro colloidal stability of </w:t>
      </w:r>
      <w:r w:rsidRPr="008A1B2C">
        <w:rPr>
          <w:rFonts w:ascii="Arial" w:hAnsi="Arial" w:cs="Arial" w:hint="eastAsia"/>
        </w:rPr>
        <w:t xml:space="preserve">the concentrated </w:t>
      </w:r>
      <w:proofErr w:type="spellStart"/>
      <w:r w:rsidRPr="008A1B2C">
        <w:rPr>
          <w:rFonts w:ascii="Arial" w:hAnsi="Arial" w:cs="Arial" w:hint="eastAsia"/>
        </w:rPr>
        <w:t>AmB</w:t>
      </w:r>
      <w:proofErr w:type="spellEnd"/>
      <w:r w:rsidRPr="008A1B2C">
        <w:rPr>
          <w:rFonts w:ascii="Arial" w:hAnsi="Arial" w:cs="Arial" w:hint="eastAsia"/>
        </w:rPr>
        <w:t xml:space="preserve"> </w:t>
      </w:r>
      <w:proofErr w:type="spellStart"/>
      <w:r w:rsidRPr="008A1B2C">
        <w:rPr>
          <w:rFonts w:ascii="Arial" w:hAnsi="Arial" w:cs="Arial"/>
        </w:rPr>
        <w:t>nanodispersions</w:t>
      </w:r>
      <w:proofErr w:type="spellEnd"/>
      <w:r w:rsidRPr="008A1B2C">
        <w:rPr>
          <w:rFonts w:ascii="Arial" w:hAnsi="Arial" w:cs="Arial"/>
        </w:rPr>
        <w:t xml:space="preserve">. </w:t>
      </w:r>
      <w:r w:rsidRPr="008A1B2C">
        <w:rPr>
          <w:rFonts w:ascii="Arial" w:hAnsi="Arial" w:cs="Arial" w:hint="eastAsia"/>
        </w:rPr>
        <w:t xml:space="preserve">(A) </w:t>
      </w:r>
      <w:r w:rsidRPr="008A1B2C">
        <w:rPr>
          <w:rFonts w:ascii="Arial" w:hAnsi="Arial" w:cs="Arial"/>
        </w:rPr>
        <w:t>Schematic illustration of the measurement process</w:t>
      </w:r>
      <w:r w:rsidRPr="008A1B2C">
        <w:rPr>
          <w:rFonts w:ascii="Arial" w:hAnsi="Arial" w:cs="Arial" w:hint="eastAsia"/>
        </w:rPr>
        <w:t xml:space="preserve">. </w:t>
      </w:r>
      <w:r w:rsidRPr="008A1B2C">
        <w:rPr>
          <w:rFonts w:ascii="Arial" w:hAnsi="Arial" w:cs="Arial"/>
        </w:rPr>
        <w:t xml:space="preserve">Variations of transmission profiles (ΔT) and TSI of </w:t>
      </w:r>
      <w:proofErr w:type="spellStart"/>
      <w:r w:rsidRPr="008A1B2C">
        <w:rPr>
          <w:rFonts w:ascii="Arial" w:hAnsi="Arial" w:cs="Arial"/>
        </w:rPr>
        <w:t>AmB</w:t>
      </w:r>
      <w:proofErr w:type="spellEnd"/>
      <w:r w:rsidRPr="008A1B2C">
        <w:rPr>
          <w:rFonts w:ascii="Arial" w:hAnsi="Arial" w:cs="Arial"/>
        </w:rPr>
        <w:t>-CSC</w:t>
      </w:r>
      <w:r w:rsidRPr="008A1B2C">
        <w:rPr>
          <w:rFonts w:ascii="Arial" w:hAnsi="Arial" w:cs="Arial" w:hint="eastAsia"/>
        </w:rPr>
        <w:t xml:space="preserve"> (B and C) and</w:t>
      </w:r>
      <w:r w:rsidRPr="008A1B2C">
        <w:rPr>
          <w:rFonts w:ascii="Arial" w:hAnsi="Arial" w:cs="Arial"/>
        </w:rPr>
        <w:t xml:space="preserve"> </w:t>
      </w:r>
      <w:proofErr w:type="spellStart"/>
      <w:r w:rsidRPr="008A1B2C">
        <w:rPr>
          <w:rFonts w:ascii="Arial" w:hAnsi="Arial" w:cs="Arial"/>
        </w:rPr>
        <w:t>AmB-Lipo</w:t>
      </w:r>
      <w:proofErr w:type="spellEnd"/>
      <w:r w:rsidRPr="008A1B2C">
        <w:rPr>
          <w:rFonts w:ascii="Arial" w:hAnsi="Arial" w:cs="Arial" w:hint="eastAsia"/>
        </w:rPr>
        <w:t xml:space="preserve"> (D and E)</w:t>
      </w:r>
      <w:r w:rsidRPr="008A1B2C">
        <w:rPr>
          <w:rFonts w:ascii="Arial" w:hAnsi="Arial" w:cs="Arial"/>
        </w:rPr>
        <w:t xml:space="preserve"> reconstituted in</w:t>
      </w:r>
      <w:r w:rsidRPr="008A1B2C">
        <w:rPr>
          <w:rFonts w:ascii="Arial" w:hAnsi="Arial" w:cs="Arial" w:hint="eastAsia"/>
        </w:rPr>
        <w:t xml:space="preserve"> sterile water </w:t>
      </w:r>
      <w:r w:rsidRPr="008A1B2C">
        <w:rPr>
          <w:rFonts w:ascii="Arial" w:hAnsi="Arial" w:cs="Arial"/>
        </w:rPr>
        <w:t xml:space="preserve">at </w:t>
      </w:r>
      <w:r w:rsidRPr="008A1B2C">
        <w:rPr>
          <w:rFonts w:ascii="Arial" w:hAnsi="Arial" w:cs="Arial" w:hint="eastAsia"/>
        </w:rPr>
        <w:t>24</w:t>
      </w:r>
      <w:r w:rsidRPr="008A1B2C">
        <w:rPr>
          <w:rFonts w:ascii="Arial" w:hAnsi="Arial" w:cs="Arial"/>
        </w:rPr>
        <w:t>°C for 24 h.</w:t>
      </w:r>
    </w:p>
    <w:p w:rsidR="00B70EEE" w:rsidRPr="00B70EEE" w:rsidRDefault="00B70EEE"/>
    <w:sectPr w:rsidR="00B70EEE" w:rsidRPr="00B70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4F" w:rsidRDefault="00D97B4F" w:rsidP="00B70EEE">
      <w:r>
        <w:separator/>
      </w:r>
    </w:p>
  </w:endnote>
  <w:endnote w:type="continuationSeparator" w:id="0">
    <w:p w:rsidR="00D97B4F" w:rsidRDefault="00D97B4F" w:rsidP="00B7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4F" w:rsidRDefault="00D97B4F" w:rsidP="00B70EEE">
      <w:r>
        <w:separator/>
      </w:r>
    </w:p>
  </w:footnote>
  <w:footnote w:type="continuationSeparator" w:id="0">
    <w:p w:rsidR="00D97B4F" w:rsidRDefault="00D97B4F" w:rsidP="00B70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7A"/>
    <w:rsid w:val="006E6A7A"/>
    <w:rsid w:val="00B70EEE"/>
    <w:rsid w:val="00D20632"/>
    <w:rsid w:val="00D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EEE"/>
    <w:rPr>
      <w:sz w:val="18"/>
      <w:szCs w:val="18"/>
    </w:rPr>
  </w:style>
  <w:style w:type="character" w:styleId="a5">
    <w:name w:val="Hyperlink"/>
    <w:basedOn w:val="a0"/>
    <w:uiPriority w:val="99"/>
    <w:unhideWhenUsed/>
    <w:rsid w:val="00B70EE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70E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0E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EEE"/>
    <w:rPr>
      <w:sz w:val="18"/>
      <w:szCs w:val="18"/>
    </w:rPr>
  </w:style>
  <w:style w:type="character" w:styleId="a5">
    <w:name w:val="Hyperlink"/>
    <w:basedOn w:val="a0"/>
    <w:uiPriority w:val="99"/>
    <w:unhideWhenUsed/>
    <w:rsid w:val="00B70EE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70E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0E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ylliu@imm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YeJun</dc:creator>
  <cp:keywords/>
  <dc:description/>
  <cp:lastModifiedBy>YeJun</cp:lastModifiedBy>
  <cp:revision>2</cp:revision>
  <dcterms:created xsi:type="dcterms:W3CDTF">2022-11-21T19:26:00Z</dcterms:created>
  <dcterms:modified xsi:type="dcterms:W3CDTF">2022-11-21T19:27:00Z</dcterms:modified>
</cp:coreProperties>
</file>