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86C" w:rsidRPr="00DD4FFA" w:rsidRDefault="000F186C" w:rsidP="000F186C">
      <w:pPr>
        <w:pStyle w:val="BodyText"/>
        <w:jc w:val="center"/>
        <w:rPr>
          <w:rFonts w:asciiTheme="majorHAnsi" w:hAnsiTheme="majorHAnsi"/>
          <w:b/>
          <w:bCs/>
          <w:sz w:val="28"/>
          <w:szCs w:val="28"/>
        </w:rPr>
      </w:pPr>
      <w:r w:rsidRPr="00DD4FFA">
        <w:rPr>
          <w:rFonts w:asciiTheme="majorHAnsi" w:hAnsiTheme="majorHAnsi"/>
          <w:b/>
          <w:bCs/>
          <w:sz w:val="28"/>
          <w:szCs w:val="28"/>
        </w:rPr>
        <w:t xml:space="preserve">Risk Factors for Hepatic Encephalopathy </w:t>
      </w:r>
    </w:p>
    <w:p w:rsidR="000F186C" w:rsidRPr="00DD4FFA" w:rsidRDefault="000F186C" w:rsidP="000F186C">
      <w:pPr>
        <w:pStyle w:val="BodyText"/>
        <w:jc w:val="center"/>
        <w:rPr>
          <w:rFonts w:asciiTheme="majorHAnsi" w:hAnsiTheme="majorHAnsi"/>
          <w:b/>
          <w:bCs/>
          <w:sz w:val="28"/>
          <w:szCs w:val="28"/>
        </w:rPr>
      </w:pPr>
      <w:r w:rsidRPr="00DD4FFA">
        <w:rPr>
          <w:rFonts w:asciiTheme="majorHAnsi" w:hAnsiTheme="majorHAnsi"/>
          <w:b/>
          <w:bCs/>
          <w:sz w:val="28"/>
          <w:szCs w:val="28"/>
        </w:rPr>
        <w:t xml:space="preserve">in Hepatocellular Carcinoma after Sorafenib or </w:t>
      </w:r>
      <w:proofErr w:type="spellStart"/>
      <w:r w:rsidRPr="00DD4FFA">
        <w:rPr>
          <w:rFonts w:asciiTheme="majorHAnsi" w:hAnsiTheme="majorHAnsi"/>
          <w:b/>
          <w:bCs/>
          <w:sz w:val="28"/>
          <w:szCs w:val="28"/>
        </w:rPr>
        <w:t>Lenvatinib</w:t>
      </w:r>
      <w:proofErr w:type="spellEnd"/>
      <w:r w:rsidRPr="00DD4FFA">
        <w:rPr>
          <w:rFonts w:asciiTheme="majorHAnsi" w:hAnsiTheme="majorHAnsi"/>
          <w:b/>
          <w:bCs/>
          <w:sz w:val="28"/>
          <w:szCs w:val="28"/>
        </w:rPr>
        <w:t xml:space="preserve"> Treatment: </w:t>
      </w:r>
    </w:p>
    <w:p w:rsidR="00643483" w:rsidRPr="00DD4FFA" w:rsidRDefault="000F186C" w:rsidP="000F186C">
      <w:pPr>
        <w:pStyle w:val="BodyText"/>
        <w:jc w:val="center"/>
        <w:rPr>
          <w:rFonts w:asciiTheme="majorHAnsi" w:hAnsiTheme="majorHAnsi"/>
          <w:b/>
          <w:bCs/>
          <w:sz w:val="28"/>
          <w:szCs w:val="28"/>
        </w:rPr>
      </w:pPr>
      <w:r w:rsidRPr="00DD4FFA">
        <w:rPr>
          <w:rFonts w:asciiTheme="majorHAnsi" w:hAnsiTheme="majorHAnsi"/>
          <w:b/>
          <w:bCs/>
          <w:sz w:val="28"/>
          <w:szCs w:val="28"/>
        </w:rPr>
        <w:t>A Real-World Study</w:t>
      </w:r>
    </w:p>
    <w:p w:rsidR="00643483" w:rsidRPr="00DD4FFA" w:rsidRDefault="00643483">
      <w:pPr>
        <w:pStyle w:val="BodyText"/>
        <w:spacing w:before="8"/>
        <w:rPr>
          <w:rFonts w:asciiTheme="majorHAnsi" w:hAnsiTheme="majorHAnsi"/>
          <w:b/>
          <w:sz w:val="25"/>
        </w:rPr>
      </w:pPr>
    </w:p>
    <w:p w:rsidR="00833344" w:rsidRDefault="00833344" w:rsidP="00833344">
      <w:pPr>
        <w:pStyle w:val="BodyText"/>
        <w:ind w:left="858"/>
        <w:rPr>
          <w:rFonts w:asciiTheme="majorHAnsi" w:hAnsiTheme="majorHAnsi"/>
        </w:rPr>
      </w:pPr>
      <w:r w:rsidRPr="00833344">
        <w:rPr>
          <w:rFonts w:asciiTheme="majorHAnsi" w:hAnsiTheme="majorHAnsi"/>
        </w:rPr>
        <w:t xml:space="preserve">1, Bowen Chen; 2, </w:t>
      </w:r>
      <w:proofErr w:type="spellStart"/>
      <w:r w:rsidRPr="00833344">
        <w:rPr>
          <w:rFonts w:asciiTheme="majorHAnsi" w:hAnsiTheme="majorHAnsi"/>
        </w:rPr>
        <w:t>Linzhi</w:t>
      </w:r>
      <w:proofErr w:type="spellEnd"/>
      <w:r w:rsidRPr="00833344">
        <w:rPr>
          <w:rFonts w:asciiTheme="majorHAnsi" w:hAnsiTheme="majorHAnsi"/>
        </w:rPr>
        <w:t xml:space="preserve"> Zhang; 3, </w:t>
      </w:r>
      <w:proofErr w:type="spellStart"/>
      <w:r w:rsidRPr="00833344">
        <w:rPr>
          <w:rFonts w:asciiTheme="majorHAnsi" w:hAnsiTheme="majorHAnsi"/>
        </w:rPr>
        <w:t>Jiamin</w:t>
      </w:r>
      <w:proofErr w:type="spellEnd"/>
      <w:r w:rsidRPr="00833344">
        <w:rPr>
          <w:rFonts w:asciiTheme="majorHAnsi" w:hAnsiTheme="majorHAnsi"/>
        </w:rPr>
        <w:t xml:space="preserve"> Cheng; 4, Tong Wu; 5, </w:t>
      </w:r>
      <w:proofErr w:type="spellStart"/>
      <w:r w:rsidRPr="00833344">
        <w:rPr>
          <w:rFonts w:asciiTheme="majorHAnsi" w:hAnsiTheme="majorHAnsi"/>
        </w:rPr>
        <w:t>Jin</w:t>
      </w:r>
      <w:proofErr w:type="spellEnd"/>
      <w:r w:rsidRPr="00833344">
        <w:rPr>
          <w:rFonts w:asciiTheme="majorHAnsi" w:hAnsiTheme="majorHAnsi"/>
        </w:rPr>
        <w:t xml:space="preserve"> Lei; </w:t>
      </w:r>
    </w:p>
    <w:p w:rsidR="00643483" w:rsidRPr="00833344" w:rsidRDefault="00833344" w:rsidP="00833344">
      <w:pPr>
        <w:pStyle w:val="BodyText"/>
        <w:ind w:left="858"/>
        <w:rPr>
          <w:rFonts w:asciiTheme="majorHAnsi" w:hAnsiTheme="majorHAnsi"/>
        </w:rPr>
      </w:pPr>
      <w:r w:rsidRPr="00833344">
        <w:rPr>
          <w:rFonts w:asciiTheme="majorHAnsi" w:hAnsiTheme="majorHAnsi"/>
        </w:rPr>
        <w:t xml:space="preserve">6, Xu Yang; 7, </w:t>
      </w:r>
      <w:proofErr w:type="spellStart"/>
      <w:r w:rsidRPr="00833344">
        <w:rPr>
          <w:rFonts w:asciiTheme="majorHAnsi" w:hAnsiTheme="majorHAnsi"/>
        </w:rPr>
        <w:t>Rongling</w:t>
      </w:r>
      <w:proofErr w:type="spellEnd"/>
      <w:r w:rsidRPr="00833344">
        <w:rPr>
          <w:rFonts w:asciiTheme="majorHAnsi" w:hAnsiTheme="majorHAnsi"/>
        </w:rPr>
        <w:t xml:space="preserve"> </w:t>
      </w:r>
      <w:bookmarkStart w:id="0" w:name="_GoBack"/>
      <w:bookmarkEnd w:id="0"/>
      <w:r w:rsidRPr="00833344">
        <w:rPr>
          <w:rFonts w:asciiTheme="majorHAnsi" w:hAnsiTheme="majorHAnsi"/>
        </w:rPr>
        <w:t xml:space="preserve">Zhang; 8, </w:t>
      </w:r>
      <w:proofErr w:type="spellStart"/>
      <w:r w:rsidRPr="00833344">
        <w:rPr>
          <w:rFonts w:asciiTheme="majorHAnsi" w:hAnsiTheme="majorHAnsi"/>
        </w:rPr>
        <w:t>Rifaat</w:t>
      </w:r>
      <w:proofErr w:type="spellEnd"/>
      <w:r w:rsidRPr="00833344">
        <w:rPr>
          <w:rFonts w:asciiTheme="majorHAnsi" w:hAnsiTheme="majorHAnsi"/>
        </w:rPr>
        <w:t xml:space="preserve"> Safadi; </w:t>
      </w:r>
      <w:proofErr w:type="gramStart"/>
      <w:r w:rsidRPr="00833344">
        <w:rPr>
          <w:rFonts w:asciiTheme="majorHAnsi" w:hAnsiTheme="majorHAnsi"/>
        </w:rPr>
        <w:t>9,Yinyin</w:t>
      </w:r>
      <w:proofErr w:type="gramEnd"/>
      <w:r w:rsidRPr="00833344">
        <w:rPr>
          <w:rFonts w:asciiTheme="majorHAnsi" w:hAnsiTheme="majorHAnsi"/>
        </w:rPr>
        <w:t xml:space="preserve"> Li; 10, </w:t>
      </w:r>
      <w:proofErr w:type="spellStart"/>
      <w:r w:rsidRPr="00833344">
        <w:rPr>
          <w:rFonts w:asciiTheme="majorHAnsi" w:hAnsiTheme="majorHAnsi"/>
        </w:rPr>
        <w:t>Tongguo</w:t>
      </w:r>
      <w:proofErr w:type="spellEnd"/>
      <w:r w:rsidRPr="00833344">
        <w:rPr>
          <w:rFonts w:asciiTheme="majorHAnsi" w:hAnsiTheme="majorHAnsi"/>
        </w:rPr>
        <w:t xml:space="preserve"> Si; 11, </w:t>
      </w:r>
      <w:proofErr w:type="spellStart"/>
      <w:r w:rsidRPr="00833344">
        <w:rPr>
          <w:rFonts w:asciiTheme="majorHAnsi" w:hAnsiTheme="majorHAnsi"/>
        </w:rPr>
        <w:t>Yinying</w:t>
      </w:r>
      <w:proofErr w:type="spellEnd"/>
      <w:r w:rsidRPr="00833344">
        <w:rPr>
          <w:rFonts w:asciiTheme="majorHAnsi" w:hAnsiTheme="majorHAnsi"/>
        </w:rPr>
        <w:t xml:space="preserve"> Lu</w:t>
      </w:r>
    </w:p>
    <w:p w:rsidR="00643483" w:rsidRPr="00DD4FFA" w:rsidRDefault="00643483">
      <w:pPr>
        <w:pStyle w:val="BodyText"/>
        <w:spacing w:before="11"/>
        <w:rPr>
          <w:rFonts w:asciiTheme="majorHAnsi" w:hAnsiTheme="majorHAnsi"/>
          <w:sz w:val="21"/>
        </w:rPr>
      </w:pPr>
    </w:p>
    <w:p w:rsidR="00643483" w:rsidRPr="00DD4FFA" w:rsidRDefault="00BA53AF">
      <w:pPr>
        <w:pStyle w:val="BodyText"/>
        <w:ind w:left="858"/>
        <w:rPr>
          <w:rFonts w:asciiTheme="majorHAnsi" w:hAnsiTheme="majorHAnsi"/>
        </w:rPr>
      </w:pPr>
      <w:r w:rsidRPr="00DD4FFA">
        <w:rPr>
          <w:rFonts w:asciiTheme="majorHAnsi" w:hAnsiTheme="majorHAnsi"/>
        </w:rPr>
        <w:t>Table of contents</w:t>
      </w:r>
    </w:p>
    <w:sdt>
      <w:sdtPr>
        <w:rPr>
          <w:rFonts w:asciiTheme="majorHAnsi" w:hAnsiTheme="majorHAnsi"/>
        </w:rPr>
        <w:id w:val="1505394492"/>
        <w:docPartObj>
          <w:docPartGallery w:val="Table of Contents"/>
          <w:docPartUnique/>
        </w:docPartObj>
      </w:sdtPr>
      <w:sdtEndPr/>
      <w:sdtContent>
        <w:p w:rsidR="00643483" w:rsidRPr="00DD4FFA" w:rsidRDefault="00BA53AF" w:rsidP="00BA53AF">
          <w:pPr>
            <w:pStyle w:val="TOC1"/>
            <w:tabs>
              <w:tab w:val="right" w:leader="dot" w:pos="9886"/>
            </w:tabs>
            <w:spacing w:before="267"/>
            <w:ind w:left="0" w:firstLine="858"/>
            <w:rPr>
              <w:rFonts w:asciiTheme="majorHAnsi" w:hAnsiTheme="majorHAnsi"/>
            </w:rPr>
          </w:pPr>
          <w:r w:rsidRPr="00DD4FFA">
            <w:rPr>
              <w:rFonts w:asciiTheme="majorHAnsi" w:hAnsiTheme="majorHAnsi"/>
            </w:rPr>
            <w:t>Fig. S1</w:t>
          </w:r>
          <w:r w:rsidRPr="00DD4FFA">
            <w:rPr>
              <w:rFonts w:asciiTheme="majorHAnsi" w:hAnsiTheme="majorHAnsi"/>
            </w:rPr>
            <w:tab/>
          </w:r>
          <w:r w:rsidR="009C02A9" w:rsidRPr="00DD4FFA">
            <w:rPr>
              <w:rFonts w:asciiTheme="majorHAnsi" w:hAnsiTheme="majorHAnsi"/>
            </w:rPr>
            <w:t>2</w:t>
          </w:r>
        </w:p>
        <w:p w:rsidR="00643483" w:rsidRPr="00DD4FFA" w:rsidRDefault="00BA53AF">
          <w:pPr>
            <w:pStyle w:val="TOC1"/>
            <w:tabs>
              <w:tab w:val="right" w:leader="dot" w:pos="9888"/>
            </w:tabs>
            <w:rPr>
              <w:rFonts w:asciiTheme="majorHAnsi" w:hAnsiTheme="majorHAnsi"/>
            </w:rPr>
          </w:pPr>
          <w:r w:rsidRPr="00DD4FFA">
            <w:rPr>
              <w:rFonts w:asciiTheme="majorHAnsi" w:hAnsiTheme="majorHAnsi"/>
            </w:rPr>
            <w:t>Table S1</w:t>
          </w:r>
          <w:r w:rsidRPr="00DD4FFA">
            <w:rPr>
              <w:rFonts w:asciiTheme="majorHAnsi" w:hAnsiTheme="majorHAnsi"/>
            </w:rPr>
            <w:tab/>
          </w:r>
          <w:r w:rsidR="002D5EEE" w:rsidRPr="00DD4FFA">
            <w:rPr>
              <w:rFonts w:asciiTheme="majorHAnsi" w:hAnsiTheme="majorHAnsi"/>
            </w:rPr>
            <w:t>3</w:t>
          </w:r>
        </w:p>
        <w:p w:rsidR="00643483" w:rsidRPr="00DD4FFA" w:rsidRDefault="00BA53AF">
          <w:pPr>
            <w:pStyle w:val="TOC1"/>
            <w:tabs>
              <w:tab w:val="right" w:leader="dot" w:pos="9887"/>
            </w:tabs>
            <w:rPr>
              <w:rFonts w:asciiTheme="majorHAnsi" w:hAnsiTheme="majorHAnsi"/>
            </w:rPr>
          </w:pPr>
          <w:r w:rsidRPr="00DD4FFA">
            <w:rPr>
              <w:rFonts w:asciiTheme="majorHAnsi" w:hAnsiTheme="majorHAnsi"/>
            </w:rPr>
            <w:t>Table S2</w:t>
          </w:r>
          <w:r w:rsidRPr="00DD4FFA">
            <w:rPr>
              <w:rFonts w:asciiTheme="majorHAnsi" w:hAnsiTheme="majorHAnsi"/>
            </w:rPr>
            <w:tab/>
          </w:r>
          <w:r w:rsidR="002D5EEE" w:rsidRPr="00DD4FFA">
            <w:rPr>
              <w:rFonts w:asciiTheme="majorHAnsi" w:hAnsiTheme="majorHAnsi"/>
            </w:rPr>
            <w:t>4</w:t>
          </w:r>
        </w:p>
        <w:p w:rsidR="00643483" w:rsidRDefault="00BA53AF">
          <w:pPr>
            <w:pStyle w:val="TOC1"/>
            <w:tabs>
              <w:tab w:val="right" w:leader="dot" w:pos="9887"/>
            </w:tabs>
            <w:spacing w:before="277"/>
            <w:rPr>
              <w:rFonts w:asciiTheme="majorHAnsi" w:hAnsiTheme="majorHAnsi"/>
            </w:rPr>
          </w:pPr>
          <w:r w:rsidRPr="00DD4FFA">
            <w:rPr>
              <w:rFonts w:asciiTheme="majorHAnsi" w:hAnsiTheme="majorHAnsi"/>
            </w:rPr>
            <w:t>Table S3</w:t>
          </w:r>
          <w:r w:rsidRPr="00DD4FFA">
            <w:rPr>
              <w:rFonts w:asciiTheme="majorHAnsi" w:hAnsiTheme="majorHAnsi"/>
            </w:rPr>
            <w:tab/>
          </w:r>
          <w:r w:rsidR="002D5EEE" w:rsidRPr="00DD4FFA">
            <w:rPr>
              <w:rFonts w:asciiTheme="majorHAnsi" w:hAnsiTheme="majorHAnsi"/>
            </w:rPr>
            <w:t>4</w:t>
          </w:r>
        </w:p>
        <w:p w:rsidR="007A3FFF" w:rsidRPr="00DD4FFA" w:rsidRDefault="007A3FFF">
          <w:pPr>
            <w:pStyle w:val="TOC1"/>
            <w:tabs>
              <w:tab w:val="right" w:leader="dot" w:pos="9887"/>
            </w:tabs>
            <w:spacing w:before="277"/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t>Fig. S2</w:t>
          </w:r>
          <w:r w:rsidRPr="00DD4FFA">
            <w:rPr>
              <w:rFonts w:asciiTheme="majorHAnsi" w:hAnsiTheme="majorHAnsi"/>
            </w:rPr>
            <w:tab/>
          </w:r>
          <w:r>
            <w:rPr>
              <w:rFonts w:asciiTheme="majorHAnsi" w:hAnsiTheme="majorHAnsi"/>
            </w:rPr>
            <w:t>5</w:t>
          </w:r>
        </w:p>
        <w:p w:rsidR="00287BBB" w:rsidRPr="00DD4FFA" w:rsidRDefault="005011B8" w:rsidP="00287BBB">
          <w:pPr>
            <w:pStyle w:val="TOC1"/>
            <w:tabs>
              <w:tab w:val="right" w:leader="dot" w:pos="9887"/>
            </w:tabs>
            <w:rPr>
              <w:rFonts w:asciiTheme="majorHAnsi" w:hAnsiTheme="majorHAnsi"/>
            </w:rPr>
          </w:pPr>
        </w:p>
      </w:sdtContent>
    </w:sdt>
    <w:p w:rsidR="00643483" w:rsidRPr="00DD4FFA" w:rsidRDefault="00643483">
      <w:pPr>
        <w:rPr>
          <w:rFonts w:asciiTheme="majorHAnsi" w:hAnsiTheme="majorHAnsi"/>
        </w:rPr>
        <w:sectPr w:rsidR="00643483" w:rsidRPr="00DD4FFA">
          <w:headerReference w:type="default" r:id="rId6"/>
          <w:footerReference w:type="default" r:id="rId7"/>
          <w:type w:val="continuous"/>
          <w:pgSz w:w="11900" w:h="16820"/>
          <w:pgMar w:top="1320" w:right="160" w:bottom="280" w:left="560" w:header="720" w:footer="720" w:gutter="0"/>
          <w:pgNumType w:start="1"/>
          <w:cols w:space="720"/>
        </w:sectPr>
      </w:pPr>
    </w:p>
    <w:p w:rsidR="00643483" w:rsidRPr="00DD4FFA" w:rsidRDefault="00A97283">
      <w:pPr>
        <w:pStyle w:val="BodyText"/>
        <w:spacing w:before="7"/>
        <w:rPr>
          <w:rFonts w:asciiTheme="majorHAnsi" w:hAnsiTheme="majorHAnsi"/>
          <w:sz w:val="17"/>
        </w:rPr>
      </w:pPr>
      <w:r w:rsidRPr="00DD4FFA">
        <w:rPr>
          <w:rFonts w:asciiTheme="majorHAnsi" w:hAnsiTheme="majorHAnsi"/>
          <w:noProof/>
        </w:rPr>
        <w:lastRenderedPageBreak/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354932</wp:posOffset>
            </wp:positionH>
            <wp:positionV relativeFrom="paragraph">
              <wp:posOffset>257409</wp:posOffset>
            </wp:positionV>
            <wp:extent cx="5099050" cy="337058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050" cy="337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43483" w:rsidRPr="00DD4FFA" w:rsidRDefault="00643483">
      <w:pPr>
        <w:rPr>
          <w:rFonts w:asciiTheme="majorHAnsi" w:eastAsiaTheme="minorEastAsia" w:hAnsiTheme="majorHAnsi"/>
          <w:sz w:val="17"/>
          <w:lang w:eastAsia="zh-CN"/>
        </w:rPr>
      </w:pPr>
    </w:p>
    <w:p w:rsidR="00595C7A" w:rsidRPr="00DD4FFA" w:rsidRDefault="00595C7A" w:rsidP="00595C7A">
      <w:pPr>
        <w:pStyle w:val="BodyText"/>
        <w:spacing w:before="82"/>
        <w:ind w:right="1525"/>
        <w:rPr>
          <w:rFonts w:asciiTheme="majorHAnsi" w:hAnsiTheme="majorHAnsi"/>
          <w:b/>
        </w:rPr>
      </w:pPr>
      <w:r w:rsidRPr="00DD4FFA">
        <w:rPr>
          <w:rFonts w:asciiTheme="majorHAnsi" w:hAnsiTheme="majorHAnsi"/>
          <w:b/>
        </w:rPr>
        <w:t>Fig. S1. Receiver Operating Characteristic (ROC) curves for Exploring Best Cut-off Value in Predicting Hepatic Encephalopathy Model.</w:t>
      </w:r>
    </w:p>
    <w:p w:rsidR="00643483" w:rsidRPr="00DD4FFA" w:rsidRDefault="00A97283" w:rsidP="00A97283">
      <w:pPr>
        <w:pStyle w:val="BodyText"/>
        <w:spacing w:before="83"/>
        <w:ind w:right="1457"/>
        <w:rPr>
          <w:rFonts w:asciiTheme="majorHAnsi" w:hAnsiTheme="majorHAnsi"/>
          <w:sz w:val="15"/>
        </w:rPr>
        <w:sectPr w:rsidR="00643483" w:rsidRPr="00DD4FFA">
          <w:pgSz w:w="11900" w:h="16820"/>
          <w:pgMar w:top="1320" w:right="160" w:bottom="280" w:left="560" w:header="720" w:footer="0" w:gutter="0"/>
          <w:cols w:space="720"/>
        </w:sectPr>
      </w:pPr>
      <w:r w:rsidRPr="00DD4FFA">
        <w:rPr>
          <w:rFonts w:asciiTheme="majorHAnsi" w:hAnsiTheme="majorHAnsi"/>
        </w:rPr>
        <w:t>Abbreviations in this figure: TBA: total bile acid; CTP: Child-Pugh; DOT: duration of treatment.</w:t>
      </w:r>
    </w:p>
    <w:p w:rsidR="002D5EEE" w:rsidRPr="00DD4FFA" w:rsidRDefault="00BA53AF" w:rsidP="002D5EEE">
      <w:pPr>
        <w:pStyle w:val="BodyText"/>
        <w:spacing w:before="83"/>
        <w:ind w:left="858" w:right="1457"/>
        <w:rPr>
          <w:rFonts w:asciiTheme="majorHAnsi" w:hAnsiTheme="majorHAnsi"/>
          <w:b/>
        </w:rPr>
      </w:pPr>
      <w:r w:rsidRPr="00DD4FFA">
        <w:rPr>
          <w:rFonts w:asciiTheme="majorHAnsi" w:hAnsiTheme="majorHAnsi"/>
          <w:b/>
        </w:rPr>
        <w:lastRenderedPageBreak/>
        <w:t xml:space="preserve">Table S1. </w:t>
      </w:r>
      <w:r w:rsidR="008B6B84">
        <w:rPr>
          <w:rFonts w:asciiTheme="majorHAnsi" w:hAnsiTheme="majorHAnsi"/>
          <w:b/>
        </w:rPr>
        <w:t>Clinical Outcomes</w:t>
      </w:r>
      <w:r w:rsidR="00544CED" w:rsidRPr="00DD4FFA">
        <w:rPr>
          <w:rFonts w:asciiTheme="majorHAnsi" w:hAnsiTheme="majorHAnsi"/>
          <w:b/>
        </w:rPr>
        <w:t xml:space="preserve"> of </w:t>
      </w:r>
      <w:r w:rsidR="006D403C">
        <w:rPr>
          <w:rFonts w:asciiTheme="majorHAnsi" w:hAnsiTheme="majorHAnsi"/>
          <w:b/>
        </w:rPr>
        <w:t>Patients</w:t>
      </w:r>
      <w:r w:rsidR="00544CED" w:rsidRPr="00DD4FFA">
        <w:rPr>
          <w:rFonts w:asciiTheme="majorHAnsi" w:hAnsiTheme="majorHAnsi"/>
          <w:b/>
        </w:rPr>
        <w:t>.</w:t>
      </w:r>
    </w:p>
    <w:p w:rsidR="002D5EEE" w:rsidRPr="00DD4FFA" w:rsidRDefault="002D5EEE" w:rsidP="002D5EEE">
      <w:pPr>
        <w:pStyle w:val="BodyText"/>
        <w:spacing w:before="83"/>
        <w:ind w:left="858" w:right="1457"/>
        <w:rPr>
          <w:rFonts w:asciiTheme="majorHAnsi" w:hAnsiTheme="majorHAnsi"/>
          <w:b/>
        </w:rPr>
      </w:pPr>
    </w:p>
    <w:tbl>
      <w:tblPr>
        <w:tblW w:w="9420" w:type="dxa"/>
        <w:tblInd w:w="108" w:type="dxa"/>
        <w:tblLook w:val="04A0" w:firstRow="1" w:lastRow="0" w:firstColumn="1" w:lastColumn="0" w:noHBand="0" w:noVBand="1"/>
      </w:tblPr>
      <w:tblGrid>
        <w:gridCol w:w="4160"/>
        <w:gridCol w:w="2760"/>
        <w:gridCol w:w="2500"/>
      </w:tblGrid>
      <w:tr w:rsidR="00544CED" w:rsidRPr="00DD4FFA" w:rsidTr="00544CED">
        <w:trPr>
          <w:trHeight w:val="323"/>
        </w:trPr>
        <w:tc>
          <w:tcPr>
            <w:tcW w:w="4160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44CED" w:rsidRPr="00DD4FFA" w:rsidRDefault="00544CED" w:rsidP="00544C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  <w:lang w:eastAsia="zh-CN" w:bidi="ar-SA"/>
              </w:rPr>
              <w:t>Variables</w:t>
            </w:r>
          </w:p>
        </w:tc>
        <w:tc>
          <w:tcPr>
            <w:tcW w:w="27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4CED" w:rsidRPr="00DD4FFA" w:rsidRDefault="00544CED" w:rsidP="00544C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  <w:lang w:eastAsia="zh-CN" w:bidi="ar-SA"/>
              </w:rPr>
              <w:t>Sorafenib Group</w:t>
            </w:r>
          </w:p>
        </w:tc>
        <w:tc>
          <w:tcPr>
            <w:tcW w:w="25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4CED" w:rsidRPr="00DD4FFA" w:rsidRDefault="00544CED" w:rsidP="00544C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  <w:lang w:eastAsia="zh-CN" w:bidi="ar-SA"/>
              </w:rPr>
            </w:pPr>
            <w:proofErr w:type="spellStart"/>
            <w:r w:rsidRPr="00DD4FFA"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  <w:lang w:eastAsia="zh-CN" w:bidi="ar-SA"/>
              </w:rPr>
              <w:t>Lenvatinib</w:t>
            </w:r>
            <w:proofErr w:type="spellEnd"/>
            <w:r w:rsidRPr="00DD4FFA"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  <w:lang w:eastAsia="zh-CN" w:bidi="ar-SA"/>
              </w:rPr>
              <w:t xml:space="preserve"> Group</w:t>
            </w:r>
          </w:p>
        </w:tc>
      </w:tr>
      <w:tr w:rsidR="00544CED" w:rsidRPr="00DD4FFA" w:rsidTr="00544CED">
        <w:trPr>
          <w:trHeight w:val="323"/>
        </w:trPr>
        <w:tc>
          <w:tcPr>
            <w:tcW w:w="4160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544CED" w:rsidRPr="00DD4FFA" w:rsidRDefault="00544CED" w:rsidP="00544CED">
            <w:pPr>
              <w:widowControl/>
              <w:autoSpaceDE/>
              <w:autoSpaceDN/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44CED" w:rsidRPr="00DD4FFA" w:rsidRDefault="00544CED" w:rsidP="00544C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  <w:lang w:eastAsia="zh-CN" w:bidi="ar-SA"/>
              </w:rPr>
              <w:t>(n = 214, %)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44CED" w:rsidRPr="00DD4FFA" w:rsidRDefault="00544CED" w:rsidP="00544C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  <w:lang w:eastAsia="zh-CN" w:bidi="ar-SA"/>
              </w:rPr>
              <w:t>(n = 240, %)</w:t>
            </w:r>
          </w:p>
        </w:tc>
      </w:tr>
      <w:tr w:rsidR="00544CED" w:rsidRPr="00DD4FFA" w:rsidTr="00544CED">
        <w:trPr>
          <w:trHeight w:val="323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CED" w:rsidRPr="00DD4FFA" w:rsidRDefault="00544CED" w:rsidP="00544C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Reasons for Treatment Discontinuation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CED" w:rsidRPr="00DD4FFA" w:rsidRDefault="00544CED" w:rsidP="00544C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CED" w:rsidRPr="00DD4FFA" w:rsidRDefault="00544CED" w:rsidP="00544C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sz w:val="20"/>
                <w:szCs w:val="20"/>
                <w:lang w:eastAsia="zh-CN" w:bidi="ar-SA"/>
              </w:rPr>
            </w:pPr>
          </w:p>
        </w:tc>
      </w:tr>
      <w:tr w:rsidR="00544CED" w:rsidRPr="00DD4FFA" w:rsidTr="00544CED">
        <w:trPr>
          <w:trHeight w:val="31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CED" w:rsidRPr="00DD4FFA" w:rsidRDefault="00544CED" w:rsidP="00544C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 xml:space="preserve">  Progression of Disease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CED" w:rsidRPr="00DD4FFA" w:rsidRDefault="00544CED" w:rsidP="00544C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166 (77.6%)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CED" w:rsidRPr="00DD4FFA" w:rsidRDefault="00544CED" w:rsidP="00544C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161 (67.1%)</w:t>
            </w:r>
          </w:p>
        </w:tc>
      </w:tr>
      <w:tr w:rsidR="00544CED" w:rsidRPr="00DD4FFA" w:rsidTr="00544CED">
        <w:trPr>
          <w:trHeight w:val="31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CED" w:rsidRPr="00DD4FFA" w:rsidRDefault="00544CED" w:rsidP="00544C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 xml:space="preserve">  Adverse Events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CED" w:rsidRPr="00DD4FFA" w:rsidRDefault="00544CED" w:rsidP="00544C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19 (8.9%)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CED" w:rsidRPr="00DD4FFA" w:rsidRDefault="00544CED" w:rsidP="00544C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50 (20.8%)</w:t>
            </w:r>
          </w:p>
        </w:tc>
      </w:tr>
      <w:tr w:rsidR="00544CED" w:rsidRPr="00DD4FFA" w:rsidTr="00544CED">
        <w:trPr>
          <w:trHeight w:val="31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CED" w:rsidRPr="00DD4FFA" w:rsidRDefault="00544CED" w:rsidP="00544C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 xml:space="preserve">  Rupture of Tumor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CED" w:rsidRPr="00DD4FFA" w:rsidRDefault="00544CED" w:rsidP="00544C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2 (0.9%)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CED" w:rsidRPr="00DD4FFA" w:rsidRDefault="00544CED" w:rsidP="00544C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4 (1.7%)</w:t>
            </w:r>
          </w:p>
        </w:tc>
      </w:tr>
      <w:tr w:rsidR="00544CED" w:rsidRPr="00DD4FFA" w:rsidTr="00544CED">
        <w:trPr>
          <w:trHeight w:val="31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CED" w:rsidRPr="00DD4FFA" w:rsidRDefault="00544CED" w:rsidP="00544C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 xml:space="preserve">  Conversion Therapy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CED" w:rsidRPr="00DD4FFA" w:rsidRDefault="00544CED" w:rsidP="00544C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4 (1.9%)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CED" w:rsidRPr="00DD4FFA" w:rsidRDefault="00544CED" w:rsidP="00544C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7 (2.9%)</w:t>
            </w:r>
          </w:p>
        </w:tc>
      </w:tr>
      <w:tr w:rsidR="00544CED" w:rsidRPr="00DD4FFA" w:rsidTr="00544CED">
        <w:trPr>
          <w:trHeight w:val="31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CED" w:rsidRPr="00DD4FFA" w:rsidRDefault="00544CED" w:rsidP="00544C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 xml:space="preserve">  Other Reasons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CED" w:rsidRPr="00DD4FFA" w:rsidRDefault="00544CED" w:rsidP="00544C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3 (1.4%)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CED" w:rsidRPr="00DD4FFA" w:rsidRDefault="00544CED" w:rsidP="00544C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2 (0.8%)</w:t>
            </w:r>
          </w:p>
        </w:tc>
      </w:tr>
      <w:tr w:rsidR="00544CED" w:rsidRPr="00DD4FFA" w:rsidTr="00544CED">
        <w:trPr>
          <w:trHeight w:val="323"/>
        </w:trPr>
        <w:tc>
          <w:tcPr>
            <w:tcW w:w="4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44CED" w:rsidRPr="00DD4FFA" w:rsidRDefault="00544CED" w:rsidP="00544C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 xml:space="preserve">Combination of </w:t>
            </w:r>
            <w:r w:rsidR="00DF1B4B"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locor</w:t>
            </w: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egional Therapy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44CED" w:rsidRPr="00DD4FFA" w:rsidRDefault="00544CED" w:rsidP="00544C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127 (59.3%)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44CED" w:rsidRPr="00DD4FFA" w:rsidRDefault="00544CED" w:rsidP="00544C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168 (70.0%)</w:t>
            </w:r>
          </w:p>
        </w:tc>
      </w:tr>
    </w:tbl>
    <w:p w:rsidR="00544CED" w:rsidRPr="00DD4FFA" w:rsidRDefault="00544CED">
      <w:pPr>
        <w:rPr>
          <w:rFonts w:asciiTheme="majorHAnsi" w:hAnsiTheme="majorHAnsi"/>
          <w:sz w:val="24"/>
        </w:rPr>
        <w:sectPr w:rsidR="00544CED" w:rsidRPr="00DD4FFA">
          <w:pgSz w:w="11900" w:h="16820"/>
          <w:pgMar w:top="1320" w:right="160" w:bottom="280" w:left="560" w:header="720" w:footer="0" w:gutter="0"/>
          <w:cols w:space="720"/>
        </w:sectPr>
      </w:pPr>
    </w:p>
    <w:p w:rsidR="002D5EEE" w:rsidRPr="00DD4FFA" w:rsidRDefault="002D5EEE" w:rsidP="002D5EEE">
      <w:pPr>
        <w:spacing w:before="83"/>
        <w:rPr>
          <w:rFonts w:asciiTheme="majorHAnsi" w:hAnsiTheme="majorHAnsi"/>
          <w:b/>
          <w:sz w:val="24"/>
          <w:szCs w:val="24"/>
        </w:rPr>
      </w:pPr>
      <w:r w:rsidRPr="00DD4FFA">
        <w:rPr>
          <w:rFonts w:asciiTheme="majorHAnsi" w:hAnsiTheme="majorHAnsi"/>
          <w:b/>
          <w:sz w:val="24"/>
          <w:szCs w:val="24"/>
        </w:rPr>
        <w:lastRenderedPageBreak/>
        <w:t>Table S2. ROC Curves in Exploring Most Suitable Cut-Off Values.</w:t>
      </w:r>
    </w:p>
    <w:p w:rsidR="002D5EEE" w:rsidRPr="00DD4FFA" w:rsidRDefault="002D5EEE" w:rsidP="002D5EEE">
      <w:pPr>
        <w:rPr>
          <w:rFonts w:asciiTheme="majorHAnsi" w:hAnsiTheme="majorHAnsi"/>
          <w:sz w:val="24"/>
          <w:szCs w:val="24"/>
        </w:rPr>
      </w:pPr>
      <w:r w:rsidRPr="00DD4FFA">
        <w:rPr>
          <w:rFonts w:asciiTheme="majorHAnsi" w:hAnsiTheme="majorHAnsi"/>
          <w:sz w:val="24"/>
          <w:szCs w:val="24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34"/>
        <w:gridCol w:w="2608"/>
        <w:gridCol w:w="2275"/>
        <w:gridCol w:w="2275"/>
        <w:gridCol w:w="2716"/>
        <w:gridCol w:w="1928"/>
      </w:tblGrid>
      <w:tr w:rsidR="002D5EEE" w:rsidRPr="00DD4FFA" w:rsidTr="00694EAB">
        <w:trPr>
          <w:trHeight w:val="308"/>
        </w:trPr>
        <w:tc>
          <w:tcPr>
            <w:tcW w:w="36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spacing w:before="83"/>
              <w:rPr>
                <w:rFonts w:asciiTheme="majorHAnsi" w:hAnsiTheme="majorHAnsi"/>
                <w:b/>
                <w:sz w:val="24"/>
                <w:szCs w:val="24"/>
              </w:rPr>
            </w:pPr>
            <w:r w:rsidRPr="00DD4FFA"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Variables</w:t>
            </w:r>
          </w:p>
        </w:tc>
        <w:tc>
          <w:tcPr>
            <w:tcW w:w="26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spacing w:before="83"/>
              <w:rPr>
                <w:rFonts w:asciiTheme="majorHAnsi" w:hAnsiTheme="majorHAnsi"/>
                <w:b/>
                <w:sz w:val="24"/>
                <w:szCs w:val="24"/>
              </w:rPr>
            </w:pPr>
            <w:r w:rsidRPr="00DD4FFA">
              <w:rPr>
                <w:rFonts w:asciiTheme="majorHAnsi" w:hAnsiTheme="majorHAnsi"/>
                <w:b/>
                <w:sz w:val="24"/>
                <w:szCs w:val="24"/>
              </w:rPr>
              <w:t xml:space="preserve">      Cut-Off Value</w:t>
            </w:r>
          </w:p>
        </w:tc>
        <w:tc>
          <w:tcPr>
            <w:tcW w:w="22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spacing w:before="83"/>
              <w:rPr>
                <w:rFonts w:asciiTheme="majorHAnsi" w:hAnsiTheme="majorHAnsi"/>
                <w:b/>
                <w:sz w:val="24"/>
                <w:szCs w:val="24"/>
              </w:rPr>
            </w:pPr>
            <w:r w:rsidRPr="00DD4FFA">
              <w:rPr>
                <w:rFonts w:asciiTheme="majorHAnsi" w:hAnsiTheme="majorHAnsi"/>
                <w:b/>
                <w:sz w:val="24"/>
                <w:szCs w:val="24"/>
              </w:rPr>
              <w:t xml:space="preserve">       Sensitivity</w:t>
            </w:r>
          </w:p>
        </w:tc>
        <w:tc>
          <w:tcPr>
            <w:tcW w:w="22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spacing w:before="83"/>
              <w:rPr>
                <w:rFonts w:asciiTheme="majorHAnsi" w:hAnsiTheme="majorHAnsi"/>
                <w:b/>
                <w:sz w:val="24"/>
                <w:szCs w:val="24"/>
              </w:rPr>
            </w:pPr>
            <w:r w:rsidRPr="00DD4FFA">
              <w:rPr>
                <w:rFonts w:asciiTheme="majorHAnsi" w:hAnsiTheme="majorHAnsi"/>
                <w:b/>
                <w:sz w:val="24"/>
                <w:szCs w:val="24"/>
              </w:rPr>
              <w:t xml:space="preserve">      Specificity</w:t>
            </w:r>
          </w:p>
        </w:tc>
        <w:tc>
          <w:tcPr>
            <w:tcW w:w="271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spacing w:before="83"/>
              <w:rPr>
                <w:rFonts w:asciiTheme="majorHAnsi" w:hAnsiTheme="majorHAnsi"/>
                <w:b/>
                <w:sz w:val="24"/>
                <w:szCs w:val="24"/>
              </w:rPr>
            </w:pPr>
            <w:r w:rsidRPr="00DD4FFA">
              <w:rPr>
                <w:rFonts w:asciiTheme="majorHAnsi" w:hAnsiTheme="majorHAnsi"/>
                <w:b/>
                <w:sz w:val="24"/>
                <w:szCs w:val="24"/>
              </w:rPr>
              <w:t xml:space="preserve">       AUC (95%CI)</w:t>
            </w:r>
          </w:p>
        </w:tc>
        <w:tc>
          <w:tcPr>
            <w:tcW w:w="19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spacing w:before="83"/>
              <w:rPr>
                <w:rFonts w:asciiTheme="majorHAnsi" w:hAnsiTheme="majorHAnsi"/>
                <w:b/>
                <w:sz w:val="24"/>
                <w:szCs w:val="24"/>
              </w:rPr>
            </w:pPr>
            <w:r w:rsidRPr="00DD4FFA">
              <w:rPr>
                <w:rFonts w:asciiTheme="majorHAnsi" w:hAnsiTheme="majorHAnsi"/>
                <w:b/>
                <w:sz w:val="24"/>
                <w:szCs w:val="24"/>
              </w:rPr>
              <w:t xml:space="preserve">      P-value</w:t>
            </w:r>
          </w:p>
        </w:tc>
      </w:tr>
      <w:tr w:rsidR="002D5EEE" w:rsidRPr="00DD4FFA" w:rsidTr="00694EAB">
        <w:trPr>
          <w:trHeight w:val="308"/>
        </w:trPr>
        <w:tc>
          <w:tcPr>
            <w:tcW w:w="3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Ammonia (</w:t>
            </w:r>
            <w:proofErr w:type="spellStart"/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μmol</w:t>
            </w:r>
            <w:proofErr w:type="spellEnd"/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/L)</w:t>
            </w:r>
          </w:p>
        </w:tc>
        <w:tc>
          <w:tcPr>
            <w:tcW w:w="26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38.65</w:t>
            </w:r>
          </w:p>
        </w:tc>
        <w:tc>
          <w:tcPr>
            <w:tcW w:w="22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0.778</w:t>
            </w:r>
          </w:p>
        </w:tc>
        <w:tc>
          <w:tcPr>
            <w:tcW w:w="22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0.617</w:t>
            </w:r>
          </w:p>
        </w:tc>
        <w:tc>
          <w:tcPr>
            <w:tcW w:w="27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0.703 (0.607-0.799)</w:t>
            </w:r>
          </w:p>
        </w:tc>
        <w:tc>
          <w:tcPr>
            <w:tcW w:w="192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&lt;0.001</w:t>
            </w:r>
          </w:p>
        </w:tc>
      </w:tr>
      <w:tr w:rsidR="002D5EEE" w:rsidRPr="00DD4FFA" w:rsidTr="00694EAB">
        <w:trPr>
          <w:trHeight w:val="308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Total bile acid (</w:t>
            </w:r>
            <w:proofErr w:type="spellStart"/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μmol</w:t>
            </w:r>
            <w:proofErr w:type="spellEnd"/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/L)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29.5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0.639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0.861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0.755 (0.592-0.788)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&lt;0.001</w:t>
            </w:r>
          </w:p>
        </w:tc>
      </w:tr>
      <w:tr w:rsidR="002D5EEE" w:rsidRPr="00DD4FFA" w:rsidTr="00694EAB">
        <w:trPr>
          <w:trHeight w:val="308"/>
        </w:trPr>
        <w:tc>
          <w:tcPr>
            <w:tcW w:w="36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Child-Pugh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7.5</w:t>
            </w:r>
          </w:p>
        </w:tc>
        <w:tc>
          <w:tcPr>
            <w:tcW w:w="2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0.389</w:t>
            </w:r>
          </w:p>
        </w:tc>
        <w:tc>
          <w:tcPr>
            <w:tcW w:w="2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0.926</w:t>
            </w:r>
          </w:p>
        </w:tc>
        <w:tc>
          <w:tcPr>
            <w:tcW w:w="27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0.713 (0.624-0.802)</w:t>
            </w:r>
          </w:p>
        </w:tc>
        <w:tc>
          <w:tcPr>
            <w:tcW w:w="19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&lt;0.001</w:t>
            </w:r>
          </w:p>
        </w:tc>
      </w:tr>
      <w:tr w:rsidR="002D5EEE" w:rsidRPr="00DD4FFA" w:rsidTr="00694EAB">
        <w:trPr>
          <w:trHeight w:val="308"/>
        </w:trPr>
        <w:tc>
          <w:tcPr>
            <w:tcW w:w="3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Duration of Treatment (months)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5.6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0.75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0.572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0.641 (0.557-0.725)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0.005</w:t>
            </w:r>
          </w:p>
        </w:tc>
      </w:tr>
      <w:tr w:rsidR="002D5EEE" w:rsidRPr="00DD4FFA" w:rsidTr="00694EAB">
        <w:trPr>
          <w:trHeight w:val="308"/>
        </w:trPr>
        <w:tc>
          <w:tcPr>
            <w:tcW w:w="1543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Abbreviations in this table: ROC: receiver operating characteristic curve; AUC: area under curve; CI: confidence interval.</w:t>
            </w:r>
          </w:p>
        </w:tc>
      </w:tr>
    </w:tbl>
    <w:p w:rsidR="002D5EEE" w:rsidRPr="00DD4FFA" w:rsidRDefault="002D5EEE" w:rsidP="002D5EEE">
      <w:pPr>
        <w:rPr>
          <w:rFonts w:asciiTheme="majorHAnsi" w:hAnsiTheme="majorHAnsi"/>
          <w:sz w:val="24"/>
          <w:szCs w:val="24"/>
        </w:rPr>
      </w:pPr>
    </w:p>
    <w:p w:rsidR="002D5EEE" w:rsidRPr="00DD4FFA" w:rsidRDefault="002D5EEE" w:rsidP="002D5EEE">
      <w:pPr>
        <w:tabs>
          <w:tab w:val="left" w:pos="1468"/>
        </w:tabs>
        <w:rPr>
          <w:rFonts w:asciiTheme="majorHAnsi" w:hAnsiTheme="majorHAnsi"/>
          <w:sz w:val="24"/>
          <w:szCs w:val="24"/>
        </w:rPr>
      </w:pPr>
      <w:r w:rsidRPr="00DD4FFA">
        <w:rPr>
          <w:rFonts w:asciiTheme="majorHAnsi" w:hAnsiTheme="majorHAnsi"/>
          <w:sz w:val="24"/>
          <w:szCs w:val="24"/>
        </w:rPr>
        <w:tab/>
      </w:r>
    </w:p>
    <w:tbl>
      <w:tblPr>
        <w:tblW w:w="15552" w:type="dxa"/>
        <w:tblLayout w:type="fixed"/>
        <w:tblLook w:val="04A0" w:firstRow="1" w:lastRow="0" w:firstColumn="1" w:lastColumn="0" w:noHBand="0" w:noVBand="1"/>
      </w:tblPr>
      <w:tblGrid>
        <w:gridCol w:w="1728"/>
        <w:gridCol w:w="1620"/>
        <w:gridCol w:w="1836"/>
        <w:gridCol w:w="1044"/>
        <w:gridCol w:w="2160"/>
        <w:gridCol w:w="1751"/>
        <w:gridCol w:w="49"/>
        <w:gridCol w:w="1908"/>
        <w:gridCol w:w="864"/>
        <w:gridCol w:w="864"/>
        <w:gridCol w:w="1728"/>
      </w:tblGrid>
      <w:tr w:rsidR="002D5EEE" w:rsidRPr="00DD4FFA" w:rsidTr="00694EAB">
        <w:trPr>
          <w:gridAfter w:val="2"/>
          <w:wAfter w:w="2592" w:type="dxa"/>
          <w:trHeight w:val="308"/>
        </w:trPr>
        <w:tc>
          <w:tcPr>
            <w:tcW w:w="1296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lang w:eastAsia="zh-CN" w:bidi="ar-SA"/>
              </w:rPr>
            </w:pPr>
          </w:p>
          <w:p w:rsidR="002D5EEE" w:rsidRPr="00DD4FFA" w:rsidRDefault="002D5EEE" w:rsidP="00694EAB">
            <w:pPr>
              <w:widowControl/>
              <w:autoSpaceDE/>
              <w:autoSpaceDN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lang w:eastAsia="zh-CN" w:bidi="ar-SA"/>
              </w:rPr>
              <w:t xml:space="preserve"> Table S3: Dynamic Changes of Serum Total Bile Acid and Ammonia 4-12 Weeks after Initiation of Treatment.</w:t>
            </w:r>
          </w:p>
        </w:tc>
      </w:tr>
      <w:tr w:rsidR="002D5EEE" w:rsidRPr="00DD4FFA" w:rsidTr="00735C5C">
        <w:trPr>
          <w:trHeight w:val="1741"/>
        </w:trPr>
        <w:tc>
          <w:tcPr>
            <w:tcW w:w="172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log</w:t>
            </w: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vertAlign w:val="subscript"/>
                <w:lang w:eastAsia="zh-CN" w:bidi="ar-SA"/>
              </w:rPr>
              <w:t>2</w:t>
            </w: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(TBA) (</w:t>
            </w:r>
            <w:proofErr w:type="spellStart"/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μmol</w:t>
            </w:r>
            <w:proofErr w:type="spellEnd"/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/L)</w:t>
            </w: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br/>
              <w:t xml:space="preserve"> at baseline</w:t>
            </w:r>
          </w:p>
        </w:tc>
        <w:tc>
          <w:tcPr>
            <w:tcW w:w="18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log</w:t>
            </w: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vertAlign w:val="subscript"/>
                <w:lang w:eastAsia="zh-CN" w:bidi="ar-SA"/>
              </w:rPr>
              <w:t>2</w:t>
            </w: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(TBA) (</w:t>
            </w:r>
            <w:proofErr w:type="spellStart"/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μmol</w:t>
            </w:r>
            <w:proofErr w:type="spellEnd"/>
            <w:r w:rsidRPr="00DD4FFA">
              <w:rPr>
                <w:rFonts w:asciiTheme="majorHAnsi" w:eastAsia="Microsoft JhengHei" w:hAnsiTheme="majorHAnsi"/>
                <w:color w:val="000000"/>
                <w:sz w:val="24"/>
                <w:szCs w:val="24"/>
                <w:lang w:eastAsia="zh-CN" w:bidi="ar-SA"/>
              </w:rPr>
              <w:t>/</w:t>
            </w: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L</w:t>
            </w:r>
            <w:r w:rsidRPr="00DD4FFA">
              <w:rPr>
                <w:rFonts w:asciiTheme="majorHAnsi" w:eastAsia="Microsoft JhengHei" w:hAnsiTheme="majorHAnsi"/>
                <w:color w:val="000000"/>
                <w:sz w:val="24"/>
                <w:szCs w:val="24"/>
                <w:lang w:eastAsia="zh-CN" w:bidi="ar-SA"/>
              </w:rPr>
              <w:t>)</w:t>
            </w:r>
            <w:r w:rsidRPr="00DD4FFA">
              <w:rPr>
                <w:rFonts w:asciiTheme="majorHAnsi" w:eastAsia="Microsoft JhengHei" w:hAnsiTheme="majorHAnsi"/>
                <w:color w:val="000000"/>
                <w:sz w:val="24"/>
                <w:szCs w:val="24"/>
                <w:lang w:eastAsia="zh-CN" w:bidi="ar-SA"/>
              </w:rPr>
              <w:br/>
            </w: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4-12 weeks after initiation</w:t>
            </w:r>
          </w:p>
        </w:tc>
        <w:tc>
          <w:tcPr>
            <w:tcW w:w="104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t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  <w:lang w:eastAsia="zh-CN" w:bidi="ar-SA"/>
              </w:rPr>
              <w:t>P</w:t>
            </w: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-value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log</w:t>
            </w: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vertAlign w:val="subscript"/>
                <w:lang w:eastAsia="zh-CN" w:bidi="ar-SA"/>
              </w:rPr>
              <w:t>2</w:t>
            </w: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(Ammonia) (</w:t>
            </w:r>
            <w:proofErr w:type="spellStart"/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μmol</w:t>
            </w:r>
            <w:proofErr w:type="spellEnd"/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/L)</w:t>
            </w: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br/>
              <w:t xml:space="preserve"> at baseline</w:t>
            </w:r>
          </w:p>
        </w:tc>
        <w:tc>
          <w:tcPr>
            <w:tcW w:w="190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log</w:t>
            </w: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vertAlign w:val="subscript"/>
                <w:lang w:eastAsia="zh-CN" w:bidi="ar-SA"/>
              </w:rPr>
              <w:t>2</w:t>
            </w: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(Ammonia) (</w:t>
            </w:r>
            <w:proofErr w:type="spellStart"/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μmol</w:t>
            </w:r>
            <w:proofErr w:type="spellEnd"/>
            <w:r w:rsidRPr="00DD4FFA">
              <w:rPr>
                <w:rFonts w:asciiTheme="majorHAnsi" w:eastAsia="Microsoft JhengHei" w:hAnsiTheme="majorHAnsi"/>
                <w:color w:val="000000"/>
                <w:sz w:val="24"/>
                <w:szCs w:val="24"/>
                <w:lang w:eastAsia="zh-CN" w:bidi="ar-SA"/>
              </w:rPr>
              <w:t>/</w:t>
            </w: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L</w:t>
            </w:r>
            <w:r w:rsidRPr="00DD4FFA">
              <w:rPr>
                <w:rFonts w:asciiTheme="majorHAnsi" w:eastAsia="Microsoft JhengHei" w:hAnsiTheme="majorHAnsi"/>
                <w:color w:val="000000"/>
                <w:sz w:val="24"/>
                <w:szCs w:val="24"/>
                <w:lang w:eastAsia="zh-CN" w:bidi="ar-SA"/>
              </w:rPr>
              <w:t>)</w:t>
            </w:r>
            <w:r w:rsidRPr="00DD4FFA">
              <w:rPr>
                <w:rFonts w:asciiTheme="majorHAnsi" w:eastAsia="Microsoft JhengHei" w:hAnsiTheme="majorHAnsi"/>
                <w:color w:val="000000"/>
                <w:sz w:val="24"/>
                <w:szCs w:val="24"/>
                <w:lang w:eastAsia="zh-CN" w:bidi="ar-SA"/>
              </w:rPr>
              <w:br/>
            </w: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4-12 weeks after initiation</w:t>
            </w:r>
          </w:p>
        </w:tc>
        <w:tc>
          <w:tcPr>
            <w:tcW w:w="1728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t</w:t>
            </w:r>
          </w:p>
        </w:tc>
        <w:tc>
          <w:tcPr>
            <w:tcW w:w="172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  <w:lang w:eastAsia="zh-CN" w:bidi="ar-SA"/>
              </w:rPr>
              <w:t>P</w:t>
            </w: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-value</w:t>
            </w:r>
          </w:p>
        </w:tc>
      </w:tr>
      <w:tr w:rsidR="002D5EEE" w:rsidRPr="00DD4FFA" w:rsidTr="00735C5C">
        <w:trPr>
          <w:trHeight w:val="308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Sorafenib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 xml:space="preserve">3.5 </w:t>
            </w:r>
            <w:r w:rsidRPr="00DD4FFA">
              <w:rPr>
                <w:rFonts w:asciiTheme="majorHAnsi" w:eastAsia="Microsoft JhengHei" w:hAnsiTheme="majorHAnsi"/>
                <w:color w:val="000000"/>
                <w:sz w:val="24"/>
                <w:szCs w:val="24"/>
                <w:lang w:eastAsia="zh-CN" w:bidi="ar-SA"/>
              </w:rPr>
              <w:t xml:space="preserve">± </w:t>
            </w: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1.6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 xml:space="preserve">3.1 </w:t>
            </w:r>
            <w:r w:rsidRPr="00DD4FFA">
              <w:rPr>
                <w:rFonts w:asciiTheme="majorHAnsi" w:eastAsia="Microsoft JhengHei" w:hAnsiTheme="majorHAnsi"/>
                <w:color w:val="000000"/>
                <w:sz w:val="24"/>
                <w:szCs w:val="24"/>
                <w:lang w:eastAsia="zh-CN" w:bidi="ar-SA"/>
              </w:rPr>
              <w:t xml:space="preserve">± </w:t>
            </w: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1.8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3.91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&lt;0.001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 xml:space="preserve">5.2 </w:t>
            </w:r>
            <w:r w:rsidRPr="00DD4FFA">
              <w:rPr>
                <w:rFonts w:asciiTheme="majorHAnsi" w:eastAsia="Microsoft JhengHei" w:hAnsiTheme="majorHAnsi"/>
                <w:color w:val="000000"/>
                <w:sz w:val="24"/>
                <w:szCs w:val="24"/>
                <w:lang w:eastAsia="zh-CN" w:bidi="ar-SA"/>
              </w:rPr>
              <w:t>±</w:t>
            </w: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 xml:space="preserve"> 0.6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 xml:space="preserve">5.2 </w:t>
            </w:r>
            <w:r w:rsidRPr="00DD4FFA">
              <w:rPr>
                <w:rFonts w:asciiTheme="majorHAnsi" w:eastAsia="Microsoft JhengHei" w:hAnsiTheme="majorHAnsi"/>
                <w:color w:val="000000"/>
                <w:sz w:val="24"/>
                <w:szCs w:val="24"/>
                <w:lang w:eastAsia="zh-CN" w:bidi="ar-SA"/>
              </w:rPr>
              <w:t xml:space="preserve">± </w:t>
            </w: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0.8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0.92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0.358</w:t>
            </w:r>
          </w:p>
        </w:tc>
      </w:tr>
      <w:tr w:rsidR="002D5EEE" w:rsidRPr="00DD4FFA" w:rsidTr="00735C5C">
        <w:trPr>
          <w:trHeight w:val="315"/>
        </w:trPr>
        <w:tc>
          <w:tcPr>
            <w:tcW w:w="17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proofErr w:type="spellStart"/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Lenvatinib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 xml:space="preserve">3.3 </w:t>
            </w:r>
            <w:r w:rsidRPr="00DD4FFA">
              <w:rPr>
                <w:rFonts w:asciiTheme="majorHAnsi" w:eastAsia="Microsoft JhengHei" w:hAnsiTheme="majorHAnsi"/>
                <w:color w:val="000000"/>
                <w:sz w:val="24"/>
                <w:szCs w:val="24"/>
                <w:lang w:eastAsia="zh-CN" w:bidi="ar-SA"/>
              </w:rPr>
              <w:t xml:space="preserve">± </w:t>
            </w: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1.5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 xml:space="preserve">3.7 </w:t>
            </w:r>
            <w:r w:rsidRPr="00DD4FFA">
              <w:rPr>
                <w:rFonts w:asciiTheme="majorHAnsi" w:eastAsia="Microsoft JhengHei" w:hAnsiTheme="majorHAnsi"/>
                <w:color w:val="000000"/>
                <w:sz w:val="24"/>
                <w:szCs w:val="24"/>
                <w:lang w:eastAsia="zh-CN" w:bidi="ar-SA"/>
              </w:rPr>
              <w:t xml:space="preserve">± </w:t>
            </w: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1.7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-3.86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&lt;0.001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 xml:space="preserve">5.1 </w:t>
            </w:r>
            <w:r w:rsidRPr="00DD4FFA">
              <w:rPr>
                <w:rFonts w:asciiTheme="majorHAnsi" w:eastAsia="Microsoft JhengHei" w:hAnsiTheme="majorHAnsi"/>
                <w:color w:val="000000"/>
                <w:sz w:val="24"/>
                <w:szCs w:val="24"/>
                <w:lang w:eastAsia="zh-CN" w:bidi="ar-SA"/>
              </w:rPr>
              <w:t xml:space="preserve">± </w:t>
            </w: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0.7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 xml:space="preserve">5.4 </w:t>
            </w:r>
            <w:r w:rsidRPr="00DD4FFA">
              <w:rPr>
                <w:rFonts w:asciiTheme="majorHAnsi" w:eastAsia="Microsoft JhengHei" w:hAnsiTheme="majorHAnsi"/>
                <w:color w:val="000000"/>
                <w:sz w:val="24"/>
                <w:szCs w:val="24"/>
                <w:lang w:eastAsia="zh-CN" w:bidi="ar-SA"/>
              </w:rPr>
              <w:t xml:space="preserve">± </w:t>
            </w: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0.9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-3.7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&lt;0.001</w:t>
            </w:r>
          </w:p>
        </w:tc>
      </w:tr>
      <w:tr w:rsidR="002D5EEE" w:rsidRPr="00DD4FFA" w:rsidTr="00694EAB">
        <w:trPr>
          <w:gridAfter w:val="5"/>
          <w:wAfter w:w="5413" w:type="dxa"/>
          <w:trHeight w:val="315"/>
        </w:trPr>
        <w:tc>
          <w:tcPr>
            <w:tcW w:w="10139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EEE" w:rsidRPr="00DD4FFA" w:rsidRDefault="002D5EEE" w:rsidP="00694EA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</w:pPr>
            <w:r w:rsidRPr="00DD4FFA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zh-CN" w:bidi="ar-SA"/>
              </w:rPr>
              <w:t>Abbreviations in this table: TBA: total bile acid.</w:t>
            </w:r>
          </w:p>
        </w:tc>
      </w:tr>
    </w:tbl>
    <w:p w:rsidR="00092520" w:rsidRDefault="00092520" w:rsidP="002D5EEE">
      <w:pPr>
        <w:spacing w:before="83"/>
        <w:rPr>
          <w:rFonts w:asciiTheme="majorHAnsi" w:hAnsiTheme="majorHAnsi"/>
          <w:b/>
          <w:sz w:val="24"/>
          <w:szCs w:val="24"/>
        </w:rPr>
        <w:sectPr w:rsidR="00092520" w:rsidSect="002D5EEE">
          <w:pgSz w:w="16820" w:h="11900" w:orient="landscape"/>
          <w:pgMar w:top="560" w:right="1320" w:bottom="160" w:left="280" w:header="720" w:footer="0" w:gutter="0"/>
          <w:cols w:space="720"/>
          <w:docGrid w:linePitch="299"/>
        </w:sectPr>
      </w:pPr>
    </w:p>
    <w:p w:rsidR="00B514D7" w:rsidRDefault="00B514D7" w:rsidP="00092520">
      <w:pPr>
        <w:pStyle w:val="BodyText"/>
        <w:spacing w:before="82"/>
        <w:ind w:right="1525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</w:rPr>
        <w:lastRenderedPageBreak/>
        <w:drawing>
          <wp:inline distT="0" distB="0" distL="0" distR="0">
            <wp:extent cx="5605145" cy="817292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e 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223" cy="817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33B" w:rsidRDefault="0025233B" w:rsidP="0025233B">
      <w:pPr>
        <w:pStyle w:val="BodyText"/>
        <w:spacing w:before="82"/>
        <w:ind w:right="1525"/>
        <w:rPr>
          <w:rFonts w:asciiTheme="majorHAnsi" w:hAnsiTheme="majorHAnsi"/>
          <w:b/>
        </w:rPr>
      </w:pPr>
      <w:r w:rsidRPr="00DD4FFA">
        <w:rPr>
          <w:rFonts w:asciiTheme="majorHAnsi" w:hAnsiTheme="majorHAnsi"/>
          <w:b/>
        </w:rPr>
        <w:t>Fig. S</w:t>
      </w:r>
      <w:r w:rsidRPr="00F73C12">
        <w:rPr>
          <w:rFonts w:asciiTheme="majorHAnsi" w:hAnsiTheme="majorHAnsi" w:hint="eastAsia"/>
          <w:b/>
        </w:rPr>
        <w:t>2</w:t>
      </w:r>
      <w:r w:rsidRPr="00DD4FFA">
        <w:rPr>
          <w:rFonts w:asciiTheme="majorHAnsi" w:hAnsiTheme="majorHAnsi"/>
          <w:b/>
        </w:rPr>
        <w:t xml:space="preserve">. </w:t>
      </w:r>
      <w:r w:rsidRPr="00953747">
        <w:rPr>
          <w:rFonts w:asciiTheme="majorHAnsi" w:hAnsiTheme="majorHAnsi"/>
          <w:b/>
        </w:rPr>
        <w:t xml:space="preserve">Boxplot Showing Dynamic Changes of Serum Total Bile Acid and Ammonia 4-12 Weeks after Initiation of Treatment. </w:t>
      </w:r>
      <w:r w:rsidRPr="0034114A">
        <w:rPr>
          <w:rFonts w:asciiTheme="majorHAnsi" w:hAnsiTheme="majorHAnsi"/>
        </w:rPr>
        <w:t xml:space="preserve">(A) Change of Total Bild Acid; (B) Change of Ammonia. Levels of significance: *** P &lt; 0.001; </w:t>
      </w:r>
      <w:proofErr w:type="spellStart"/>
      <w:r w:rsidRPr="0034114A">
        <w:rPr>
          <w:rFonts w:asciiTheme="majorHAnsi" w:hAnsiTheme="majorHAnsi"/>
        </w:rPr>
        <w:t>n.s</w:t>
      </w:r>
      <w:proofErr w:type="spellEnd"/>
      <w:r w:rsidRPr="0034114A">
        <w:rPr>
          <w:rFonts w:asciiTheme="majorHAnsi" w:hAnsiTheme="majorHAnsi"/>
        </w:rPr>
        <w:t>.= not significant.</w:t>
      </w:r>
    </w:p>
    <w:p w:rsidR="0025233B" w:rsidRPr="00DD4FFA" w:rsidRDefault="0025233B" w:rsidP="00092520">
      <w:pPr>
        <w:pStyle w:val="BodyText"/>
        <w:spacing w:before="82"/>
        <w:ind w:right="1525"/>
        <w:rPr>
          <w:rFonts w:asciiTheme="majorHAnsi" w:hAnsiTheme="majorHAnsi"/>
          <w:b/>
        </w:rPr>
      </w:pPr>
    </w:p>
    <w:p w:rsidR="00092520" w:rsidRPr="00DD4FFA" w:rsidRDefault="00092520" w:rsidP="002D5EEE">
      <w:pPr>
        <w:spacing w:before="83"/>
        <w:rPr>
          <w:rFonts w:asciiTheme="majorHAnsi" w:hAnsiTheme="majorHAnsi"/>
          <w:b/>
          <w:sz w:val="24"/>
          <w:szCs w:val="24"/>
        </w:rPr>
      </w:pPr>
    </w:p>
    <w:p w:rsidR="002D5EEE" w:rsidRPr="00DD4FFA" w:rsidRDefault="002D5EEE" w:rsidP="002D5EEE">
      <w:pPr>
        <w:tabs>
          <w:tab w:val="left" w:pos="1468"/>
        </w:tabs>
        <w:rPr>
          <w:rFonts w:asciiTheme="majorHAnsi" w:hAnsiTheme="majorHAnsi"/>
          <w:sz w:val="19"/>
        </w:rPr>
      </w:pPr>
    </w:p>
    <w:sectPr w:rsidR="002D5EEE" w:rsidRPr="00DD4FFA" w:rsidSect="00092520">
      <w:pgSz w:w="11900" w:h="16820"/>
      <w:pgMar w:top="1320" w:right="160" w:bottom="280" w:left="56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1B8" w:rsidRDefault="005011B8">
      <w:r>
        <w:separator/>
      </w:r>
    </w:p>
  </w:endnote>
  <w:endnote w:type="continuationSeparator" w:id="0">
    <w:p w:rsidR="005011B8" w:rsidRDefault="0050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64916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2308" w:rsidRDefault="001923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2308" w:rsidRDefault="001923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1B8" w:rsidRDefault="005011B8">
      <w:r>
        <w:separator/>
      </w:r>
    </w:p>
  </w:footnote>
  <w:footnote w:type="continuationSeparator" w:id="0">
    <w:p w:rsidR="005011B8" w:rsidRDefault="00501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3AF" w:rsidRDefault="005011B8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9.05pt;margin-top:35pt;width:18pt;height:15.3pt;z-index:-251658752;mso-position-horizontal-relative:page;mso-position-vertical-relative:page" filled="f" stroked="f">
          <v:textbox style="mso-next-textbox:#_x0000_s2049" inset="0,0,0,0">
            <w:txbxContent>
              <w:p w:rsidR="00BA53AF" w:rsidRDefault="00BA53AF"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3483"/>
    <w:rsid w:val="00015AC2"/>
    <w:rsid w:val="00043A3E"/>
    <w:rsid w:val="00092520"/>
    <w:rsid w:val="000C1E71"/>
    <w:rsid w:val="000F186C"/>
    <w:rsid w:val="001527BE"/>
    <w:rsid w:val="00192308"/>
    <w:rsid w:val="001B2CEC"/>
    <w:rsid w:val="001F7204"/>
    <w:rsid w:val="001F7515"/>
    <w:rsid w:val="0025233B"/>
    <w:rsid w:val="00287BBB"/>
    <w:rsid w:val="002D5EEE"/>
    <w:rsid w:val="0034114A"/>
    <w:rsid w:val="003D575E"/>
    <w:rsid w:val="00476086"/>
    <w:rsid w:val="004E5168"/>
    <w:rsid w:val="005011B8"/>
    <w:rsid w:val="00511D06"/>
    <w:rsid w:val="005151D3"/>
    <w:rsid w:val="00544CED"/>
    <w:rsid w:val="00595C7A"/>
    <w:rsid w:val="006411FD"/>
    <w:rsid w:val="00643483"/>
    <w:rsid w:val="006D403C"/>
    <w:rsid w:val="00735C5C"/>
    <w:rsid w:val="007A3FFF"/>
    <w:rsid w:val="00833344"/>
    <w:rsid w:val="008B6B84"/>
    <w:rsid w:val="00953747"/>
    <w:rsid w:val="009C02A9"/>
    <w:rsid w:val="00A1135B"/>
    <w:rsid w:val="00A67889"/>
    <w:rsid w:val="00A8406E"/>
    <w:rsid w:val="00A97283"/>
    <w:rsid w:val="00B514D7"/>
    <w:rsid w:val="00BA53AF"/>
    <w:rsid w:val="00BE1157"/>
    <w:rsid w:val="00DB1C1D"/>
    <w:rsid w:val="00DD4FFA"/>
    <w:rsid w:val="00DF1B4B"/>
    <w:rsid w:val="00E02EBC"/>
    <w:rsid w:val="00E40F0E"/>
    <w:rsid w:val="00EA5DF1"/>
    <w:rsid w:val="00ED7EEB"/>
    <w:rsid w:val="00F7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F248B73"/>
  <w15:docId w15:val="{C5CB3895-2702-4877-9CDF-60E60D6A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83"/>
      <w:ind w:left="85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76"/>
      <w:ind w:left="858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1"/>
      <w:ind w:left="2751" w:right="1851" w:hanging="128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511D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D06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11D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D06"/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92520"/>
    <w:rPr>
      <w:rFonts w:ascii="Arial" w:eastAsia="Arial" w:hAnsi="Arial" w:cs="Arial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8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 Poynard</dc:creator>
  <cp:lastModifiedBy>Hirohumi</cp:lastModifiedBy>
  <cp:revision>34</cp:revision>
  <dcterms:created xsi:type="dcterms:W3CDTF">2022-07-02T11:25:00Z</dcterms:created>
  <dcterms:modified xsi:type="dcterms:W3CDTF">2022-08-18T17:22:00Z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2022-07-02T00:00:00Z</vt:filetime>
  </property>
</Properties>
</file>