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979A8" w14:textId="77777777" w:rsidR="00195B42" w:rsidRPr="004C1012" w:rsidRDefault="00195B42" w:rsidP="00195B42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C1012">
        <w:rPr>
          <w:rFonts w:ascii="Times New Roman" w:hAnsi="Times New Roman" w:cs="Times New Roman"/>
          <w:b/>
          <w:color w:val="000000"/>
          <w:sz w:val="24"/>
          <w:szCs w:val="24"/>
        </w:rPr>
        <w:t>Table S1:Combination Therapy with PD-1 Inhibitors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195B42" w:rsidRPr="004C1012" w14:paraId="23C68239" w14:textId="77777777" w:rsidTr="004278B8">
        <w:tc>
          <w:tcPr>
            <w:tcW w:w="4148" w:type="dxa"/>
          </w:tcPr>
          <w:p w14:paraId="095D06AA" w14:textId="77777777" w:rsidR="00195B42" w:rsidRPr="004C1012" w:rsidRDefault="00195B42" w:rsidP="004278B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C1012">
              <w:rPr>
                <w:rFonts w:ascii="Times New Roman" w:hAnsi="Times New Roman" w:cs="Times New Roman" w:hint="eastAsia"/>
                <w:b/>
                <w:color w:val="000000"/>
                <w:sz w:val="24"/>
                <w:szCs w:val="24"/>
              </w:rPr>
              <w:t>C</w:t>
            </w:r>
            <w:r w:rsidRPr="004C1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ombination therapy</w:t>
            </w:r>
          </w:p>
        </w:tc>
        <w:tc>
          <w:tcPr>
            <w:tcW w:w="4148" w:type="dxa"/>
          </w:tcPr>
          <w:p w14:paraId="50D5590F" w14:textId="77777777" w:rsidR="00195B42" w:rsidRPr="004C1012" w:rsidRDefault="00195B42" w:rsidP="004278B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C1012">
              <w:rPr>
                <w:rFonts w:ascii="Times New Roman" w:hAnsi="Times New Roman" w:cs="Times New Roman" w:hint="eastAsia"/>
                <w:b/>
                <w:color w:val="000000"/>
                <w:sz w:val="24"/>
                <w:szCs w:val="24"/>
              </w:rPr>
              <w:t>N</w:t>
            </w:r>
            <w:r w:rsidRPr="004C1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=73</w:t>
            </w:r>
          </w:p>
        </w:tc>
      </w:tr>
      <w:tr w:rsidR="00195B42" w:rsidRPr="004C1012" w14:paraId="5B8088FB" w14:textId="77777777" w:rsidTr="004278B8">
        <w:tc>
          <w:tcPr>
            <w:tcW w:w="4148" w:type="dxa"/>
          </w:tcPr>
          <w:p w14:paraId="117E7C28" w14:textId="77777777" w:rsidR="00195B42" w:rsidRPr="004C1012" w:rsidRDefault="00195B42" w:rsidP="004278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0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Sorafenib</w:t>
            </w:r>
          </w:p>
        </w:tc>
        <w:tc>
          <w:tcPr>
            <w:tcW w:w="4148" w:type="dxa"/>
          </w:tcPr>
          <w:p w14:paraId="3C6DCDE4" w14:textId="77777777" w:rsidR="00195B42" w:rsidRPr="004C1012" w:rsidRDefault="00195B42" w:rsidP="004278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012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2</w:t>
            </w:r>
          </w:p>
        </w:tc>
      </w:tr>
      <w:tr w:rsidR="00195B42" w:rsidRPr="004C1012" w14:paraId="0BD19690" w14:textId="77777777" w:rsidTr="004278B8">
        <w:tc>
          <w:tcPr>
            <w:tcW w:w="4148" w:type="dxa"/>
          </w:tcPr>
          <w:p w14:paraId="6D13E743" w14:textId="77777777" w:rsidR="00195B42" w:rsidRPr="004C1012" w:rsidRDefault="00195B42" w:rsidP="004278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0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lenvatinib</w:t>
            </w:r>
          </w:p>
        </w:tc>
        <w:tc>
          <w:tcPr>
            <w:tcW w:w="4148" w:type="dxa"/>
          </w:tcPr>
          <w:p w14:paraId="2F9BECA1" w14:textId="77777777" w:rsidR="00195B42" w:rsidRPr="004C1012" w:rsidRDefault="00195B42" w:rsidP="004278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0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195B42" w:rsidRPr="004C1012" w14:paraId="288E9546" w14:textId="77777777" w:rsidTr="004278B8">
        <w:tc>
          <w:tcPr>
            <w:tcW w:w="4148" w:type="dxa"/>
          </w:tcPr>
          <w:p w14:paraId="0289BD07" w14:textId="77777777" w:rsidR="00195B42" w:rsidRPr="004C1012" w:rsidRDefault="00195B42" w:rsidP="004278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0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Apatinib</w:t>
            </w:r>
          </w:p>
        </w:tc>
        <w:tc>
          <w:tcPr>
            <w:tcW w:w="4148" w:type="dxa"/>
          </w:tcPr>
          <w:p w14:paraId="7925572F" w14:textId="77777777" w:rsidR="00195B42" w:rsidRPr="004C1012" w:rsidRDefault="00195B42" w:rsidP="004278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0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195B42" w:rsidRPr="004C1012" w14:paraId="336F3B49" w14:textId="77777777" w:rsidTr="004278B8">
        <w:tc>
          <w:tcPr>
            <w:tcW w:w="4148" w:type="dxa"/>
          </w:tcPr>
          <w:p w14:paraId="010157E7" w14:textId="77777777" w:rsidR="00195B42" w:rsidRPr="004C1012" w:rsidRDefault="00195B42" w:rsidP="004278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0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HAIC</w:t>
            </w:r>
          </w:p>
        </w:tc>
        <w:tc>
          <w:tcPr>
            <w:tcW w:w="4148" w:type="dxa"/>
          </w:tcPr>
          <w:p w14:paraId="2B95F89C" w14:textId="77777777" w:rsidR="00195B42" w:rsidRPr="004C1012" w:rsidRDefault="00195B42" w:rsidP="004278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012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</w:t>
            </w:r>
            <w:r w:rsidRPr="004C10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195B42" w:rsidRPr="004C1012" w14:paraId="16988F8F" w14:textId="77777777" w:rsidTr="004278B8">
        <w:tc>
          <w:tcPr>
            <w:tcW w:w="4148" w:type="dxa"/>
          </w:tcPr>
          <w:p w14:paraId="4D4230DB" w14:textId="77777777" w:rsidR="00195B42" w:rsidRPr="004C1012" w:rsidRDefault="00195B42" w:rsidP="004278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012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T</w:t>
            </w:r>
            <w:r w:rsidRPr="004C10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ACE</w:t>
            </w:r>
          </w:p>
        </w:tc>
        <w:tc>
          <w:tcPr>
            <w:tcW w:w="4148" w:type="dxa"/>
          </w:tcPr>
          <w:p w14:paraId="7F590EC5" w14:textId="77777777" w:rsidR="00195B42" w:rsidRPr="004C1012" w:rsidRDefault="00195B42" w:rsidP="004278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012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</w:t>
            </w:r>
            <w:r w:rsidRPr="004C10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14:paraId="75C81B51" w14:textId="77777777" w:rsidR="00195B42" w:rsidRPr="004C1012" w:rsidRDefault="00195B42" w:rsidP="00195B4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C1012">
        <w:rPr>
          <w:rFonts w:ascii="Times New Roman" w:hAnsi="Times New Roman" w:cs="Times New Roman"/>
          <w:color w:val="000000"/>
          <w:sz w:val="24"/>
          <w:szCs w:val="24"/>
        </w:rPr>
        <w:t>Abbreviations</w:t>
      </w:r>
      <w:r w:rsidRPr="004C1012">
        <w:rPr>
          <w:rFonts w:ascii="Times New Roman" w:hAnsi="Times New Roman" w:cs="Times New Roman" w:hint="eastAsia"/>
          <w:color w:val="000000"/>
          <w:sz w:val="24"/>
          <w:szCs w:val="24"/>
        </w:rPr>
        <w:t>：</w:t>
      </w:r>
      <w:r w:rsidRPr="004C1012">
        <w:rPr>
          <w:rFonts w:ascii="Times New Roman" w:hAnsi="Times New Roman" w:cs="Times New Roman"/>
          <w:color w:val="000000"/>
          <w:sz w:val="24"/>
          <w:szCs w:val="24"/>
        </w:rPr>
        <w:t>TACE, transcatheter arterial chemoembolization; HAIC, hepatic infusion</w:t>
      </w:r>
      <w:r w:rsidRPr="004C1012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ch</w:t>
      </w:r>
      <w:r w:rsidRPr="004C1012">
        <w:rPr>
          <w:rFonts w:ascii="Times New Roman" w:hAnsi="Times New Roman" w:cs="Times New Roman"/>
          <w:color w:val="000000"/>
          <w:sz w:val="24"/>
          <w:szCs w:val="24"/>
        </w:rPr>
        <w:t>emotherapy</w:t>
      </w:r>
    </w:p>
    <w:p w14:paraId="18CCDF60" w14:textId="77777777" w:rsidR="00195B42" w:rsidRPr="004C1012" w:rsidRDefault="00195B42">
      <w:pPr>
        <w:rPr>
          <w:color w:val="000000"/>
        </w:rPr>
      </w:pPr>
    </w:p>
    <w:p w14:paraId="06A21D8D" w14:textId="77777777" w:rsidR="00195B42" w:rsidRPr="004C1012" w:rsidRDefault="00195B42">
      <w:pPr>
        <w:widowControl/>
        <w:jc w:val="left"/>
        <w:rPr>
          <w:color w:val="000000"/>
        </w:rPr>
      </w:pPr>
      <w:r w:rsidRPr="004C1012">
        <w:rPr>
          <w:color w:val="000000"/>
        </w:rPr>
        <w:br w:type="page"/>
      </w:r>
    </w:p>
    <w:p w14:paraId="14545C21" w14:textId="72B9AE91" w:rsidR="00195B42" w:rsidRPr="004C1012" w:rsidRDefault="00195B42">
      <w:pPr>
        <w:rPr>
          <w:rFonts w:ascii="Arial" w:hAnsi="Arial" w:cs="Arial"/>
          <w:color w:val="000000"/>
        </w:rPr>
      </w:pPr>
      <w:r w:rsidRPr="004C1012">
        <w:rPr>
          <w:rFonts w:ascii="Arial" w:hAnsi="Arial" w:cs="Arial"/>
          <w:b/>
          <w:color w:val="000000"/>
        </w:rPr>
        <w:lastRenderedPageBreak/>
        <w:t>Supplemental Figure 1</w:t>
      </w:r>
      <w:r w:rsidRPr="004C1012">
        <w:rPr>
          <w:rFonts w:ascii="Arial" w:hAnsi="Arial" w:cs="Arial"/>
          <w:color w:val="000000"/>
        </w:rPr>
        <w:t xml:space="preserve">: Schematic of the method used to determine the optimal cutoff points of </w:t>
      </w:r>
      <w:r w:rsidR="005B3727" w:rsidRPr="004C1012">
        <w:rPr>
          <w:rFonts w:ascii="Arial" w:hAnsi="Arial" w:cs="Arial"/>
          <w:color w:val="000000"/>
        </w:rPr>
        <w:t xml:space="preserve">(A) </w:t>
      </w:r>
      <w:r w:rsidRPr="004C1012">
        <w:rPr>
          <w:rFonts w:ascii="Arial" w:hAnsi="Arial" w:cs="Arial"/>
          <w:color w:val="000000"/>
        </w:rPr>
        <w:t>CRP,</w:t>
      </w:r>
      <w:r w:rsidR="005B3727" w:rsidRPr="004C1012">
        <w:rPr>
          <w:rFonts w:ascii="Arial" w:hAnsi="Arial" w:cs="Arial"/>
          <w:color w:val="000000"/>
        </w:rPr>
        <w:t xml:space="preserve"> (B) </w:t>
      </w:r>
      <w:r w:rsidRPr="004C1012">
        <w:rPr>
          <w:rFonts w:ascii="Arial" w:hAnsi="Arial" w:cs="Arial"/>
          <w:color w:val="000000"/>
        </w:rPr>
        <w:t xml:space="preserve">PLR, </w:t>
      </w:r>
      <w:r w:rsidR="005B3727" w:rsidRPr="004C1012">
        <w:rPr>
          <w:rFonts w:ascii="Arial" w:hAnsi="Arial" w:cs="Arial"/>
          <w:color w:val="000000"/>
        </w:rPr>
        <w:t xml:space="preserve">(C) </w:t>
      </w:r>
      <w:r w:rsidRPr="004C1012">
        <w:rPr>
          <w:rFonts w:ascii="Arial" w:hAnsi="Arial" w:cs="Arial"/>
          <w:color w:val="000000"/>
        </w:rPr>
        <w:t xml:space="preserve">NLR, </w:t>
      </w:r>
      <w:r w:rsidR="005B3727" w:rsidRPr="004C1012">
        <w:rPr>
          <w:rFonts w:ascii="Arial" w:hAnsi="Arial" w:cs="Arial"/>
          <w:color w:val="000000"/>
        </w:rPr>
        <w:t xml:space="preserve">(D) </w:t>
      </w:r>
      <w:r w:rsidRPr="004C1012">
        <w:rPr>
          <w:rFonts w:ascii="Arial" w:hAnsi="Arial" w:cs="Arial"/>
          <w:color w:val="000000"/>
        </w:rPr>
        <w:t xml:space="preserve">LCR, </w:t>
      </w:r>
      <w:r w:rsidR="005B3727" w:rsidRPr="004C1012">
        <w:rPr>
          <w:rFonts w:ascii="Arial" w:hAnsi="Arial" w:cs="Arial"/>
          <w:color w:val="000000"/>
        </w:rPr>
        <w:t xml:space="preserve">(E) </w:t>
      </w:r>
      <w:r w:rsidRPr="004C1012">
        <w:rPr>
          <w:rFonts w:ascii="Arial" w:hAnsi="Arial" w:cs="Arial"/>
          <w:color w:val="000000"/>
        </w:rPr>
        <w:t xml:space="preserve">LMR, </w:t>
      </w:r>
      <w:r w:rsidR="005B3727" w:rsidRPr="004C1012">
        <w:rPr>
          <w:rFonts w:ascii="Arial" w:hAnsi="Arial" w:cs="Arial"/>
          <w:color w:val="000000"/>
        </w:rPr>
        <w:t xml:space="preserve">(F) </w:t>
      </w:r>
      <w:r w:rsidRPr="004C1012">
        <w:rPr>
          <w:rFonts w:ascii="Arial" w:hAnsi="Arial" w:cs="Arial"/>
          <w:color w:val="000000"/>
        </w:rPr>
        <w:t xml:space="preserve">SII, </w:t>
      </w:r>
      <w:r w:rsidR="005B3727" w:rsidRPr="004C1012">
        <w:rPr>
          <w:rFonts w:ascii="Arial" w:hAnsi="Arial" w:cs="Arial"/>
          <w:color w:val="000000"/>
        </w:rPr>
        <w:t xml:space="preserve">(G) </w:t>
      </w:r>
      <w:r w:rsidRPr="004C1012">
        <w:rPr>
          <w:rFonts w:ascii="Arial" w:hAnsi="Arial" w:cs="Arial"/>
          <w:color w:val="000000"/>
        </w:rPr>
        <w:t xml:space="preserve">CAR, and </w:t>
      </w:r>
      <w:r w:rsidR="005B3727" w:rsidRPr="004C1012">
        <w:rPr>
          <w:rFonts w:ascii="Arial" w:hAnsi="Arial" w:cs="Arial"/>
          <w:color w:val="000000"/>
        </w:rPr>
        <w:t xml:space="preserve">(H) </w:t>
      </w:r>
      <w:r w:rsidRPr="004C1012">
        <w:rPr>
          <w:rFonts w:ascii="Arial" w:hAnsi="Arial" w:cs="Arial"/>
          <w:color w:val="000000"/>
        </w:rPr>
        <w:t>PNI using R version for survival prediction</w:t>
      </w:r>
    </w:p>
    <w:p w14:paraId="035F106B" w14:textId="77777777" w:rsidR="00195B42" w:rsidRPr="004C1012" w:rsidRDefault="00195B42">
      <w:pPr>
        <w:rPr>
          <w:rFonts w:ascii="Arial" w:hAnsi="Arial" w:cs="Arial"/>
          <w:color w:val="000000"/>
        </w:rPr>
      </w:pPr>
    </w:p>
    <w:p w14:paraId="710595B6" w14:textId="77777777" w:rsidR="00195B42" w:rsidRPr="004C1012" w:rsidRDefault="00195B42" w:rsidP="007A779D">
      <w:pPr>
        <w:rPr>
          <w:rFonts w:ascii="Arial" w:hAnsi="Arial" w:cs="Arial"/>
          <w:color w:val="000000"/>
        </w:rPr>
      </w:pPr>
      <w:r w:rsidRPr="004C1012">
        <w:rPr>
          <w:color w:val="000000"/>
        </w:rPr>
        <w:drawing>
          <wp:inline distT="0" distB="0" distL="0" distR="0" wp14:anchorId="3C2F0193" wp14:editId="725C2F8D">
            <wp:extent cx="5274310" cy="7857121"/>
            <wp:effectExtent l="0" t="0" r="2540" b="0"/>
            <wp:docPr id="3" name="图片 3" descr="D:\课题组\临床数据\ICC CRP\投稿\journal of inflammation research\返修\返修投稿\Figure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课题组\临床数据\ICC CRP\投稿\journal of inflammation research\返修\返修投稿\FigureS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5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D53D6" w14:textId="77777777" w:rsidR="00195B42" w:rsidRPr="004C1012" w:rsidRDefault="00195B42">
      <w:pPr>
        <w:rPr>
          <w:rFonts w:ascii="Arial" w:hAnsi="Arial" w:cs="Arial"/>
          <w:color w:val="000000"/>
        </w:rPr>
      </w:pPr>
      <w:r w:rsidRPr="004C1012">
        <w:rPr>
          <w:rFonts w:ascii="Arial" w:hAnsi="Arial" w:cs="Arial"/>
          <w:b/>
          <w:color w:val="000000"/>
        </w:rPr>
        <w:lastRenderedPageBreak/>
        <w:t>Supplemental Figure 2</w:t>
      </w:r>
      <w:r w:rsidRPr="004C1012">
        <w:rPr>
          <w:rFonts w:ascii="Arial" w:hAnsi="Arial" w:cs="Arial"/>
          <w:color w:val="000000"/>
        </w:rPr>
        <w:t>: Time-dependent receiver operating characteristic (ROC) curves for survival prediction of inflammation-based scores at (A) 6 months, (B) 12 months, (C) 18 months, and (D) 24 months in ICC patients after PD-1 inhibitors therapy</w:t>
      </w:r>
    </w:p>
    <w:p w14:paraId="77962828" w14:textId="77777777" w:rsidR="00195B42" w:rsidRPr="004C1012" w:rsidRDefault="00195B42">
      <w:pPr>
        <w:rPr>
          <w:rFonts w:ascii="Arial" w:hAnsi="Arial" w:cs="Arial"/>
          <w:color w:val="000000"/>
        </w:rPr>
      </w:pPr>
    </w:p>
    <w:p w14:paraId="568F8AA1" w14:textId="77777777" w:rsidR="007A779D" w:rsidRPr="004C1012" w:rsidRDefault="00195B42">
      <w:pPr>
        <w:rPr>
          <w:color w:val="000000"/>
        </w:rPr>
      </w:pPr>
      <w:r w:rsidRPr="004C1012">
        <w:rPr>
          <w:color w:val="000000"/>
        </w:rPr>
        <w:drawing>
          <wp:inline distT="0" distB="0" distL="0" distR="0" wp14:anchorId="55993B8B" wp14:editId="728E1F21">
            <wp:extent cx="5274310" cy="5853708"/>
            <wp:effectExtent l="0" t="0" r="2540" b="0"/>
            <wp:docPr id="4" name="图片 4" descr="D:\课题组\临床数据\ICC CRP\投稿\journal of inflammation research\返修\返修投稿\Figure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课题组\临床数据\ICC CRP\投稿\journal of inflammation research\返修\返修投稿\FigureS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5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62551" w14:textId="77777777" w:rsidR="007A779D" w:rsidRPr="004C1012" w:rsidRDefault="007A779D">
      <w:pPr>
        <w:widowControl/>
        <w:jc w:val="left"/>
        <w:rPr>
          <w:color w:val="000000"/>
        </w:rPr>
      </w:pPr>
      <w:r w:rsidRPr="004C1012">
        <w:rPr>
          <w:color w:val="000000"/>
        </w:rPr>
        <w:br w:type="page"/>
      </w:r>
    </w:p>
    <w:p w14:paraId="5B9284AB" w14:textId="77777777" w:rsidR="007A779D" w:rsidRPr="004C1012" w:rsidRDefault="007A779D" w:rsidP="007A779D">
      <w:pPr>
        <w:jc w:val="left"/>
        <w:rPr>
          <w:rFonts w:ascii="Arial" w:hAnsi="Arial" w:cs="Arial"/>
          <w:color w:val="000000"/>
        </w:rPr>
      </w:pPr>
      <w:r w:rsidRPr="004C1012">
        <w:rPr>
          <w:rFonts w:ascii="Arial" w:hAnsi="Arial" w:cs="Arial"/>
          <w:b/>
          <w:color w:val="000000"/>
        </w:rPr>
        <w:lastRenderedPageBreak/>
        <w:t>Supplemental Figure 3</w:t>
      </w:r>
      <w:r w:rsidRPr="004C1012">
        <w:rPr>
          <w:rFonts w:ascii="Arial" w:hAnsi="Arial" w:cs="Arial"/>
          <w:color w:val="000000"/>
        </w:rPr>
        <w:t>: Kaplan-Meier survival curves of patients stratified according to the presence of lymph node metastasis and TNM stage. (A) lymph node metastasis=0,</w:t>
      </w:r>
    </w:p>
    <w:p w14:paraId="1EF871B5" w14:textId="77777777" w:rsidR="00195B42" w:rsidRPr="004C1012" w:rsidRDefault="007A779D" w:rsidP="007A779D">
      <w:pPr>
        <w:jc w:val="left"/>
        <w:rPr>
          <w:color w:val="000000"/>
        </w:rPr>
      </w:pPr>
      <w:r w:rsidRPr="004C1012">
        <w:rPr>
          <w:rFonts w:ascii="Arial" w:hAnsi="Arial" w:cs="Arial"/>
          <w:color w:val="000000"/>
        </w:rPr>
        <w:t xml:space="preserve"> (B) lymph node metastasis=1, (C) TNM stage=0</w:t>
      </w:r>
      <w:r w:rsidR="00820841" w:rsidRPr="004C1012">
        <w:rPr>
          <w:rFonts w:ascii="Arial" w:hAnsi="Arial" w:cs="Arial"/>
          <w:color w:val="000000"/>
        </w:rPr>
        <w:t>,</w:t>
      </w:r>
      <w:r w:rsidRPr="004C1012">
        <w:rPr>
          <w:rFonts w:ascii="Arial" w:hAnsi="Arial" w:cs="Arial"/>
          <w:color w:val="000000"/>
        </w:rPr>
        <w:t>(D) TNM stage=1</w:t>
      </w:r>
      <w:r w:rsidRPr="004C1012">
        <w:rPr>
          <w:color w:val="000000"/>
        </w:rPr>
        <w:drawing>
          <wp:inline distT="0" distB="0" distL="0" distR="0" wp14:anchorId="514D3ACF" wp14:editId="1AD600ED">
            <wp:extent cx="5274310" cy="4225400"/>
            <wp:effectExtent l="0" t="0" r="2540" b="3810"/>
            <wp:docPr id="5" name="图片 5" descr="D:\课题组\临床数据\ICC CRP\投稿\journal of inflammation research\返修\返修投稿\Figure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课题组\临床数据\ICC CRP\投稿\journal of inflammation research\返修\返修投稿\FigureS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5B42" w:rsidRPr="004C1012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80541" w14:textId="77777777" w:rsidR="00360B51" w:rsidRDefault="00360B51" w:rsidP="00195B42">
      <w:r>
        <w:separator/>
      </w:r>
    </w:p>
  </w:endnote>
  <w:endnote w:type="continuationSeparator" w:id="0">
    <w:p w14:paraId="440F1E11" w14:textId="77777777" w:rsidR="00360B51" w:rsidRDefault="00360B51" w:rsidP="00195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46117" w14:textId="02C8E56E" w:rsidR="00A04BB9" w:rsidRDefault="00A04BB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0166155" wp14:editId="5DDA4A76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1" name="MSIPCM0dfd437096cf7385ba17c50c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5A798E3" w14:textId="0C07CE95" w:rsidR="00A04BB9" w:rsidRPr="00A04BB9" w:rsidRDefault="00A04BB9" w:rsidP="00A04BB9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A04BB9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166155" id="_x0000_t202" coordsize="21600,21600" o:spt="202" path="m,l,21600r21600,l21600,xe">
              <v:stroke joinstyle="miter"/>
              <v:path gradientshapeok="t" o:connecttype="rect"/>
            </v:shapetype>
            <v:shape id="MSIPCM0dfd437096cf7385ba17c50c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textbox inset="20pt,0,,0">
                <w:txbxContent>
                  <w:p w14:paraId="65A798E3" w14:textId="0C07CE95" w:rsidR="00A04BB9" w:rsidRPr="00A04BB9" w:rsidRDefault="00A04BB9" w:rsidP="00A04BB9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A04BB9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50F7D" w14:textId="77777777" w:rsidR="00360B51" w:rsidRDefault="00360B51" w:rsidP="00195B42">
      <w:r>
        <w:separator/>
      </w:r>
    </w:p>
  </w:footnote>
  <w:footnote w:type="continuationSeparator" w:id="0">
    <w:p w14:paraId="2F9F10AA" w14:textId="77777777" w:rsidR="00360B51" w:rsidRDefault="00360B51" w:rsidP="00195B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4F4"/>
    <w:rsid w:val="00195B42"/>
    <w:rsid w:val="0029221B"/>
    <w:rsid w:val="00360B51"/>
    <w:rsid w:val="004707E3"/>
    <w:rsid w:val="004754F4"/>
    <w:rsid w:val="004C1012"/>
    <w:rsid w:val="005B3727"/>
    <w:rsid w:val="007A779D"/>
    <w:rsid w:val="007D63D5"/>
    <w:rsid w:val="00820841"/>
    <w:rsid w:val="009935BC"/>
    <w:rsid w:val="00A04BB9"/>
    <w:rsid w:val="00DE61FB"/>
    <w:rsid w:val="00F9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AA2A85"/>
  <w15:chartTrackingRefBased/>
  <w15:docId w15:val="{C5C81589-D06E-45C0-8719-61AFA51BE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B42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5B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95B4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95B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95B42"/>
    <w:rPr>
      <w:sz w:val="18"/>
      <w:szCs w:val="18"/>
    </w:rPr>
  </w:style>
  <w:style w:type="table" w:styleId="TableGrid">
    <w:name w:val="Table Grid"/>
    <w:basedOn w:val="TableNormal"/>
    <w:uiPriority w:val="39"/>
    <w:rsid w:val="00195B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04B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4B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4B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4B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4BB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139</Words>
  <Characters>796</Characters>
  <Application>Microsoft Office Word</Application>
  <DocSecurity>0</DocSecurity>
  <Lines>6</Lines>
  <Paragraphs>1</Paragraphs>
  <ScaleCrop>false</ScaleCrop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杨振云</dc:creator>
  <cp:keywords/>
  <dc:description/>
  <cp:lastModifiedBy>Krishnamurthi, Divya</cp:lastModifiedBy>
  <cp:revision>3</cp:revision>
  <dcterms:created xsi:type="dcterms:W3CDTF">2022-09-27T03:54:00Z</dcterms:created>
  <dcterms:modified xsi:type="dcterms:W3CDTF">2022-09-27T03:54:00Z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2022-09-27T03:54:21Z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800062f6-08aa-4050-ab8e-254018efbd19</vt:lpwstr>
  </property>
  <property fmtid="{D5CDD505-2E9C-101B-9397-08002B2CF9AE}" pid="8" name="MSIP_Label_2bbab825-a111-45e4-86a1-18cee0005896_ContentBits">
    <vt:lpwstr>2</vt:lpwstr>
  </property>
</Properties>
</file>