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9850" w14:textId="77777777" w:rsidR="00D17CAF" w:rsidRPr="00D17CAF" w:rsidRDefault="00D17CAF" w:rsidP="00FE410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OLE_LINK1"/>
      <w:r w:rsidRPr="00D17CAF">
        <w:rPr>
          <w:rFonts w:ascii="Times New Roman" w:hAnsi="Times New Roman" w:cs="Times New Roman"/>
          <w:b/>
          <w:bCs/>
          <w:sz w:val="28"/>
          <w:szCs w:val="28"/>
          <w:u w:val="single"/>
        </w:rPr>
        <w:t>Supplementary materials</w:t>
      </w:r>
    </w:p>
    <w:p w14:paraId="276DA8F5" w14:textId="77777777" w:rsidR="00D17CAF" w:rsidRDefault="00D17CAF" w:rsidP="00FE410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3494AC6" w14:textId="7DD31F88" w:rsidR="00535A59" w:rsidRDefault="00FE4107" w:rsidP="00FE4107">
      <w:pPr>
        <w:spacing w:line="360" w:lineRule="auto"/>
      </w:pPr>
      <w:r w:rsidRPr="00FE4107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="00695CE8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8C3021" w:rsidRPr="008C3021">
        <w:rPr>
          <w:rFonts w:ascii="Times New Roman" w:hAnsi="Times New Roman" w:cs="Times New Roman"/>
          <w:bCs/>
          <w:sz w:val="20"/>
          <w:szCs w:val="20"/>
        </w:rPr>
        <w:t>The component percentages of BDR+ among different levels of airflow obstruction</w:t>
      </w:r>
      <w:r w:rsidR="00695CE8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</w:p>
    <w:bookmarkEnd w:id="0"/>
    <w:tbl>
      <w:tblPr>
        <w:tblStyle w:val="TableNormal1"/>
        <w:tblpPr w:leftFromText="180" w:rightFromText="180" w:vertAnchor="text" w:horzAnchor="margin" w:tblpY="425"/>
        <w:tblW w:w="9556" w:type="dxa"/>
        <w:tblInd w:w="0" w:type="dxa"/>
        <w:tblBorders>
          <w:top w:val="single" w:sz="4" w:space="0" w:color="000000"/>
          <w:bottom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8"/>
        <w:gridCol w:w="1952"/>
        <w:gridCol w:w="1704"/>
        <w:gridCol w:w="1936"/>
        <w:gridCol w:w="1736"/>
      </w:tblGrid>
      <w:tr w:rsidR="00DB0027" w14:paraId="7D7F549F" w14:textId="77777777" w:rsidTr="00DB0027">
        <w:trPr>
          <w:trHeight w:val="570"/>
        </w:trPr>
        <w:tc>
          <w:tcPr>
            <w:tcW w:w="222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775B" w14:textId="77777777" w:rsidR="00DB0027" w:rsidRPr="00DB0027" w:rsidRDefault="00DB0027" w:rsidP="00DB0027">
            <w:pPr>
              <w:spacing w:line="36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DDA758" w14:textId="77777777" w:rsidR="00DB0027" w:rsidRDefault="00DB0027" w:rsidP="00DB0027">
            <w:pPr>
              <w:spacing w:line="360" w:lineRule="auto"/>
              <w:ind w:firstLineChars="50" w:firstLine="90"/>
              <w:jc w:val="center"/>
              <w:rPr>
                <w:rFonts w:eastAsia="SimSu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Asthma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n=4457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6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6980CF" w14:textId="77777777" w:rsidR="00DB0027" w:rsidRDefault="00DB0027" w:rsidP="00DB0027">
            <w:pPr>
              <w:spacing w:line="360" w:lineRule="auto"/>
              <w:ind w:firstLineChars="50" w:firstLine="90"/>
              <w:jc w:val="center"/>
              <w:rPr>
                <w:rFonts w:eastAsia="SimSun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COPD  </w:t>
            </w: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n=</w:t>
            </w:r>
            <w:r>
              <w:rPr>
                <w:rFonts w:hint="eastAsia"/>
                <w:kern w:val="0"/>
                <w:sz w:val="18"/>
                <w:szCs w:val="18"/>
              </w:rPr>
              <w:t>7764)</w:t>
            </w:r>
          </w:p>
        </w:tc>
      </w:tr>
      <w:tr w:rsidR="00DB0027" w14:paraId="39795181" w14:textId="77777777" w:rsidTr="00DB0027">
        <w:trPr>
          <w:trHeight w:val="690"/>
        </w:trPr>
        <w:tc>
          <w:tcPr>
            <w:tcW w:w="2228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5D49" w14:textId="77777777" w:rsidR="00DB0027" w:rsidRDefault="00DB0027" w:rsidP="00DB0027">
            <w:pPr>
              <w:spacing w:line="36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</w:tcPr>
          <w:p w14:paraId="25AD875F" w14:textId="77777777" w:rsidR="00DB0027" w:rsidRDefault="00DB0027" w:rsidP="00DB0027">
            <w:pPr>
              <w:spacing w:line="360" w:lineRule="auto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  <w:bookmarkStart w:id="1" w:name="OLE_LINK3"/>
            <w:bookmarkStart w:id="2" w:name="OLE_LINK5"/>
            <w:r>
              <w:rPr>
                <w:rFonts w:hint="eastAsia"/>
                <w:kern w:val="0"/>
                <w:sz w:val="18"/>
                <w:szCs w:val="18"/>
              </w:rPr>
              <w:t>2005-BDR+</w:t>
            </w:r>
            <w:bookmarkEnd w:id="1"/>
          </w:p>
          <w:bookmarkEnd w:id="2"/>
          <w:p w14:paraId="0D2F16CA" w14:textId="77777777" w:rsidR="00DB0027" w:rsidRDefault="00DB0027" w:rsidP="00DB0027">
            <w:pPr>
              <w:spacing w:line="360" w:lineRule="auto"/>
              <w:ind w:firstLineChars="250" w:firstLine="450"/>
              <w:jc w:val="left"/>
              <w:rPr>
                <w:rFonts w:eastAsia="SimSu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n=</w:t>
            </w:r>
            <w:r>
              <w:rPr>
                <w:rFonts w:hint="eastAsia"/>
                <w:kern w:val="0"/>
                <w:sz w:val="18"/>
                <w:szCs w:val="18"/>
              </w:rPr>
              <w:t>2822)</w:t>
            </w:r>
          </w:p>
        </w:tc>
        <w:tc>
          <w:tcPr>
            <w:tcW w:w="170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</w:tcPr>
          <w:p w14:paraId="6289FD9A" w14:textId="77777777" w:rsidR="00DB0027" w:rsidRDefault="00DB0027" w:rsidP="00DB0027">
            <w:pPr>
              <w:spacing w:line="360" w:lineRule="auto"/>
              <w:ind w:firstLineChars="100" w:firstLine="180"/>
              <w:jc w:val="left"/>
              <w:rPr>
                <w:kern w:val="0"/>
                <w:sz w:val="18"/>
                <w:szCs w:val="18"/>
              </w:rPr>
            </w:pPr>
            <w:bookmarkStart w:id="3" w:name="OLE_LINK4"/>
            <w:r>
              <w:rPr>
                <w:rFonts w:hint="eastAsia"/>
                <w:kern w:val="0"/>
                <w:sz w:val="18"/>
                <w:szCs w:val="18"/>
              </w:rPr>
              <w:t>2021-BDR+</w:t>
            </w:r>
          </w:p>
          <w:bookmarkEnd w:id="3"/>
          <w:p w14:paraId="62D2DBF4" w14:textId="77777777" w:rsidR="00DB0027" w:rsidRDefault="00DB0027" w:rsidP="00DB0027">
            <w:pPr>
              <w:spacing w:line="360" w:lineRule="auto"/>
              <w:ind w:firstLineChars="150" w:firstLine="270"/>
              <w:jc w:val="left"/>
              <w:rPr>
                <w:rFonts w:eastAsia="SimSu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n=</w:t>
            </w:r>
            <w:r>
              <w:rPr>
                <w:rFonts w:hint="eastAsia"/>
                <w:kern w:val="0"/>
                <w:sz w:val="18"/>
                <w:szCs w:val="18"/>
              </w:rPr>
              <w:t>2335)</w:t>
            </w:r>
          </w:p>
        </w:tc>
        <w:tc>
          <w:tcPr>
            <w:tcW w:w="193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</w:tcPr>
          <w:p w14:paraId="4E4D05C4" w14:textId="77777777" w:rsidR="00DB0027" w:rsidRDefault="00DB0027" w:rsidP="00DB0027">
            <w:pPr>
              <w:spacing w:line="360" w:lineRule="auto"/>
              <w:ind w:firstLineChars="100" w:firstLine="18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2005-BDR+</w:t>
            </w:r>
          </w:p>
          <w:p w14:paraId="7BE32025" w14:textId="77777777" w:rsidR="00DB0027" w:rsidRDefault="00DB0027" w:rsidP="00DB0027">
            <w:pPr>
              <w:spacing w:line="360" w:lineRule="auto"/>
              <w:ind w:firstLineChars="200" w:firstLine="360"/>
              <w:jc w:val="left"/>
              <w:rPr>
                <w:rFonts w:eastAsia="SimSu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n=</w:t>
            </w:r>
            <w:r>
              <w:rPr>
                <w:rFonts w:hint="eastAsia"/>
                <w:kern w:val="0"/>
                <w:sz w:val="18"/>
                <w:szCs w:val="18"/>
              </w:rPr>
              <w:t>2401)</w:t>
            </w:r>
          </w:p>
        </w:tc>
        <w:tc>
          <w:tcPr>
            <w:tcW w:w="173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</w:tcPr>
          <w:p w14:paraId="53551384" w14:textId="77777777" w:rsidR="00DB0027" w:rsidRDefault="00DB0027" w:rsidP="00DB0027">
            <w:pPr>
              <w:spacing w:line="360" w:lineRule="auto"/>
              <w:ind w:firstLineChars="100" w:firstLine="18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2021-BDR+</w:t>
            </w:r>
          </w:p>
          <w:p w14:paraId="01DA9456" w14:textId="77777777" w:rsidR="00DB0027" w:rsidRDefault="00DB0027" w:rsidP="00DB0027">
            <w:pPr>
              <w:spacing w:line="360" w:lineRule="auto"/>
              <w:ind w:firstLineChars="150" w:firstLine="270"/>
              <w:jc w:val="left"/>
              <w:rPr>
                <w:rFonts w:eastAsia="SimSu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n=</w:t>
            </w:r>
            <w:r>
              <w:rPr>
                <w:rFonts w:hint="eastAsia"/>
                <w:kern w:val="0"/>
                <w:sz w:val="18"/>
                <w:szCs w:val="18"/>
              </w:rPr>
              <w:t>1781)</w:t>
            </w:r>
          </w:p>
        </w:tc>
      </w:tr>
      <w:tr w:rsidR="00DB0027" w14:paraId="7730A7B3" w14:textId="77777777" w:rsidTr="00DB0027">
        <w:trPr>
          <w:trHeight w:val="766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866C" w14:textId="77777777" w:rsidR="00DB0027" w:rsidRDefault="00DB0027" w:rsidP="00DB0027">
            <w:pPr>
              <w:spacing w:line="360" w:lineRule="auto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 xml:space="preserve">Obstructive or mixed impairments 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</w:tcPr>
          <w:p w14:paraId="5989D5CB" w14:textId="77777777" w:rsidR="00DB0027" w:rsidRDefault="00DB0027" w:rsidP="00DB0027">
            <w:pPr>
              <w:spacing w:line="36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7DBB0A1" w14:textId="77777777" w:rsidR="00DB0027" w:rsidRDefault="00DB0027" w:rsidP="00DB0027">
            <w:pPr>
              <w:spacing w:line="36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</w:tcPr>
          <w:p w14:paraId="6213C8D5" w14:textId="77777777" w:rsidR="00DB0027" w:rsidRDefault="00DB0027" w:rsidP="00DB0027">
            <w:pPr>
              <w:spacing w:line="36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</w:tcPr>
          <w:p w14:paraId="2C0C83FF" w14:textId="77777777" w:rsidR="00DB0027" w:rsidRDefault="00DB0027" w:rsidP="00DB0027">
            <w:pPr>
              <w:spacing w:line="360" w:lineRule="auto"/>
              <w:rPr>
                <w:kern w:val="0"/>
                <w:sz w:val="18"/>
                <w:szCs w:val="18"/>
              </w:rPr>
            </w:pPr>
          </w:p>
        </w:tc>
      </w:tr>
      <w:tr w:rsidR="00DB0027" w14:paraId="09EA7ADE" w14:textId="77777777" w:rsidTr="00DB0027">
        <w:trPr>
          <w:trHeight w:val="438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649B" w14:textId="77777777" w:rsidR="00DB0027" w:rsidRDefault="00DB0027" w:rsidP="00DB0027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Mild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65B68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 (18.8%)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DA175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 (21.2%)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80F4D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 (5.9%)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FB1F3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 (8.6%)</w:t>
            </w:r>
          </w:p>
        </w:tc>
      </w:tr>
      <w:tr w:rsidR="00DB0027" w14:paraId="3B2C661E" w14:textId="77777777" w:rsidTr="00DB0027">
        <w:trPr>
          <w:trHeight w:val="306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43FC" w14:textId="77777777" w:rsidR="00DB0027" w:rsidRDefault="00DB0027" w:rsidP="00DB0027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Moderate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4C9E7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725 (25.7%)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274F6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 (25.6%)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DFD99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 (8.7%)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6B6B8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 (9.3%)</w:t>
            </w:r>
          </w:p>
        </w:tc>
      </w:tr>
      <w:tr w:rsidR="00DB0027" w14:paraId="05378EF8" w14:textId="77777777" w:rsidTr="00DB0027">
        <w:trPr>
          <w:trHeight w:val="221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6C5C" w14:textId="77777777" w:rsidR="00DB0027" w:rsidRDefault="00DB0027" w:rsidP="00DB0027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M</w:t>
            </w:r>
            <w:r>
              <w:rPr>
                <w:kern w:val="0"/>
                <w:sz w:val="18"/>
                <w:szCs w:val="18"/>
              </w:rPr>
              <w:t>oderate-severe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7C8A2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611 (21.7%)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8C612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503 (21.4%)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36480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 (15.5%)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352AE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285 (16.0%)</w:t>
            </w:r>
          </w:p>
        </w:tc>
      </w:tr>
      <w:tr w:rsidR="00DB0027" w14:paraId="1EA84FC6" w14:textId="77777777" w:rsidTr="00DB0027">
        <w:trPr>
          <w:trHeight w:val="221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46496" w14:textId="77777777" w:rsidR="00DB0027" w:rsidRDefault="00DB0027" w:rsidP="00DB0027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Severe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39393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611 (21.7%)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15A61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480 (20.4%)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4E4FA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702 (29.2%)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104F8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535 (30.0%)</w:t>
            </w:r>
          </w:p>
        </w:tc>
      </w:tr>
      <w:tr w:rsidR="00DB0027" w14:paraId="1B719BF3" w14:textId="77777777" w:rsidTr="00DB0027">
        <w:trPr>
          <w:trHeight w:val="342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922D1" w14:textId="77777777" w:rsidR="00DB0027" w:rsidRDefault="00DB0027" w:rsidP="00DB0027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</w:t>
            </w:r>
            <w:r>
              <w:rPr>
                <w:kern w:val="0"/>
                <w:sz w:val="18"/>
                <w:szCs w:val="18"/>
              </w:rPr>
              <w:t>ery severe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7522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324 (11.5%)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F5E96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249 (10.6%)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C7409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975 (40.6%)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C6B6B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643 (36.1%)</w:t>
            </w:r>
          </w:p>
        </w:tc>
      </w:tr>
      <w:tr w:rsidR="00DB0027" w14:paraId="2552D561" w14:textId="77777777" w:rsidTr="00DB0027">
        <w:trPr>
          <w:trHeight w:val="221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75F7" w14:textId="77777777" w:rsidR="00DB0027" w:rsidRDefault="00DB0027" w:rsidP="00DB0027">
            <w:pPr>
              <w:spacing w:line="360" w:lineRule="auto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Normal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289E0" w14:textId="77777777" w:rsidR="00DB0027" w:rsidRDefault="00DB0027" w:rsidP="00DB0027">
            <w:pPr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 (0.1%)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04E08" w14:textId="77777777" w:rsidR="00DB0027" w:rsidRDefault="00DB0027" w:rsidP="00DB0027">
            <w:pPr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(0.1%)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E8C2E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---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A38B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---</w:t>
            </w:r>
          </w:p>
        </w:tc>
      </w:tr>
      <w:tr w:rsidR="00DB0027" w14:paraId="70AB6CBE" w14:textId="77777777" w:rsidTr="00DB0027">
        <w:trPr>
          <w:trHeight w:val="470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0A175" w14:textId="77777777" w:rsidR="00DB0027" w:rsidRDefault="00DB0027" w:rsidP="00DB0027">
            <w:pPr>
              <w:spacing w:line="360" w:lineRule="auto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Small airway dysfunction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F00AF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 (0.2%)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A2B18" w14:textId="77777777" w:rsidR="00DB0027" w:rsidRDefault="00DB0027" w:rsidP="00DB0027">
            <w:pPr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 (0.4%)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3F250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3C28D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</w:p>
        </w:tc>
      </w:tr>
      <w:tr w:rsidR="00DB0027" w14:paraId="38EC4D3C" w14:textId="77777777" w:rsidTr="00DB0027">
        <w:trPr>
          <w:trHeight w:val="250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A6D6" w14:textId="77777777" w:rsidR="00DB0027" w:rsidRDefault="00DB0027" w:rsidP="00DB0027">
            <w:pPr>
              <w:spacing w:line="360" w:lineRule="auto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Non-specific pattern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85CA6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 (0.1%)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71E5A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 (0.1%)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43890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ACC4C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</w:p>
        </w:tc>
      </w:tr>
      <w:tr w:rsidR="00DB0027" w14:paraId="021DDB4E" w14:textId="77777777" w:rsidTr="00DB0027">
        <w:trPr>
          <w:trHeight w:val="250"/>
        </w:trPr>
        <w:tc>
          <w:tcPr>
            <w:tcW w:w="222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D787" w14:textId="77777777" w:rsidR="00DB0027" w:rsidRDefault="00DB0027" w:rsidP="00DB0027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Restrictive impairments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842FD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 (0.3%)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EC1CC" w14:textId="77777777" w:rsidR="00DB0027" w:rsidRDefault="00DB0027" w:rsidP="00DB002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 (0.3%)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7971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89EB9" w14:textId="77777777" w:rsidR="00DB0027" w:rsidRDefault="00DB0027" w:rsidP="00DB0027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</w:p>
        </w:tc>
      </w:tr>
    </w:tbl>
    <w:p w14:paraId="4E72E65F" w14:textId="235748B1" w:rsidR="00D17CAF" w:rsidRDefault="00D17CAF">
      <w:pPr>
        <w:spacing w:line="360" w:lineRule="auto"/>
      </w:pPr>
    </w:p>
    <w:p w14:paraId="1B72672A" w14:textId="77777777" w:rsidR="00D17CAF" w:rsidRDefault="00D17CAF">
      <w:pPr>
        <w:widowControl/>
        <w:jc w:val="left"/>
      </w:pPr>
      <w:r>
        <w:br w:type="page"/>
      </w:r>
    </w:p>
    <w:p w14:paraId="5998850B" w14:textId="77777777" w:rsidR="00D17CAF" w:rsidRPr="00B06966" w:rsidRDefault="00D17CAF" w:rsidP="00D17CAF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B069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Figure 1 </w:t>
      </w:r>
      <w:r w:rsidRPr="00B06966">
        <w:rPr>
          <w:rStyle w:val="A"/>
          <w:rFonts w:ascii="Times New Roman" w:hAnsi="Times New Roman" w:cs="Times New Roman"/>
          <w:sz w:val="24"/>
          <w:szCs w:val="24"/>
        </w:rPr>
        <w:t xml:space="preserve">The </w:t>
      </w:r>
      <w:r w:rsidRPr="00B06966">
        <w:rPr>
          <w:rFonts w:ascii="Times New Roman" w:hAnsi="Times New Roman" w:cs="Times New Roman"/>
          <w:sz w:val="24"/>
          <w:szCs w:val="24"/>
        </w:rPr>
        <w:t>component</w:t>
      </w:r>
      <w:r w:rsidRPr="00B06966">
        <w:rPr>
          <w:rStyle w:val="A"/>
          <w:rFonts w:ascii="Times New Roman" w:hAnsi="Times New Roman" w:cs="Times New Roman"/>
          <w:sz w:val="24"/>
          <w:szCs w:val="24"/>
        </w:rPr>
        <w:t xml:space="preserve"> percentages of BDR+ among different levels of airflow obstruction</w:t>
      </w:r>
      <w:r w:rsidRPr="00B06966">
        <w:rPr>
          <w:rStyle w:val="A"/>
          <w:rFonts w:ascii="Times New Roman" w:hAnsi="Times New Roman" w:cs="Times New Roman" w:hint="eastAsia"/>
          <w:sz w:val="24"/>
          <w:szCs w:val="24"/>
        </w:rPr>
        <w:t xml:space="preserve"> </w:t>
      </w:r>
      <w:r w:rsidRPr="00B06966">
        <w:rPr>
          <w:rFonts w:ascii="Times New Roman" w:hAnsi="Times New Roman" w:cs="Times New Roman" w:hint="eastAsia"/>
          <w:sz w:val="24"/>
          <w:szCs w:val="24"/>
        </w:rPr>
        <w:t>in asthma (A) and COPD (B)</w:t>
      </w:r>
    </w:p>
    <w:p w14:paraId="668C7050" w14:textId="248A38DD" w:rsidR="00D17CAF" w:rsidRDefault="00D17CAF">
      <w:pPr>
        <w:widowControl/>
        <w:jc w:val="left"/>
      </w:pPr>
      <w:r>
        <w:rPr>
          <w:noProof/>
        </w:rPr>
        <w:drawing>
          <wp:inline distT="0" distB="0" distL="0" distR="0" wp14:anchorId="14CF8D2A" wp14:editId="6196B0CD">
            <wp:extent cx="5467350" cy="6583136"/>
            <wp:effectExtent l="0" t="0" r="0" b="8255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50" cy="658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A615918" w14:textId="77777777" w:rsidR="00D17CAF" w:rsidRPr="00863D1A" w:rsidRDefault="00D17CAF" w:rsidP="00D17CAF">
      <w:pPr>
        <w:spacing w:line="480" w:lineRule="auto"/>
        <w:rPr>
          <w:sz w:val="20"/>
          <w:szCs w:val="20"/>
        </w:rPr>
      </w:pPr>
      <w:r w:rsidRPr="003A2B11">
        <w:rPr>
          <w:rFonts w:ascii="Times New Roman" w:hAnsi="Times New Roman" w:cs="Times New Roman"/>
          <w:b/>
          <w:bCs/>
          <w:sz w:val="20"/>
          <w:szCs w:val="20"/>
        </w:rPr>
        <w:t>Supplementary Table 2</w:t>
      </w:r>
      <w:r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Pr="00863D1A">
        <w:rPr>
          <w:rFonts w:ascii="Times New Roman" w:hAnsi="Times New Roman" w:cs="Times New Roman"/>
          <w:bCs/>
          <w:sz w:val="20"/>
          <w:szCs w:val="20"/>
        </w:rPr>
        <w:t>The component percentages of BDR+ subgroups among different levels of airflow obstruction</w:t>
      </w:r>
    </w:p>
    <w:tbl>
      <w:tblPr>
        <w:tblStyle w:val="TableNormal1"/>
        <w:tblpPr w:leftFromText="180" w:rightFromText="180" w:vertAnchor="text" w:horzAnchor="margin" w:tblpXSpec="center" w:tblpY="108"/>
        <w:tblW w:w="9356" w:type="dxa"/>
        <w:tblInd w:w="0" w:type="dxa"/>
        <w:tblBorders>
          <w:top w:val="single" w:sz="4" w:space="0" w:color="000000"/>
          <w:bottom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0"/>
        <w:gridCol w:w="1418"/>
        <w:gridCol w:w="1275"/>
        <w:gridCol w:w="1276"/>
        <w:gridCol w:w="1294"/>
        <w:gridCol w:w="1418"/>
        <w:gridCol w:w="1275"/>
      </w:tblGrid>
      <w:tr w:rsidR="00D17CAF" w14:paraId="2284BEFD" w14:textId="77777777" w:rsidTr="004A6E93">
        <w:trPr>
          <w:trHeight w:val="284"/>
        </w:trPr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D653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D125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2005-</w:t>
            </w:r>
            <w:r>
              <w:rPr>
                <w:kern w:val="0"/>
                <w:sz w:val="18"/>
                <w:szCs w:val="18"/>
              </w:rPr>
              <w:t>BDR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FEV1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4B9D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bookmarkStart w:id="4" w:name="OLE_LINK2"/>
            <w:r>
              <w:rPr>
                <w:rFonts w:hint="eastAsia"/>
                <w:kern w:val="0"/>
                <w:sz w:val="18"/>
                <w:szCs w:val="18"/>
              </w:rPr>
              <w:t>2005-</w:t>
            </w:r>
            <w:r>
              <w:rPr>
                <w:kern w:val="0"/>
                <w:sz w:val="18"/>
                <w:szCs w:val="18"/>
              </w:rPr>
              <w:t>BDR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FVC</w:t>
            </w:r>
            <w:bookmarkEnd w:id="4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9157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bookmarkStart w:id="5" w:name="OLE_LINK7"/>
            <w:r>
              <w:rPr>
                <w:rFonts w:hint="eastAsia"/>
                <w:kern w:val="0"/>
                <w:sz w:val="18"/>
                <w:szCs w:val="18"/>
              </w:rPr>
              <w:t>2005-</w:t>
            </w:r>
            <w:r>
              <w:rPr>
                <w:kern w:val="0"/>
                <w:sz w:val="18"/>
                <w:szCs w:val="18"/>
              </w:rPr>
              <w:t>BDR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Both</w:t>
            </w:r>
            <w:bookmarkEnd w:id="5"/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7F23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2021-</w:t>
            </w:r>
            <w:r>
              <w:rPr>
                <w:kern w:val="0"/>
                <w:sz w:val="18"/>
                <w:szCs w:val="18"/>
              </w:rPr>
              <w:t>BDR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FEV1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34F6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2021-</w:t>
            </w:r>
            <w:r>
              <w:rPr>
                <w:kern w:val="0"/>
                <w:sz w:val="18"/>
                <w:szCs w:val="18"/>
              </w:rPr>
              <w:t>BDR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FVC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93A3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2021-</w:t>
            </w:r>
            <w:r>
              <w:rPr>
                <w:kern w:val="0"/>
                <w:sz w:val="18"/>
                <w:szCs w:val="18"/>
              </w:rPr>
              <w:t>BDR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Both</w:t>
            </w:r>
          </w:p>
        </w:tc>
      </w:tr>
      <w:tr w:rsidR="00D17CAF" w14:paraId="18489677" w14:textId="77777777" w:rsidTr="004A6E93">
        <w:trPr>
          <w:trHeight w:val="295"/>
        </w:trPr>
        <w:tc>
          <w:tcPr>
            <w:tcW w:w="1400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FC39B" w14:textId="77777777" w:rsidR="00D17CAF" w:rsidRDefault="00D17CAF" w:rsidP="004A6E93">
            <w:pPr>
              <w:spacing w:line="480" w:lineRule="auto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Asthma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FE706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1752(62.1%)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C997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325(11.5%)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7BBA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745(26.4%)</w:t>
            </w:r>
          </w:p>
        </w:tc>
        <w:tc>
          <w:tcPr>
            <w:tcW w:w="1294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4832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1007(42.8%)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4D6D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349(14.8%)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2F55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999 (42.4%)</w:t>
            </w:r>
          </w:p>
        </w:tc>
      </w:tr>
      <w:tr w:rsidR="00D17CAF" w14:paraId="56A60F1A" w14:textId="77777777" w:rsidTr="004A6E93">
        <w:trPr>
          <w:trHeight w:val="18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0AC1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Mild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65872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BC815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7.7%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7B015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0965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35.7%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43385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94843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11.5%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117CF6E2" w14:textId="77777777" w:rsidTr="004A6E93">
        <w:trPr>
          <w:trHeight w:val="22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2D57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Moderate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34BA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31.0%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A067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B91A5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20.0%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3518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33.3%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49E81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18AF6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22.4%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20E681E7" w14:textId="77777777" w:rsidTr="004A6E93">
        <w:trPr>
          <w:trHeight w:val="22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E4CB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M</w:t>
            </w:r>
            <w:r>
              <w:rPr>
                <w:kern w:val="0"/>
                <w:sz w:val="18"/>
                <w:szCs w:val="18"/>
              </w:rPr>
              <w:t>oderate-severe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0E50F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05BD3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18.2%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F834C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CC5B0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19.6%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CAED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C5B4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24.8%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7BC7BA64" w14:textId="77777777" w:rsidTr="004A6E93">
        <w:trPr>
          <w:trHeight w:val="24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49F8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Severe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C7AC5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16.4%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EC2F0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28.0%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95631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31.3%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69F3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94214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32.1%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8D8F3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28.4%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23D7CE4D" w14:textId="77777777" w:rsidTr="004A6E93">
        <w:trPr>
          <w:trHeight w:val="26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67F8C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</w:t>
            </w:r>
            <w:r>
              <w:rPr>
                <w:kern w:val="0"/>
                <w:sz w:val="18"/>
                <w:szCs w:val="18"/>
              </w:rPr>
              <w:t>ery severe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7E306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D0364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0598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14.8%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B7236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3ADD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30.9%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4016E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12.5%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7720F8FF" w14:textId="77777777" w:rsidTr="004A6E93">
        <w:trPr>
          <w:trHeight w:val="265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24D5" w14:textId="77777777" w:rsidR="00D17CAF" w:rsidRDefault="00D17CAF" w:rsidP="004A6E93">
            <w:pPr>
              <w:spacing w:line="480" w:lineRule="auto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COPD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D672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853(35.5%)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EAFCE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1019(42.4%)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23E4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529(22.0%)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CA231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274(15.4%)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70CC4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985(55.3%)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18250" w14:textId="77777777" w:rsidR="00D17CAF" w:rsidRDefault="00D17CAF" w:rsidP="004A6E93">
            <w:pPr>
              <w:spacing w:line="480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522(29.3%)</w:t>
            </w:r>
          </w:p>
        </w:tc>
      </w:tr>
      <w:tr w:rsidR="00D17CAF" w14:paraId="45FC6316" w14:textId="77777777" w:rsidTr="004A6E93">
        <w:trPr>
          <w:trHeight w:val="27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48D8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Mild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06A32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6F74D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A179F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8EFA6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32.1%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98B0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3.1%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44233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6.5%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7A07F361" w14:textId="77777777" w:rsidTr="004A6E93">
        <w:trPr>
          <w:trHeight w:val="22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248C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Moderate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0FBBA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60BEC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45898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77C5C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22.6%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AB7A6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46088" w14:textId="77777777" w:rsidR="00D17CAF" w:rsidRDefault="00D17CAF" w:rsidP="004A6E9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11.7%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11F1B22D" w14:textId="77777777" w:rsidTr="004A6E93">
        <w:trPr>
          <w:trHeight w:val="240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D65D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M</w:t>
            </w:r>
            <w:r>
              <w:rPr>
                <w:kern w:val="0"/>
                <w:sz w:val="18"/>
                <w:szCs w:val="18"/>
              </w:rPr>
              <w:t>oderate-severe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7D96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22.3%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AA821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0BC26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EE68E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23.0%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ACE1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11.1%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7FEAB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21.6%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30C07A21" w14:textId="77777777" w:rsidTr="004A6E93">
        <w:trPr>
          <w:trHeight w:val="137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D29D7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Severe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C724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31.4%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68618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22.5%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34306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38.8%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F2434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18.2%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CD5BA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28.2%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01DB5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39.7%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7CAF" w14:paraId="1D10DE83" w14:textId="77777777" w:rsidTr="004A6E93">
        <w:trPr>
          <w:trHeight w:val="187"/>
        </w:trPr>
        <w:tc>
          <w:tcPr>
            <w:tcW w:w="14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0181" w14:textId="77777777" w:rsidR="00D17CAF" w:rsidRDefault="00D17CAF" w:rsidP="004A6E93">
            <w:pPr>
              <w:spacing w:line="48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</w:t>
            </w:r>
            <w:r>
              <w:rPr>
                <w:kern w:val="0"/>
                <w:sz w:val="18"/>
                <w:szCs w:val="18"/>
              </w:rPr>
              <w:t>ery severe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89092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17.9%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F21A7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65.0%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B042B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30.2%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BD33E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4.0%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3C165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53.3%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F31A9" w14:textId="77777777" w:rsidR="00D17CAF" w:rsidRDefault="00D17CAF" w:rsidP="004A6E93"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20.5%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2B351152" w14:textId="77777777" w:rsidR="00D17CAF" w:rsidRDefault="00D17CAF" w:rsidP="00D17CAF">
      <w:pPr>
        <w:spacing w:line="480" w:lineRule="auto"/>
        <w:jc w:val="left"/>
      </w:pPr>
    </w:p>
    <w:p w14:paraId="7420A498" w14:textId="173694B7" w:rsidR="00496BE5" w:rsidRDefault="00496BE5">
      <w:pPr>
        <w:widowControl/>
        <w:jc w:val="left"/>
      </w:pPr>
      <w:r>
        <w:br w:type="page"/>
      </w:r>
    </w:p>
    <w:p w14:paraId="62D56DA0" w14:textId="77777777" w:rsidR="00496BE5" w:rsidRPr="00B06966" w:rsidRDefault="00496BE5" w:rsidP="00496BE5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B06966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B0696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06966">
        <w:rPr>
          <w:rFonts w:ascii="Times New Roman" w:hAnsi="Times New Roman" w:cs="Times New Roman"/>
          <w:b/>
          <w:sz w:val="24"/>
          <w:szCs w:val="24"/>
        </w:rPr>
        <w:t>Figure</w:t>
      </w:r>
      <w:r w:rsidRPr="00B06966">
        <w:rPr>
          <w:rFonts w:ascii="Times New Roman" w:hAnsi="Times New Roman" w:cs="Times New Roman" w:hint="eastAsia"/>
          <w:b/>
          <w:sz w:val="24"/>
          <w:szCs w:val="24"/>
        </w:rPr>
        <w:t xml:space="preserve"> 2 </w:t>
      </w:r>
      <w:r w:rsidRPr="00B06966">
        <w:rPr>
          <w:rStyle w:val="A"/>
          <w:rFonts w:ascii="Times New Roman" w:hAnsi="Times New Roman" w:cs="Times New Roman"/>
          <w:sz w:val="24"/>
          <w:szCs w:val="24"/>
        </w:rPr>
        <w:t xml:space="preserve">The </w:t>
      </w:r>
      <w:r w:rsidRPr="00B06966">
        <w:rPr>
          <w:rFonts w:ascii="Times New Roman" w:hAnsi="Times New Roman" w:cs="Times New Roman"/>
          <w:sz w:val="24"/>
          <w:szCs w:val="24"/>
        </w:rPr>
        <w:t>component</w:t>
      </w:r>
      <w:r w:rsidRPr="00B06966">
        <w:rPr>
          <w:rStyle w:val="A"/>
          <w:rFonts w:ascii="Times New Roman" w:hAnsi="Times New Roman" w:cs="Times New Roman"/>
          <w:sz w:val="24"/>
          <w:szCs w:val="24"/>
        </w:rPr>
        <w:t xml:space="preserve"> percentages of </w:t>
      </w:r>
      <w:r w:rsidRPr="00B06966">
        <w:rPr>
          <w:rFonts w:ascii="Times New Roman" w:eastAsia="DengXian" w:hAnsi="Times New Roman" w:cs="Times New Roman"/>
          <w:sz w:val="24"/>
          <w:szCs w:val="24"/>
        </w:rPr>
        <w:t>BDR</w:t>
      </w:r>
      <w:r w:rsidRPr="00B06966">
        <w:rPr>
          <w:rFonts w:ascii="Times New Roman" w:eastAsia="DengXian" w:hAnsi="Times New Roman" w:cs="Times New Roman"/>
          <w:sz w:val="24"/>
          <w:szCs w:val="24"/>
          <w:vertAlign w:val="subscript"/>
        </w:rPr>
        <w:t>FEV1</w:t>
      </w:r>
      <w:r w:rsidRPr="00B06966">
        <w:rPr>
          <w:rFonts w:ascii="Times New Roman" w:eastAsia="DengXian" w:hAnsi="Times New Roman" w:cs="Times New Roman"/>
          <w:sz w:val="24"/>
          <w:szCs w:val="24"/>
        </w:rPr>
        <w:t>, BDR</w:t>
      </w:r>
      <w:r w:rsidRPr="00B06966">
        <w:rPr>
          <w:rFonts w:ascii="Times New Roman" w:eastAsia="DengXian" w:hAnsi="Times New Roman" w:cs="Times New Roman"/>
          <w:sz w:val="24"/>
          <w:szCs w:val="24"/>
          <w:vertAlign w:val="subscript"/>
        </w:rPr>
        <w:t>F</w:t>
      </w:r>
      <w:r w:rsidRPr="00B06966">
        <w:rPr>
          <w:rFonts w:ascii="Times New Roman" w:eastAsia="DengXian" w:hAnsi="Times New Roman" w:cs="Times New Roman" w:hint="eastAsia"/>
          <w:sz w:val="24"/>
          <w:szCs w:val="24"/>
          <w:vertAlign w:val="subscript"/>
        </w:rPr>
        <w:t>VC</w:t>
      </w:r>
      <w:r w:rsidRPr="00B06966"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 w:rsidRPr="00B06966">
        <w:rPr>
          <w:rFonts w:ascii="Times New Roman" w:eastAsia="DengXian" w:hAnsi="Times New Roman" w:cs="Times New Roman"/>
          <w:sz w:val="24"/>
          <w:szCs w:val="24"/>
        </w:rPr>
        <w:t>BDR</w:t>
      </w:r>
      <w:r w:rsidRPr="00B06966">
        <w:rPr>
          <w:rFonts w:ascii="Times New Roman" w:eastAsia="DengXian" w:hAnsi="Times New Roman" w:cs="Times New Roman"/>
          <w:sz w:val="24"/>
          <w:szCs w:val="24"/>
          <w:vertAlign w:val="subscript"/>
        </w:rPr>
        <w:t>Both</w:t>
      </w:r>
      <w:proofErr w:type="spellEnd"/>
      <w:r w:rsidRPr="00B06966">
        <w:rPr>
          <w:rStyle w:val="A"/>
          <w:rFonts w:ascii="Times New Roman" w:hAnsi="Times New Roman" w:cs="Times New Roman"/>
          <w:sz w:val="24"/>
          <w:szCs w:val="24"/>
        </w:rPr>
        <w:t xml:space="preserve"> among different levels of airflow obstruction</w:t>
      </w:r>
      <w:r w:rsidRPr="00B06966">
        <w:rPr>
          <w:rStyle w:val="A"/>
          <w:rFonts w:ascii="Times New Roman" w:hAnsi="Times New Roman" w:cs="Times New Roman" w:hint="eastAsia"/>
          <w:sz w:val="24"/>
          <w:szCs w:val="24"/>
        </w:rPr>
        <w:t xml:space="preserve"> </w:t>
      </w:r>
      <w:r w:rsidRPr="00B06966">
        <w:rPr>
          <w:rFonts w:ascii="Times New Roman" w:hAnsi="Times New Roman" w:cs="Times New Roman" w:hint="eastAsia"/>
          <w:sz w:val="24"/>
          <w:szCs w:val="24"/>
        </w:rPr>
        <w:t>in asthma (A) and COPD (B)</w:t>
      </w:r>
    </w:p>
    <w:p w14:paraId="23F400F5" w14:textId="5AD5D4DA" w:rsidR="00535A59" w:rsidRDefault="00496BE5">
      <w:pPr>
        <w:spacing w:line="360" w:lineRule="auto"/>
      </w:pPr>
      <w:r>
        <w:rPr>
          <w:noProof/>
        </w:rPr>
        <w:drawing>
          <wp:inline distT="0" distB="0" distL="0" distR="0" wp14:anchorId="128896B1" wp14:editId="57AB3F1F">
            <wp:extent cx="5506085" cy="5695950"/>
            <wp:effectExtent l="0" t="0" r="0" b="0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534" cy="570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A59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11C9" w14:textId="77777777" w:rsidR="005C16FB" w:rsidRDefault="005C16FB" w:rsidP="00513F1A">
      <w:r>
        <w:separator/>
      </w:r>
    </w:p>
  </w:endnote>
  <w:endnote w:type="continuationSeparator" w:id="0">
    <w:p w14:paraId="5E2D5AB9" w14:textId="77777777" w:rsidR="005C16FB" w:rsidRDefault="005C16FB" w:rsidP="0051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F663" w14:textId="398971EB" w:rsidR="00730DA3" w:rsidRDefault="00730D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E40E40" wp14:editId="50C711B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1a24f2ba2b6e9625abd23e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58142" w14:textId="0322D308" w:rsidR="00730DA3" w:rsidRPr="00730DA3" w:rsidRDefault="00730DA3" w:rsidP="00730DA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30DA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40E40" id="_x0000_t202" coordsize="21600,21600" o:spt="202" path="m,l,21600r21600,l21600,xe">
              <v:stroke joinstyle="miter"/>
              <v:path gradientshapeok="t" o:connecttype="rect"/>
            </v:shapetype>
            <v:shape id="MSIPCM01a24f2ba2b6e9625abd23e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78A58142" w14:textId="0322D308" w:rsidR="00730DA3" w:rsidRPr="00730DA3" w:rsidRDefault="00730DA3" w:rsidP="00730DA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30DA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7E63" w14:textId="77777777" w:rsidR="005C16FB" w:rsidRDefault="005C16FB" w:rsidP="00513F1A">
      <w:r>
        <w:separator/>
      </w:r>
    </w:p>
  </w:footnote>
  <w:footnote w:type="continuationSeparator" w:id="0">
    <w:p w14:paraId="5AE1B741" w14:textId="77777777" w:rsidR="005C16FB" w:rsidRDefault="005C16FB" w:rsidP="00513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mMDQyNGUyZjBmNDkxOTM1ODE5OTFjNjVhYmNkNzcifQ=="/>
  </w:docVars>
  <w:rsids>
    <w:rsidRoot w:val="0015628E"/>
    <w:rsid w:val="0015628E"/>
    <w:rsid w:val="00207497"/>
    <w:rsid w:val="002F1A59"/>
    <w:rsid w:val="00496BE5"/>
    <w:rsid w:val="00502FEE"/>
    <w:rsid w:val="00513F1A"/>
    <w:rsid w:val="00535A59"/>
    <w:rsid w:val="005C16FB"/>
    <w:rsid w:val="00623646"/>
    <w:rsid w:val="00695CE8"/>
    <w:rsid w:val="00730DA3"/>
    <w:rsid w:val="00855115"/>
    <w:rsid w:val="008648F2"/>
    <w:rsid w:val="008C3021"/>
    <w:rsid w:val="00AF2212"/>
    <w:rsid w:val="00D17CAF"/>
    <w:rsid w:val="00DB0027"/>
    <w:rsid w:val="00E17F1A"/>
    <w:rsid w:val="00E8651A"/>
    <w:rsid w:val="00EC6120"/>
    <w:rsid w:val="00F000D5"/>
    <w:rsid w:val="00FE4107"/>
    <w:rsid w:val="081043C8"/>
    <w:rsid w:val="0D5426EB"/>
    <w:rsid w:val="191C7400"/>
    <w:rsid w:val="2863491F"/>
    <w:rsid w:val="29637CFC"/>
    <w:rsid w:val="4F9B7C2C"/>
    <w:rsid w:val="510A346A"/>
    <w:rsid w:val="54E5076F"/>
    <w:rsid w:val="56141113"/>
    <w:rsid w:val="6A670A9A"/>
    <w:rsid w:val="7CFA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8645"/>
  <w15:docId w15:val="{0B997E20-512B-4CE3-92E0-F05F168B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无 A"/>
    <w:qFormat/>
    <w:rPr>
      <w:lang w:val="en-US"/>
    </w:rPr>
  </w:style>
  <w:style w:type="character" w:customStyle="1" w:styleId="a0">
    <w:name w:val="无"/>
    <w:qFormat/>
  </w:style>
  <w:style w:type="paragraph" w:styleId="Header">
    <w:name w:val="header"/>
    <w:basedOn w:val="Normal"/>
    <w:link w:val="HeaderChar"/>
    <w:uiPriority w:val="99"/>
    <w:unhideWhenUsed/>
    <w:rsid w:val="0051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13F1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3F1A"/>
    <w:rPr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6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51A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1A"/>
    <w:rPr>
      <w:b/>
      <w:bCs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10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 论芳</dc:creator>
  <cp:lastModifiedBy>Mel Phimester</cp:lastModifiedBy>
  <cp:revision>3</cp:revision>
  <dcterms:created xsi:type="dcterms:W3CDTF">2022-10-06T10:34:00Z</dcterms:created>
  <dcterms:modified xsi:type="dcterms:W3CDTF">2022-10-06T10:35:00Z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0C606EC12CA741C08663FD704762AC9B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2022-09-26T21:43:52Z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1cb8df68-51d3-4f3c-8269-bbf34ad02280</vt:lpwstr>
  </property>
  <property fmtid="{D5CDD505-2E9C-101B-9397-08002B2CF9AE}" pid="10" name="MSIP_Label_2bbab825-a111-45e4-86a1-18cee0005896_ContentBits">
    <vt:lpwstr>2</vt:lpwstr>
  </property>
</Properties>
</file>