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7F5BA" w14:textId="5E5B3CBF" w:rsidR="006E644D" w:rsidRPr="009510A6" w:rsidRDefault="006E644D" w:rsidP="00DD77AE">
      <w:pPr>
        <w:pStyle w:val="EndNoteBibliography"/>
        <w:spacing w:line="360" w:lineRule="auto"/>
        <w:jc w:val="center"/>
        <w:rPr>
          <w:rFonts w:ascii="Times New Roman" w:hAnsi="Times New Roman" w:cs="Times New Roman"/>
          <w:b/>
          <w:bCs/>
          <w:sz w:val="24"/>
          <w:szCs w:val="24"/>
        </w:rPr>
      </w:pPr>
      <w:r w:rsidRPr="009510A6">
        <w:rPr>
          <w:rFonts w:ascii="Times New Roman" w:hAnsi="Times New Roman" w:cs="Times New Roman"/>
          <w:b/>
          <w:bCs/>
          <w:sz w:val="24"/>
          <w:szCs w:val="24"/>
        </w:rPr>
        <w:t>Supplementary Information</w:t>
      </w:r>
    </w:p>
    <w:p w14:paraId="58DC1348" w14:textId="60F5687F" w:rsidR="00401ECA" w:rsidRDefault="00401ECA" w:rsidP="003308DD">
      <w:pPr>
        <w:pStyle w:val="EndNoteBibliography"/>
        <w:spacing w:line="360" w:lineRule="auto"/>
        <w:jc w:val="left"/>
        <w:rPr>
          <w:rFonts w:ascii="Times New Roman" w:hAnsi="Times New Roman" w:cs="Times New Roman"/>
          <w:b/>
          <w:bCs/>
          <w:color w:val="FF0000"/>
          <w:sz w:val="24"/>
          <w:szCs w:val="24"/>
        </w:rPr>
      </w:pPr>
      <w:bookmarkStart w:id="0" w:name="OLE_LINK7"/>
      <w:r>
        <w:rPr>
          <w:rFonts w:ascii="Times New Roman" w:hAnsi="Times New Roman" w:cs="Times New Roman"/>
          <w:b/>
          <w:bCs/>
          <w:color w:val="FF0000"/>
          <w:sz w:val="24"/>
          <w:szCs w:val="24"/>
        </w:rPr>
        <w:drawing>
          <wp:inline distT="0" distB="0" distL="0" distR="0" wp14:anchorId="41B6BC8F" wp14:editId="5CE94D4F">
            <wp:extent cx="5274310" cy="28263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5274310" cy="2826385"/>
                    </a:xfrm>
                    <a:prstGeom prst="rect">
                      <a:avLst/>
                    </a:prstGeom>
                  </pic:spPr>
                </pic:pic>
              </a:graphicData>
            </a:graphic>
          </wp:inline>
        </w:drawing>
      </w:r>
    </w:p>
    <w:p w14:paraId="06883AAE" w14:textId="272B4112" w:rsidR="006E29FE" w:rsidRPr="006C2500" w:rsidRDefault="006E29FE" w:rsidP="003308DD">
      <w:pPr>
        <w:pStyle w:val="EndNoteBibliography"/>
        <w:spacing w:line="360" w:lineRule="auto"/>
        <w:jc w:val="left"/>
        <w:rPr>
          <w:rFonts w:ascii="Times New Roman" w:hAnsi="Times New Roman" w:cs="Times New Roman"/>
          <w:color w:val="FF0000"/>
          <w:sz w:val="24"/>
          <w:szCs w:val="24"/>
        </w:rPr>
      </w:pPr>
      <w:r w:rsidRPr="00DE1DD0">
        <w:rPr>
          <w:rFonts w:ascii="Times New Roman" w:hAnsi="Times New Roman" w:cs="Times New Roman"/>
          <w:b/>
          <w:bCs/>
          <w:sz w:val="24"/>
          <w:szCs w:val="24"/>
        </w:rPr>
        <w:t>Supplementary Figure 1</w:t>
      </w:r>
      <w:r w:rsidRPr="00DE1DD0">
        <w:rPr>
          <w:rFonts w:ascii="Times New Roman" w:hAnsi="Times New Roman" w:cs="Times New Roman"/>
          <w:sz w:val="24"/>
          <w:szCs w:val="24"/>
        </w:rPr>
        <w:t xml:space="preserve">. </w:t>
      </w:r>
      <w:r w:rsidR="006C2500" w:rsidRPr="00DE1DD0">
        <w:rPr>
          <w:rFonts w:ascii="Times New Roman" w:hAnsi="Times New Roman" w:cs="Times New Roman"/>
          <w:sz w:val="24"/>
          <w:szCs w:val="24"/>
        </w:rPr>
        <w:t>(</w:t>
      </w:r>
      <w:r w:rsidR="00401ECA" w:rsidRPr="00DE1DD0">
        <w:rPr>
          <w:rFonts w:ascii="Times New Roman" w:hAnsi="Times New Roman" w:cs="Times New Roman"/>
          <w:b/>
          <w:bCs/>
          <w:sz w:val="24"/>
          <w:szCs w:val="24"/>
        </w:rPr>
        <w:t>a</w:t>
      </w:r>
      <w:r w:rsidR="006C2500" w:rsidRPr="00DE1DD0">
        <w:rPr>
          <w:rFonts w:ascii="Times New Roman" w:hAnsi="Times New Roman" w:cs="Times New Roman"/>
          <w:sz w:val="24"/>
          <w:szCs w:val="24"/>
        </w:rPr>
        <w:t xml:space="preserve">) </w:t>
      </w:r>
      <w:r w:rsidR="00401ECA" w:rsidRPr="00DE1DD0">
        <w:rPr>
          <w:rFonts w:ascii="Times New Roman" w:hAnsi="Times New Roman" w:cs="Times New Roman"/>
          <w:sz w:val="24"/>
          <w:szCs w:val="24"/>
        </w:rPr>
        <w:t xml:space="preserve">TEM images of different PLGA cores including 30, 150, 400, and 1000 nm. The scale bars were </w:t>
      </w:r>
      <w:r w:rsidR="00273509" w:rsidRPr="00DE1DD0">
        <w:rPr>
          <w:rFonts w:ascii="Times New Roman" w:hAnsi="Times New Roman" w:cs="Times New Roman"/>
          <w:sz w:val="24"/>
          <w:szCs w:val="24"/>
        </w:rPr>
        <w:t xml:space="preserve">denoted in the corresponding images. </w:t>
      </w:r>
      <w:r w:rsidR="006C2500" w:rsidRPr="00DE1DD0">
        <w:rPr>
          <w:rFonts w:ascii="Times New Roman" w:hAnsi="Times New Roman" w:cs="Times New Roman"/>
          <w:sz w:val="24"/>
          <w:szCs w:val="24"/>
        </w:rPr>
        <w:t>(</w:t>
      </w:r>
      <w:r w:rsidR="00401ECA" w:rsidRPr="00DE1DD0">
        <w:rPr>
          <w:rFonts w:ascii="Times New Roman" w:hAnsi="Times New Roman" w:cs="Times New Roman"/>
          <w:b/>
          <w:bCs/>
          <w:sz w:val="24"/>
          <w:szCs w:val="24"/>
        </w:rPr>
        <w:t>b</w:t>
      </w:r>
      <w:r w:rsidR="006C2500" w:rsidRPr="00DE1DD0">
        <w:rPr>
          <w:rFonts w:ascii="Times New Roman" w:hAnsi="Times New Roman" w:cs="Times New Roman"/>
          <w:sz w:val="24"/>
          <w:szCs w:val="24"/>
        </w:rPr>
        <w:t xml:space="preserve">) </w:t>
      </w:r>
      <w:r w:rsidR="00401ECA" w:rsidRPr="00DE1DD0">
        <w:rPr>
          <w:rFonts w:ascii="Times New Roman" w:hAnsi="Times New Roman" w:cs="Times New Roman"/>
          <w:sz w:val="24"/>
          <w:szCs w:val="24"/>
        </w:rPr>
        <w:t>TEM images of different RBC-NPs including 50, 180, 400, and 1000 nm.</w:t>
      </w:r>
      <w:r w:rsidR="00273509" w:rsidRPr="00DE1DD0">
        <w:rPr>
          <w:rFonts w:ascii="Times New Roman" w:hAnsi="Times New Roman" w:cs="Times New Roman"/>
          <w:sz w:val="24"/>
          <w:szCs w:val="24"/>
        </w:rPr>
        <w:t xml:space="preserve"> The scale bars were denoted in the corresponding images.</w:t>
      </w:r>
      <w:r w:rsidR="00401ECA" w:rsidRPr="00DE1DD0">
        <w:rPr>
          <w:rFonts w:ascii="Times New Roman" w:hAnsi="Times New Roman" w:cs="Times New Roman"/>
          <w:sz w:val="24"/>
          <w:szCs w:val="24"/>
        </w:rPr>
        <w:t xml:space="preserve"> </w:t>
      </w:r>
    </w:p>
    <w:p w14:paraId="6BE2BE5C" w14:textId="77777777" w:rsidR="006E29FE" w:rsidRDefault="006E29FE" w:rsidP="006E29FE">
      <w:pPr>
        <w:pStyle w:val="EndNoteBibliography"/>
        <w:rPr>
          <w:rFonts w:ascii="Times New Roman" w:hAnsi="Times New Roman" w:cs="Times New Roman"/>
          <w:sz w:val="24"/>
          <w:szCs w:val="24"/>
        </w:rPr>
        <w:sectPr w:rsidR="006E29FE">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14:paraId="7D20CA2E" w14:textId="0511BF45" w:rsidR="00BB5220" w:rsidRDefault="00645C87" w:rsidP="003308DD">
      <w:pPr>
        <w:pStyle w:val="EndNoteBibliography"/>
        <w:spacing w:line="360" w:lineRule="auto"/>
        <w:jc w:val="left"/>
        <w:rPr>
          <w:rFonts w:ascii="Times New Roman" w:hAnsi="Times New Roman" w:cs="Times New Roman"/>
          <w:sz w:val="24"/>
          <w:szCs w:val="24"/>
        </w:rPr>
      </w:pPr>
      <w:r w:rsidRPr="00645C87">
        <w:rPr>
          <w:rFonts w:ascii="Times New Roman" w:hAnsi="Times New Roman" w:cs="Times New Roman"/>
          <w:sz w:val="24"/>
          <w:szCs w:val="24"/>
        </w:rPr>
        <w:lastRenderedPageBreak/>
        <w:t>To fluorescently label PLGA core, DiD dissolved in acetone was premixed with PLGA at a 2 wt% ratio prior to the synthesis of different PLGA particles</w:t>
      </w:r>
      <w:r>
        <w:rPr>
          <w:rFonts w:ascii="Times New Roman" w:hAnsi="Times New Roman" w:cs="Times New Roman"/>
          <w:sz w:val="24"/>
          <w:szCs w:val="24"/>
        </w:rPr>
        <w:t xml:space="preserve"> (plsease find the details in ‘</w:t>
      </w:r>
      <w:r w:rsidRPr="00645C87">
        <w:rPr>
          <w:rFonts w:ascii="Times New Roman" w:hAnsi="Times New Roman" w:cs="Times New Roman"/>
          <w:i/>
          <w:iCs/>
          <w:sz w:val="24"/>
          <w:szCs w:val="24"/>
        </w:rPr>
        <w:t>Preparation and characterization of different-sized RBC-NP</w:t>
      </w:r>
      <w:r>
        <w:rPr>
          <w:rFonts w:ascii="Times New Roman" w:hAnsi="Times New Roman" w:cs="Times New Roman"/>
          <w:sz w:val="24"/>
          <w:szCs w:val="24"/>
        </w:rPr>
        <w:t>’ in the part of ‘</w:t>
      </w:r>
      <w:r w:rsidRPr="00645C87">
        <w:rPr>
          <w:rFonts w:ascii="Times New Roman" w:hAnsi="Times New Roman" w:cs="Times New Roman"/>
          <w:b/>
          <w:bCs/>
          <w:sz w:val="24"/>
          <w:szCs w:val="24"/>
        </w:rPr>
        <w:t>Material and methods</w:t>
      </w:r>
      <w:r>
        <w:rPr>
          <w:rFonts w:ascii="Times New Roman" w:hAnsi="Times New Roman" w:cs="Times New Roman"/>
          <w:sz w:val="24"/>
          <w:szCs w:val="24"/>
        </w:rPr>
        <w:t>’ in the main text)</w:t>
      </w:r>
      <w:r w:rsidRPr="00645C87">
        <w:rPr>
          <w:rFonts w:ascii="Times New Roman" w:hAnsi="Times New Roman" w:cs="Times New Roman"/>
          <w:sz w:val="24"/>
          <w:szCs w:val="24"/>
        </w:rPr>
        <w:t xml:space="preserve">. </w:t>
      </w:r>
      <w:r w:rsidR="00BB5220">
        <w:rPr>
          <w:rFonts w:ascii="Times New Roman" w:hAnsi="Times New Roman" w:cs="Times New Roman"/>
          <w:sz w:val="24"/>
          <w:szCs w:val="24"/>
        </w:rPr>
        <w:t>After systhesis of four sized DiD</w:t>
      </w:r>
      <w:r w:rsidR="00C429FB">
        <w:rPr>
          <w:rFonts w:ascii="Times New Roman" w:hAnsi="Times New Roman" w:cs="Times New Roman"/>
          <w:sz w:val="24"/>
          <w:szCs w:val="24"/>
        </w:rPr>
        <w:t>-</w:t>
      </w:r>
      <w:r w:rsidR="00BB5220">
        <w:rPr>
          <w:rFonts w:ascii="Times New Roman" w:hAnsi="Times New Roman" w:cs="Times New Roman"/>
          <w:sz w:val="24"/>
          <w:szCs w:val="24"/>
        </w:rPr>
        <w:t>labelling RBC-NP</w:t>
      </w:r>
      <w:r w:rsidR="00C429FB">
        <w:rPr>
          <w:rFonts w:ascii="Times New Roman" w:hAnsi="Times New Roman" w:cs="Times New Roman"/>
          <w:sz w:val="24"/>
          <w:szCs w:val="24"/>
        </w:rPr>
        <w:t xml:space="preserve"> including 50, 180, 400, and 1000 nm</w:t>
      </w:r>
      <w:r w:rsidR="00BB5220">
        <w:rPr>
          <w:rFonts w:ascii="Times New Roman" w:hAnsi="Times New Roman" w:cs="Times New Roman"/>
          <w:sz w:val="24"/>
          <w:szCs w:val="24"/>
        </w:rPr>
        <w:t xml:space="preserve">, equivalent concentration of </w:t>
      </w:r>
      <w:r w:rsidR="003308DD">
        <w:rPr>
          <w:rFonts w:ascii="Times New Roman" w:hAnsi="Times New Roman" w:cs="Times New Roman"/>
          <w:sz w:val="24"/>
          <w:szCs w:val="24"/>
        </w:rPr>
        <w:t xml:space="preserve">all four </w:t>
      </w:r>
      <w:r w:rsidR="00BB5220">
        <w:rPr>
          <w:rFonts w:ascii="Times New Roman" w:hAnsi="Times New Roman" w:cs="Times New Roman"/>
          <w:sz w:val="24"/>
          <w:szCs w:val="24"/>
        </w:rPr>
        <w:t xml:space="preserve">RBC-NP </w:t>
      </w:r>
      <w:r w:rsidR="00F5791E">
        <w:rPr>
          <w:rFonts w:ascii="Times New Roman" w:hAnsi="Times New Roman" w:cs="Times New Roman"/>
          <w:sz w:val="24"/>
          <w:szCs w:val="24"/>
        </w:rPr>
        <w:t xml:space="preserve">at 0.1 mg/mL </w:t>
      </w:r>
      <w:r w:rsidR="003308DD">
        <w:rPr>
          <w:rFonts w:ascii="Times New Roman" w:hAnsi="Times New Roman" w:cs="Times New Roman"/>
          <w:sz w:val="24"/>
          <w:szCs w:val="24"/>
        </w:rPr>
        <w:t xml:space="preserve">(cell membrane protein) </w:t>
      </w:r>
      <w:r w:rsidR="00273AF9">
        <w:rPr>
          <w:rFonts w:ascii="Times New Roman" w:hAnsi="Times New Roman" w:cs="Times New Roman"/>
          <w:sz w:val="24"/>
          <w:szCs w:val="24"/>
        </w:rPr>
        <w:t>in 100</w:t>
      </w:r>
      <w:r w:rsidR="00273AF9" w:rsidRPr="00273AF9">
        <w:rPr>
          <w:rFonts w:ascii="Times New Roman" w:hAnsi="Times New Roman" w:cs="Times New Roman"/>
          <w:sz w:val="24"/>
          <w:szCs w:val="24"/>
        </w:rPr>
        <w:t xml:space="preserve"> μL</w:t>
      </w:r>
      <w:r w:rsidR="00273AF9">
        <w:rPr>
          <w:rFonts w:ascii="Times New Roman" w:hAnsi="Times New Roman" w:cs="Times New Roman"/>
          <w:sz w:val="24"/>
          <w:szCs w:val="24"/>
        </w:rPr>
        <w:t xml:space="preserve"> </w:t>
      </w:r>
      <w:r w:rsidR="00F5791E">
        <w:rPr>
          <w:rFonts w:ascii="Times New Roman" w:hAnsi="Times New Roman" w:cs="Times New Roman"/>
          <w:sz w:val="24"/>
          <w:szCs w:val="24"/>
        </w:rPr>
        <w:t xml:space="preserve">was used for </w:t>
      </w:r>
      <w:r w:rsidR="00273AF9">
        <w:rPr>
          <w:rFonts w:ascii="Times New Roman" w:hAnsi="Times New Roman" w:cs="Times New Roman"/>
          <w:sz w:val="24"/>
          <w:szCs w:val="24"/>
        </w:rPr>
        <w:t xml:space="preserve">subsequent </w:t>
      </w:r>
      <w:r w:rsidR="00F5791E">
        <w:rPr>
          <w:rFonts w:ascii="Times New Roman" w:hAnsi="Times New Roman" w:cs="Times New Roman"/>
          <w:sz w:val="24"/>
          <w:szCs w:val="24"/>
        </w:rPr>
        <w:t>measurement. F</w:t>
      </w:r>
      <w:r w:rsidR="00F5791E" w:rsidRPr="00F5791E">
        <w:rPr>
          <w:rFonts w:ascii="Times New Roman" w:hAnsi="Times New Roman" w:cs="Times New Roman"/>
          <w:sz w:val="24"/>
          <w:szCs w:val="24"/>
        </w:rPr>
        <w:t xml:space="preserve">lourescence intensity </w:t>
      </w:r>
      <w:r w:rsidR="00F5791E">
        <w:rPr>
          <w:rFonts w:ascii="Times New Roman" w:hAnsi="Times New Roman" w:cs="Times New Roman"/>
          <w:sz w:val="24"/>
          <w:szCs w:val="24"/>
        </w:rPr>
        <w:t>was quantified at</w:t>
      </w:r>
      <w:r w:rsidR="00273AF9" w:rsidRPr="00273AF9">
        <w:rPr>
          <w:rFonts w:ascii="Times New Roman" w:hAnsi="Times New Roman" w:cs="Times New Roman"/>
          <w:sz w:val="24"/>
          <w:szCs w:val="24"/>
        </w:rPr>
        <w:t xml:space="preserve"> an excitation/emission of 630/670 nm using a plate reader. </w:t>
      </w:r>
    </w:p>
    <w:p w14:paraId="7426337F" w14:textId="77777777" w:rsidR="003308DD" w:rsidRDefault="00C429FB" w:rsidP="003308DD">
      <w:pPr>
        <w:pStyle w:val="EndNoteBibliography"/>
        <w:spacing w:line="360" w:lineRule="auto"/>
        <w:jc w:val="center"/>
        <w:rPr>
          <w:rFonts w:ascii="Times New Roman" w:hAnsi="Times New Roman" w:cs="Times New Roman"/>
          <w:b/>
          <w:bCs/>
          <w:sz w:val="24"/>
          <w:szCs w:val="24"/>
        </w:rPr>
      </w:pPr>
      <w:r>
        <w:rPr>
          <w:rFonts w:ascii="Times New Roman" w:hAnsi="Times New Roman" w:cs="Times New Roman"/>
          <w:sz w:val="24"/>
          <w:szCs w:val="24"/>
        </w:rPr>
        <w:drawing>
          <wp:inline distT="0" distB="0" distL="0" distR="0" wp14:anchorId="7327EDAE" wp14:editId="47A96D76">
            <wp:extent cx="3697224" cy="2453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a:fillRect/>
                    </a:stretch>
                  </pic:blipFill>
                  <pic:spPr>
                    <a:xfrm>
                      <a:off x="0" y="0"/>
                      <a:ext cx="3697224" cy="2453640"/>
                    </a:xfrm>
                    <a:prstGeom prst="rect">
                      <a:avLst/>
                    </a:prstGeom>
                  </pic:spPr>
                </pic:pic>
              </a:graphicData>
            </a:graphic>
          </wp:inline>
        </w:drawing>
      </w:r>
    </w:p>
    <w:p w14:paraId="0AAD7C39" w14:textId="030DEE4D" w:rsidR="006E29FE" w:rsidRDefault="006E29FE" w:rsidP="003308DD">
      <w:pPr>
        <w:pStyle w:val="EndNoteBibliography"/>
        <w:spacing w:line="360" w:lineRule="auto"/>
        <w:jc w:val="left"/>
        <w:rPr>
          <w:rFonts w:ascii="Times New Roman" w:hAnsi="Times New Roman" w:cs="Times New Roman"/>
          <w:sz w:val="24"/>
          <w:szCs w:val="24"/>
        </w:rPr>
        <w:sectPr w:rsidR="006E29FE">
          <w:pgSz w:w="11906" w:h="16838"/>
          <w:pgMar w:top="1440" w:right="1800" w:bottom="1440" w:left="1800" w:header="851" w:footer="992" w:gutter="0"/>
          <w:cols w:space="425"/>
          <w:docGrid w:type="lines" w:linePitch="312"/>
        </w:sectPr>
      </w:pPr>
      <w:r w:rsidRPr="00DE1DD0">
        <w:rPr>
          <w:rFonts w:ascii="Times New Roman" w:hAnsi="Times New Roman" w:cs="Times New Roman"/>
          <w:b/>
          <w:bCs/>
          <w:sz w:val="24"/>
          <w:szCs w:val="24"/>
        </w:rPr>
        <w:t xml:space="preserve">Supplementary Figure </w:t>
      </w:r>
      <w:r w:rsidRPr="00DE1DD0">
        <w:rPr>
          <w:rFonts w:ascii="Times New Roman" w:hAnsi="Times New Roman" w:cs="Times New Roman" w:hint="eastAsia"/>
          <w:b/>
          <w:bCs/>
          <w:sz w:val="24"/>
          <w:szCs w:val="24"/>
        </w:rPr>
        <w:t>2</w:t>
      </w:r>
      <w:r w:rsidRPr="00DE1DD0">
        <w:rPr>
          <w:rFonts w:ascii="Times New Roman" w:hAnsi="Times New Roman" w:cs="Times New Roman"/>
          <w:b/>
          <w:bCs/>
          <w:sz w:val="24"/>
          <w:szCs w:val="24"/>
        </w:rPr>
        <w:t xml:space="preserve">. </w:t>
      </w:r>
      <w:r w:rsidR="003308DD" w:rsidRPr="00DE1DD0">
        <w:rPr>
          <w:rFonts w:ascii="Times New Roman" w:hAnsi="Times New Roman" w:cs="Times New Roman"/>
          <w:sz w:val="24"/>
          <w:szCs w:val="24"/>
        </w:rPr>
        <w:t>DiD dye loading content in four sized RBC-NP after synthesis, including 50, 180, 400, and 1000 nm. n = 3</w:t>
      </w:r>
      <w:r w:rsidR="00C67377" w:rsidRPr="00DE1DD0">
        <w:rPr>
          <w:rFonts w:ascii="Times New Roman" w:hAnsi="Times New Roman" w:cs="Times New Roman"/>
          <w:sz w:val="24"/>
          <w:szCs w:val="24"/>
        </w:rPr>
        <w:t>, mean ± sd</w:t>
      </w:r>
      <w:r w:rsidR="003308DD" w:rsidRPr="00DE1DD0">
        <w:rPr>
          <w:rFonts w:ascii="Times New Roman" w:hAnsi="Times New Roman" w:cs="Times New Roman"/>
          <w:sz w:val="24"/>
          <w:szCs w:val="24"/>
        </w:rPr>
        <w:t xml:space="preserve">.  </w:t>
      </w:r>
    </w:p>
    <w:p w14:paraId="1456AB86" w14:textId="066571E6" w:rsidR="00AE40A2" w:rsidRPr="009510A6" w:rsidRDefault="00BC7A43" w:rsidP="006E644D">
      <w:pPr>
        <w:pStyle w:val="EndNoteBibliography"/>
        <w:spacing w:line="360" w:lineRule="auto"/>
        <w:rPr>
          <w:rFonts w:ascii="Times New Roman" w:hAnsi="Times New Roman" w:cs="Times New Roman"/>
          <w:b/>
          <w:bCs/>
          <w:sz w:val="24"/>
          <w:szCs w:val="24"/>
        </w:rPr>
      </w:pPr>
      <w:r w:rsidRPr="009510A6">
        <w:rPr>
          <w:rFonts w:ascii="Times New Roman" w:hAnsi="Times New Roman" w:cs="Times New Roman"/>
          <w:b/>
          <w:bCs/>
          <w:sz w:val="24"/>
          <w:szCs w:val="24"/>
        </w:rPr>
        <w:lastRenderedPageBreak/>
        <w:drawing>
          <wp:inline distT="0" distB="0" distL="0" distR="0" wp14:anchorId="7CCF2751" wp14:editId="523713D5">
            <wp:extent cx="5047488" cy="516636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5047488" cy="5166360"/>
                    </a:xfrm>
                    <a:prstGeom prst="rect">
                      <a:avLst/>
                    </a:prstGeom>
                  </pic:spPr>
                </pic:pic>
              </a:graphicData>
            </a:graphic>
          </wp:inline>
        </w:drawing>
      </w:r>
    </w:p>
    <w:p w14:paraId="090AA9DB" w14:textId="79A4CFB8" w:rsidR="006E644D" w:rsidRPr="003308DD" w:rsidRDefault="00F07A77" w:rsidP="003308DD">
      <w:pPr>
        <w:pStyle w:val="EndNoteBibliography"/>
        <w:spacing w:line="360" w:lineRule="auto"/>
        <w:jc w:val="left"/>
        <w:rPr>
          <w:rFonts w:ascii="Times New Roman" w:hAnsi="Times New Roman" w:cs="Times New Roman"/>
          <w:sz w:val="24"/>
          <w:szCs w:val="24"/>
        </w:rPr>
      </w:pPr>
      <w:bookmarkStart w:id="1" w:name="_Hlk96096944"/>
      <w:r w:rsidRPr="003308DD">
        <w:rPr>
          <w:rFonts w:ascii="Times New Roman" w:hAnsi="Times New Roman" w:cs="Times New Roman"/>
          <w:b/>
          <w:bCs/>
          <w:sz w:val="24"/>
          <w:szCs w:val="24"/>
        </w:rPr>
        <w:t>Supplementary Figure</w:t>
      </w:r>
      <w:r w:rsidR="006E644D" w:rsidRPr="003308DD">
        <w:rPr>
          <w:rFonts w:ascii="Times New Roman" w:hAnsi="Times New Roman" w:cs="Times New Roman"/>
          <w:b/>
          <w:bCs/>
          <w:sz w:val="24"/>
          <w:szCs w:val="24"/>
        </w:rPr>
        <w:t xml:space="preserve"> </w:t>
      </w:r>
      <w:bookmarkEnd w:id="1"/>
      <w:r w:rsidR="006E29FE" w:rsidRPr="003308DD">
        <w:rPr>
          <w:rFonts w:ascii="Times New Roman" w:hAnsi="Times New Roman" w:cs="Times New Roman"/>
          <w:b/>
          <w:bCs/>
          <w:sz w:val="24"/>
          <w:szCs w:val="24"/>
        </w:rPr>
        <w:t>3</w:t>
      </w:r>
      <w:r w:rsidR="006E644D" w:rsidRPr="003308DD">
        <w:rPr>
          <w:rFonts w:ascii="Times New Roman" w:hAnsi="Times New Roman" w:cs="Times New Roman"/>
          <w:sz w:val="24"/>
          <w:szCs w:val="24"/>
        </w:rPr>
        <w:t>.</w:t>
      </w:r>
      <w:bookmarkEnd w:id="0"/>
      <w:r w:rsidR="006E644D" w:rsidRPr="003308DD">
        <w:rPr>
          <w:rFonts w:ascii="Times New Roman" w:hAnsi="Times New Roman" w:cs="Times New Roman"/>
          <w:sz w:val="24"/>
          <w:szCs w:val="24"/>
        </w:rPr>
        <w:t xml:space="preserve"> </w:t>
      </w:r>
      <w:bookmarkStart w:id="2" w:name="OLE_LINK2"/>
      <w:r w:rsidR="006D7AA9" w:rsidRPr="006D7AA9">
        <w:rPr>
          <w:rFonts w:ascii="Times New Roman" w:hAnsi="Times New Roman" w:cs="Times New Roman"/>
          <w:sz w:val="24"/>
          <w:szCs w:val="24"/>
        </w:rPr>
        <w:t>HE staining images of the major organs including heart, liver, spleen, lungs, kidneys, and placentas were collected on 48 h after being treated by 1HD or 3LD of RBC-NP-50 by i.v. injections. Scale bar in HE images of spleen and placenta is expressed as 500 μm, whereas it indicates 250 μm in images of other tissues including heart, liver, lung, and kidney.</w:t>
      </w:r>
      <w:r w:rsidR="00352183" w:rsidRPr="009510A6">
        <w:rPr>
          <w:rFonts w:ascii="Times New Roman" w:hAnsi="Times New Roman" w:cs="Times New Roman"/>
          <w:sz w:val="24"/>
          <w:szCs w:val="24"/>
        </w:rPr>
        <w:t>.</w:t>
      </w:r>
    </w:p>
    <w:bookmarkEnd w:id="2"/>
    <w:p w14:paraId="60BA0E30" w14:textId="3AF8DF1E" w:rsidR="0065196A" w:rsidRPr="009510A6" w:rsidRDefault="00BC7A43" w:rsidP="006E644D">
      <w:pPr>
        <w:pStyle w:val="EndNoteBibliography"/>
        <w:spacing w:line="360" w:lineRule="auto"/>
        <w:rPr>
          <w:rFonts w:ascii="Times New Roman" w:hAnsi="Times New Roman" w:cs="Times New Roman"/>
          <w:color w:val="000000" w:themeColor="text1"/>
          <w:sz w:val="24"/>
          <w:szCs w:val="24"/>
        </w:rPr>
      </w:pPr>
      <w:r w:rsidRPr="009510A6">
        <w:rPr>
          <w:rFonts w:ascii="Times New Roman" w:hAnsi="Times New Roman" w:cs="Times New Roman"/>
          <w:color w:val="000000" w:themeColor="text1"/>
          <w:sz w:val="24"/>
          <w:szCs w:val="24"/>
        </w:rPr>
        <w:lastRenderedPageBreak/>
        <w:drawing>
          <wp:inline distT="0" distB="0" distL="0" distR="0" wp14:anchorId="789454B1" wp14:editId="13B84F64">
            <wp:extent cx="5274310" cy="2955290"/>
            <wp:effectExtent l="0" t="0" r="254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pic:nvPicPr>
                  <pic:blipFill>
                    <a:blip r:embed="rId16"/>
                    <a:stretch>
                      <a:fillRect/>
                    </a:stretch>
                  </pic:blipFill>
                  <pic:spPr>
                    <a:xfrm>
                      <a:off x="0" y="0"/>
                      <a:ext cx="5274310" cy="2955290"/>
                    </a:xfrm>
                    <a:prstGeom prst="rect">
                      <a:avLst/>
                    </a:prstGeom>
                  </pic:spPr>
                </pic:pic>
              </a:graphicData>
            </a:graphic>
          </wp:inline>
        </w:drawing>
      </w:r>
    </w:p>
    <w:p w14:paraId="39A87AD5" w14:textId="77D5A848" w:rsidR="0006549E" w:rsidRPr="009510A6" w:rsidRDefault="00F07A77" w:rsidP="003308DD">
      <w:pPr>
        <w:pStyle w:val="EndNoteBibliography"/>
        <w:spacing w:line="360" w:lineRule="auto"/>
        <w:jc w:val="left"/>
        <w:rPr>
          <w:rFonts w:ascii="Times New Roman" w:hAnsi="Times New Roman" w:cs="Times New Roman"/>
          <w:sz w:val="24"/>
          <w:szCs w:val="24"/>
        </w:rPr>
      </w:pPr>
      <w:bookmarkStart w:id="3" w:name="OLE_LINK1"/>
      <w:bookmarkStart w:id="4" w:name="OLE_LINK9"/>
      <w:r w:rsidRPr="003308DD">
        <w:rPr>
          <w:rFonts w:ascii="Times New Roman" w:hAnsi="Times New Roman" w:cs="Times New Roman"/>
          <w:b/>
          <w:bCs/>
          <w:sz w:val="24"/>
          <w:szCs w:val="24"/>
        </w:rPr>
        <w:t>Supplementary Figure</w:t>
      </w:r>
      <w:r w:rsidR="006E644D" w:rsidRPr="003308DD">
        <w:rPr>
          <w:rFonts w:ascii="Times New Roman" w:hAnsi="Times New Roman" w:cs="Times New Roman"/>
          <w:b/>
          <w:bCs/>
          <w:sz w:val="24"/>
          <w:szCs w:val="24"/>
        </w:rPr>
        <w:t xml:space="preserve"> </w:t>
      </w:r>
      <w:bookmarkEnd w:id="3"/>
      <w:r w:rsidR="006E29FE" w:rsidRPr="003308DD">
        <w:rPr>
          <w:rFonts w:ascii="Times New Roman" w:hAnsi="Times New Roman" w:cs="Times New Roman"/>
          <w:b/>
          <w:bCs/>
          <w:sz w:val="24"/>
          <w:szCs w:val="24"/>
        </w:rPr>
        <w:t>4</w:t>
      </w:r>
      <w:r w:rsidR="006E644D" w:rsidRPr="003308DD">
        <w:rPr>
          <w:rFonts w:ascii="Times New Roman" w:hAnsi="Times New Roman" w:cs="Times New Roman"/>
          <w:sz w:val="24"/>
          <w:szCs w:val="24"/>
        </w:rPr>
        <w:t>.</w:t>
      </w:r>
      <w:bookmarkEnd w:id="4"/>
      <w:r w:rsidR="006E644D" w:rsidRPr="003308DD">
        <w:rPr>
          <w:rFonts w:ascii="Times New Roman" w:hAnsi="Times New Roman" w:cs="Times New Roman"/>
          <w:sz w:val="24"/>
          <w:szCs w:val="24"/>
        </w:rPr>
        <w:t xml:space="preserve"> </w:t>
      </w:r>
      <w:r w:rsidR="006D7AA9" w:rsidRPr="006D7AA9">
        <w:rPr>
          <w:rFonts w:ascii="Times New Roman" w:hAnsi="Times New Roman" w:cs="Times New Roman"/>
          <w:sz w:val="24"/>
          <w:szCs w:val="24"/>
        </w:rPr>
        <w:t>Fetal brains at 48 h after treatment of 1HD or 3LD of RBC-NP-50 or brains of juvenile mice at 21 d post-birth after treated 1HD or 3LD of RBC-NP-50, were analyzed by high throughput mRNA sequencing. All dosing regimens were achieved by intravenous injection. Hot colors indicate upregulated genes, whereas cold colors represent downregulated genes. n = 3.</w:t>
      </w:r>
    </w:p>
    <w:p w14:paraId="7FE65005" w14:textId="193BE702" w:rsidR="00671AD1" w:rsidRDefault="00671AD1" w:rsidP="00C12E24">
      <w:pPr>
        <w:pStyle w:val="EndNoteBibliography"/>
        <w:rPr>
          <w:rFonts w:ascii="Times New Roman" w:hAnsi="Times New Roman" w:cs="Times New Roman"/>
          <w:sz w:val="24"/>
          <w:szCs w:val="24"/>
        </w:rPr>
      </w:pPr>
    </w:p>
    <w:p w14:paraId="2A19EE80" w14:textId="45693C8A" w:rsidR="00DD77AE" w:rsidRDefault="00DD77AE" w:rsidP="00C12E24">
      <w:pPr>
        <w:pStyle w:val="EndNoteBibliography"/>
        <w:rPr>
          <w:rFonts w:ascii="Times New Roman" w:hAnsi="Times New Roman" w:cs="Times New Roman"/>
          <w:sz w:val="24"/>
          <w:szCs w:val="24"/>
        </w:rPr>
      </w:pPr>
    </w:p>
    <w:p w14:paraId="71444462" w14:textId="63006407" w:rsidR="00DD77AE" w:rsidRDefault="00DD77AE" w:rsidP="00C12E24">
      <w:pPr>
        <w:pStyle w:val="EndNoteBibliography"/>
        <w:rPr>
          <w:rFonts w:ascii="Times New Roman" w:hAnsi="Times New Roman" w:cs="Times New Roman"/>
          <w:sz w:val="24"/>
          <w:szCs w:val="24"/>
        </w:rPr>
      </w:pPr>
    </w:p>
    <w:p w14:paraId="210A4746" w14:textId="225CFD08" w:rsidR="00DD77AE" w:rsidRDefault="00DD77AE" w:rsidP="00C12E24">
      <w:pPr>
        <w:pStyle w:val="EndNoteBibliography"/>
        <w:rPr>
          <w:rFonts w:ascii="Times New Roman" w:hAnsi="Times New Roman" w:cs="Times New Roman"/>
          <w:sz w:val="24"/>
          <w:szCs w:val="24"/>
        </w:rPr>
      </w:pPr>
    </w:p>
    <w:p w14:paraId="6463E303" w14:textId="6708D263" w:rsidR="00DD77AE" w:rsidRDefault="00DD77AE" w:rsidP="00C12E24">
      <w:pPr>
        <w:pStyle w:val="EndNoteBibliography"/>
        <w:rPr>
          <w:rFonts w:ascii="Times New Roman" w:hAnsi="Times New Roman" w:cs="Times New Roman"/>
          <w:sz w:val="24"/>
          <w:szCs w:val="24"/>
        </w:rPr>
      </w:pPr>
    </w:p>
    <w:p w14:paraId="587C1A2C" w14:textId="2C04EDA4" w:rsidR="00DD77AE" w:rsidRDefault="00DD77AE" w:rsidP="00C12E24">
      <w:pPr>
        <w:pStyle w:val="EndNoteBibliography"/>
        <w:rPr>
          <w:rFonts w:ascii="Times New Roman" w:hAnsi="Times New Roman" w:cs="Times New Roman"/>
          <w:sz w:val="24"/>
          <w:szCs w:val="24"/>
        </w:rPr>
      </w:pPr>
    </w:p>
    <w:p w14:paraId="541D7662" w14:textId="09536439" w:rsidR="00DD77AE" w:rsidRDefault="00DD77AE" w:rsidP="00C12E24">
      <w:pPr>
        <w:pStyle w:val="EndNoteBibliography"/>
        <w:rPr>
          <w:rFonts w:ascii="Times New Roman" w:hAnsi="Times New Roman" w:cs="Times New Roman"/>
          <w:sz w:val="24"/>
          <w:szCs w:val="24"/>
        </w:rPr>
      </w:pPr>
    </w:p>
    <w:p w14:paraId="5F389148" w14:textId="182A684D" w:rsidR="00DD77AE" w:rsidRDefault="00DD77AE" w:rsidP="00C12E24">
      <w:pPr>
        <w:pStyle w:val="EndNoteBibliography"/>
        <w:rPr>
          <w:rFonts w:ascii="Times New Roman" w:hAnsi="Times New Roman" w:cs="Times New Roman"/>
          <w:sz w:val="24"/>
          <w:szCs w:val="24"/>
        </w:rPr>
      </w:pPr>
    </w:p>
    <w:p w14:paraId="2DF01017" w14:textId="6DA60C15" w:rsidR="00DD77AE" w:rsidRDefault="00DD77AE" w:rsidP="00C12E24">
      <w:pPr>
        <w:pStyle w:val="EndNoteBibliography"/>
        <w:rPr>
          <w:rFonts w:ascii="Times New Roman" w:hAnsi="Times New Roman" w:cs="Times New Roman"/>
          <w:sz w:val="24"/>
          <w:szCs w:val="24"/>
        </w:rPr>
      </w:pPr>
    </w:p>
    <w:p w14:paraId="162A77A5" w14:textId="763CABB6" w:rsidR="00DD77AE" w:rsidRDefault="00DD77AE" w:rsidP="00C12E24">
      <w:pPr>
        <w:pStyle w:val="EndNoteBibliography"/>
        <w:rPr>
          <w:rFonts w:ascii="Times New Roman" w:hAnsi="Times New Roman" w:cs="Times New Roman"/>
          <w:sz w:val="24"/>
          <w:szCs w:val="24"/>
        </w:rPr>
      </w:pPr>
    </w:p>
    <w:p w14:paraId="10945CDB" w14:textId="26BAFB3A" w:rsidR="00DD77AE" w:rsidRDefault="00DD77AE" w:rsidP="00C12E24">
      <w:pPr>
        <w:pStyle w:val="EndNoteBibliography"/>
        <w:rPr>
          <w:rFonts w:ascii="Times New Roman" w:hAnsi="Times New Roman" w:cs="Times New Roman"/>
          <w:sz w:val="24"/>
          <w:szCs w:val="24"/>
        </w:rPr>
      </w:pPr>
    </w:p>
    <w:p w14:paraId="6E44A65A" w14:textId="5AAEB312" w:rsidR="00DD77AE" w:rsidRDefault="00DD77AE" w:rsidP="00C12E24">
      <w:pPr>
        <w:pStyle w:val="EndNoteBibliography"/>
        <w:rPr>
          <w:rFonts w:ascii="Times New Roman" w:hAnsi="Times New Roman" w:cs="Times New Roman"/>
          <w:sz w:val="24"/>
          <w:szCs w:val="24"/>
        </w:rPr>
      </w:pPr>
    </w:p>
    <w:p w14:paraId="7B18946C" w14:textId="79030019" w:rsidR="00DD77AE" w:rsidRDefault="00DD77AE" w:rsidP="00C12E24">
      <w:pPr>
        <w:pStyle w:val="EndNoteBibliography"/>
        <w:rPr>
          <w:rFonts w:ascii="Times New Roman" w:hAnsi="Times New Roman" w:cs="Times New Roman"/>
          <w:sz w:val="24"/>
          <w:szCs w:val="24"/>
        </w:rPr>
      </w:pPr>
    </w:p>
    <w:p w14:paraId="0327AB82" w14:textId="23EB4769" w:rsidR="00DD77AE" w:rsidRDefault="00DD77AE" w:rsidP="00C12E24">
      <w:pPr>
        <w:pStyle w:val="EndNoteBibliography"/>
        <w:rPr>
          <w:rFonts w:ascii="Times New Roman" w:hAnsi="Times New Roman" w:cs="Times New Roman"/>
          <w:sz w:val="24"/>
          <w:szCs w:val="24"/>
        </w:rPr>
      </w:pPr>
    </w:p>
    <w:p w14:paraId="141F4EEE" w14:textId="1023CB64" w:rsidR="00DD77AE" w:rsidRDefault="00DD77AE" w:rsidP="00C12E24">
      <w:pPr>
        <w:pStyle w:val="EndNoteBibliography"/>
        <w:rPr>
          <w:rFonts w:ascii="Times New Roman" w:hAnsi="Times New Roman" w:cs="Times New Roman"/>
          <w:sz w:val="24"/>
          <w:szCs w:val="24"/>
        </w:rPr>
      </w:pPr>
    </w:p>
    <w:p w14:paraId="483E8761" w14:textId="21DC7C17" w:rsidR="00DD77AE" w:rsidRDefault="00DD77AE" w:rsidP="00C12E24">
      <w:pPr>
        <w:pStyle w:val="EndNoteBibliography"/>
        <w:rPr>
          <w:rFonts w:ascii="Times New Roman" w:hAnsi="Times New Roman" w:cs="Times New Roman"/>
          <w:sz w:val="24"/>
          <w:szCs w:val="24"/>
        </w:rPr>
      </w:pPr>
    </w:p>
    <w:p w14:paraId="22914EC1" w14:textId="3B871822" w:rsidR="00DD77AE" w:rsidRDefault="00DD77AE" w:rsidP="00C12E24">
      <w:pPr>
        <w:pStyle w:val="EndNoteBibliography"/>
        <w:rPr>
          <w:rFonts w:ascii="Times New Roman" w:hAnsi="Times New Roman" w:cs="Times New Roman"/>
          <w:sz w:val="24"/>
          <w:szCs w:val="24"/>
        </w:rPr>
      </w:pPr>
    </w:p>
    <w:p w14:paraId="48B597E8" w14:textId="79918B06" w:rsidR="00DD77AE" w:rsidRDefault="00DD77AE" w:rsidP="00C12E24">
      <w:pPr>
        <w:pStyle w:val="EndNoteBibliography"/>
        <w:rPr>
          <w:rFonts w:ascii="Times New Roman" w:hAnsi="Times New Roman" w:cs="Times New Roman"/>
          <w:sz w:val="24"/>
          <w:szCs w:val="24"/>
        </w:rPr>
      </w:pPr>
    </w:p>
    <w:p w14:paraId="5F8F6D06" w14:textId="1C566529" w:rsidR="00DD77AE" w:rsidRDefault="00DD77AE" w:rsidP="00C12E24">
      <w:pPr>
        <w:pStyle w:val="EndNoteBibliography"/>
        <w:rPr>
          <w:rFonts w:ascii="Times New Roman" w:hAnsi="Times New Roman" w:cs="Times New Roman"/>
          <w:sz w:val="24"/>
          <w:szCs w:val="24"/>
        </w:rPr>
      </w:pPr>
    </w:p>
    <w:p w14:paraId="3973918A" w14:textId="21A32517" w:rsidR="00DD77AE" w:rsidRDefault="00DD77AE" w:rsidP="00C12E24">
      <w:pPr>
        <w:pStyle w:val="EndNoteBibliography"/>
        <w:rPr>
          <w:rFonts w:ascii="Times New Roman" w:hAnsi="Times New Roman" w:cs="Times New Roman"/>
          <w:sz w:val="24"/>
          <w:szCs w:val="24"/>
        </w:rPr>
      </w:pPr>
    </w:p>
    <w:p w14:paraId="0AD2A18D" w14:textId="4D8C488F" w:rsidR="00DD77AE" w:rsidRDefault="00DD77AE" w:rsidP="00C12E24">
      <w:pPr>
        <w:pStyle w:val="EndNoteBibliography"/>
        <w:rPr>
          <w:rFonts w:ascii="Times New Roman" w:hAnsi="Times New Roman" w:cs="Times New Roman"/>
          <w:sz w:val="24"/>
          <w:szCs w:val="24"/>
        </w:rPr>
      </w:pPr>
    </w:p>
    <w:p w14:paraId="19C8617B" w14:textId="375062C2" w:rsidR="00DD77AE" w:rsidRDefault="00DD77AE" w:rsidP="00C12E24">
      <w:pPr>
        <w:pStyle w:val="EndNoteBibliography"/>
        <w:rPr>
          <w:rFonts w:ascii="Times New Roman" w:hAnsi="Times New Roman" w:cs="Times New Roman"/>
          <w:sz w:val="24"/>
          <w:szCs w:val="24"/>
        </w:rPr>
      </w:pPr>
    </w:p>
    <w:p w14:paraId="4198BC9D" w14:textId="370F810C" w:rsidR="00671AD1" w:rsidRPr="009510A6" w:rsidRDefault="005B2D1F" w:rsidP="003308DD">
      <w:pPr>
        <w:pStyle w:val="EndNoteBibliography"/>
        <w:spacing w:beforeLines="50" w:before="156" w:line="360" w:lineRule="auto"/>
        <w:jc w:val="left"/>
        <w:rPr>
          <w:rFonts w:ascii="Times New Roman" w:hAnsi="Times New Roman" w:cs="Times New Roman"/>
          <w:sz w:val="24"/>
          <w:szCs w:val="24"/>
        </w:rPr>
      </w:pPr>
      <w:r w:rsidRPr="009510A6">
        <w:rPr>
          <w:rFonts w:ascii="Times New Roman" w:hAnsi="Times New Roman" w:cs="Times New Roman"/>
          <w:b/>
          <w:bCs/>
          <w:sz w:val="24"/>
          <w:szCs w:val="24"/>
        </w:rPr>
        <w:lastRenderedPageBreak/>
        <w:t xml:space="preserve">Supplementary </w:t>
      </w:r>
      <w:r w:rsidR="00671AD1" w:rsidRPr="009510A6">
        <w:rPr>
          <w:rFonts w:ascii="Times New Roman" w:hAnsi="Times New Roman" w:cs="Times New Roman"/>
          <w:b/>
          <w:bCs/>
          <w:sz w:val="24"/>
          <w:szCs w:val="24"/>
        </w:rPr>
        <w:t>Table 1</w:t>
      </w:r>
      <w:r w:rsidRPr="009510A6">
        <w:rPr>
          <w:rFonts w:ascii="Times New Roman" w:hAnsi="Times New Roman" w:cs="Times New Roman"/>
          <w:sz w:val="24"/>
          <w:szCs w:val="24"/>
        </w:rPr>
        <w:t xml:space="preserve">. Weight ratios of PLGA to </w:t>
      </w:r>
      <w:r w:rsidR="009510A6">
        <w:rPr>
          <w:rFonts w:ascii="Times New Roman" w:hAnsi="Times New Roman" w:cs="Times New Roman"/>
          <w:sz w:val="24"/>
          <w:szCs w:val="24"/>
        </w:rPr>
        <w:t xml:space="preserve">RBC </w:t>
      </w:r>
      <w:r w:rsidRPr="009510A6">
        <w:rPr>
          <w:rFonts w:ascii="Times New Roman" w:hAnsi="Times New Roman" w:cs="Times New Roman"/>
          <w:sz w:val="24"/>
          <w:szCs w:val="24"/>
        </w:rPr>
        <w:t>membrane protein for making different sizes of RBC-NP</w:t>
      </w:r>
      <w:r w:rsidR="00BC28A7">
        <w:rPr>
          <w:rFonts w:ascii="Times New Roman" w:hAnsi="Times New Roman" w:cs="Times New Roman"/>
          <w:sz w:val="24"/>
          <w:szCs w:val="24"/>
        </w:rPr>
        <w:t xml:space="preserve"> particles</w:t>
      </w:r>
    </w:p>
    <w:p w14:paraId="1B88A2FC" w14:textId="77777777" w:rsidR="00671AD1" w:rsidRPr="009510A6" w:rsidRDefault="00671AD1" w:rsidP="003308DD">
      <w:pPr>
        <w:pStyle w:val="EndNoteBibliography"/>
        <w:spacing w:line="360" w:lineRule="auto"/>
        <w:ind w:left="720" w:hanging="720"/>
        <w:jc w:val="left"/>
        <w:rPr>
          <w:rFonts w:ascii="Times New Roman" w:hAnsi="Times New Roman" w:cs="Times New Roman"/>
          <w:sz w:val="24"/>
          <w:szCs w:val="24"/>
        </w:rPr>
      </w:pPr>
      <w:r w:rsidRPr="009510A6">
        <w:rPr>
          <w:rFonts w:ascii="Times New Roman" w:hAnsi="Times New Roman" w:cs="Times New Roman"/>
          <w:sz w:val="24"/>
          <w:szCs w:val="24"/>
        </w:rPr>
        <w:t>V</w:t>
      </w:r>
      <w:r w:rsidRPr="009510A6">
        <w:rPr>
          <w:rFonts w:ascii="Times New Roman" w:hAnsi="Times New Roman" w:cs="Times New Roman"/>
          <w:sz w:val="24"/>
          <w:szCs w:val="24"/>
          <w:vertAlign w:val="subscript"/>
        </w:rPr>
        <w:t>PLGA</w:t>
      </w:r>
      <w:r w:rsidRPr="009510A6">
        <w:rPr>
          <w:rFonts w:ascii="Times New Roman" w:hAnsi="Times New Roman" w:cs="Times New Roman"/>
          <w:sz w:val="24"/>
          <w:szCs w:val="24"/>
        </w:rPr>
        <w:t>: Volume of single PLGA particle (μm</w:t>
      </w:r>
      <w:r w:rsidRPr="009510A6">
        <w:rPr>
          <w:rFonts w:ascii="Times New Roman" w:hAnsi="Times New Roman" w:cs="Times New Roman"/>
          <w:sz w:val="24"/>
          <w:szCs w:val="24"/>
          <w:vertAlign w:val="superscript"/>
        </w:rPr>
        <w:t>3</w:t>
      </w:r>
      <w:r w:rsidRPr="009510A6">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r>
          <w:rPr>
            <w:rFonts w:ascii="Cambria Math" w:hAnsi="Cambria Math" w:cs="Times New Roman"/>
            <w:sz w:val="24"/>
            <w:szCs w:val="24"/>
          </w:rPr>
          <m:t>π</m:t>
        </m:r>
        <m:sSup>
          <m:sSupPr>
            <m:ctrlPr>
              <w:rPr>
                <w:rFonts w:ascii="Cambria Math" w:hAnsi="Cambria Math" w:cs="Times New Roman"/>
                <w:sz w:val="24"/>
                <w:szCs w:val="24"/>
              </w:rPr>
            </m:ctrlPr>
          </m:sSupPr>
          <m:e>
            <m:r>
              <w:rPr>
                <w:rFonts w:ascii="Cambria Math" w:hAnsi="Cambria Math" w:cs="Times New Roman"/>
                <w:sz w:val="24"/>
                <w:szCs w:val="24"/>
              </w:rPr>
              <m:t>r</m:t>
            </m:r>
          </m:e>
          <m:sup>
            <m:r>
              <w:rPr>
                <w:rFonts w:ascii="Cambria Math" w:hAnsi="Cambria Math" w:cs="Times New Roman"/>
                <w:sz w:val="24"/>
                <w:szCs w:val="24"/>
              </w:rPr>
              <m:t>3</m:t>
            </m:r>
          </m:sup>
        </m:sSup>
      </m:oMath>
      <w:r w:rsidRPr="009510A6">
        <w:rPr>
          <w:rFonts w:ascii="Times New Roman" w:hAnsi="Times New Roman" w:cs="Times New Roman"/>
          <w:sz w:val="24"/>
          <w:szCs w:val="24"/>
        </w:rPr>
        <w:t xml:space="preserve">; </w:t>
      </w:r>
      <w:r w:rsidRPr="009510A6">
        <w:rPr>
          <w:rFonts w:ascii="Times New Roman" w:hAnsi="Times New Roman" w:cs="Times New Roman"/>
          <w:i/>
          <w:iCs/>
          <w:sz w:val="24"/>
          <w:szCs w:val="24"/>
        </w:rPr>
        <w:t>r</w:t>
      </w:r>
      <w:r w:rsidRPr="009510A6">
        <w:rPr>
          <w:rFonts w:ascii="Times New Roman" w:hAnsi="Times New Roman" w:cs="Times New Roman"/>
          <w:sz w:val="24"/>
          <w:szCs w:val="24"/>
        </w:rPr>
        <w:t xml:space="preserve"> = radius of PLGA particle</w:t>
      </w:r>
    </w:p>
    <w:p w14:paraId="63E1701E" w14:textId="77777777" w:rsidR="00671AD1" w:rsidRPr="009510A6" w:rsidRDefault="00671AD1" w:rsidP="003308DD">
      <w:pPr>
        <w:pStyle w:val="EndNoteBibliography"/>
        <w:spacing w:line="360" w:lineRule="auto"/>
        <w:jc w:val="left"/>
        <w:rPr>
          <w:rFonts w:ascii="Times New Roman" w:hAnsi="Times New Roman" w:cs="Times New Roman"/>
          <w:sz w:val="24"/>
          <w:szCs w:val="24"/>
        </w:rPr>
      </w:pPr>
      <w:r w:rsidRPr="009510A6">
        <w:rPr>
          <w:rFonts w:ascii="Times New Roman" w:hAnsi="Times New Roman" w:cs="Times New Roman"/>
          <w:sz w:val="24"/>
          <w:szCs w:val="24"/>
        </w:rPr>
        <w:t>M</w:t>
      </w:r>
      <w:r w:rsidRPr="009510A6">
        <w:rPr>
          <w:rFonts w:ascii="Times New Roman" w:hAnsi="Times New Roman" w:cs="Times New Roman"/>
          <w:sz w:val="24"/>
          <w:szCs w:val="24"/>
          <w:vertAlign w:val="subscript"/>
        </w:rPr>
        <w:t>PLGA</w:t>
      </w:r>
      <w:r w:rsidRPr="009510A6">
        <w:rPr>
          <w:rFonts w:ascii="Times New Roman" w:hAnsi="Times New Roman" w:cs="Times New Roman"/>
          <w:sz w:val="24"/>
          <w:szCs w:val="24"/>
        </w:rPr>
        <w:t>: Mass of single PLGA particle (μg) = V</w:t>
      </w:r>
      <w:r w:rsidRPr="009510A6">
        <w:rPr>
          <w:rFonts w:ascii="Times New Roman" w:hAnsi="Times New Roman" w:cs="Times New Roman"/>
          <w:sz w:val="24"/>
          <w:szCs w:val="24"/>
          <w:vertAlign w:val="subscript"/>
        </w:rPr>
        <w:t>PLGA</w:t>
      </w:r>
      <w:r w:rsidRPr="009510A6">
        <w:rPr>
          <w:rFonts w:ascii="Times New Roman" w:hAnsi="Times New Roman" w:cs="Times New Roman"/>
          <w:sz w:val="24"/>
          <w:szCs w:val="24"/>
        </w:rPr>
        <w:t xml:space="preserve"> × </w:t>
      </w:r>
      <w:r w:rsidRPr="009510A6">
        <w:rPr>
          <w:rFonts w:ascii="Times New Roman" w:hAnsi="Times New Roman" w:cs="Times New Roman"/>
          <w:i/>
          <w:iCs/>
          <w:sz w:val="24"/>
          <w:szCs w:val="24"/>
        </w:rPr>
        <w:t>ρ</w:t>
      </w:r>
      <w:r w:rsidRPr="009510A6">
        <w:rPr>
          <w:rFonts w:ascii="Times New Roman" w:hAnsi="Times New Roman" w:cs="Times New Roman"/>
          <w:sz w:val="24"/>
          <w:szCs w:val="24"/>
        </w:rPr>
        <w:t xml:space="preserve">; </w:t>
      </w:r>
      <w:r w:rsidRPr="009510A6">
        <w:rPr>
          <w:rFonts w:ascii="Times New Roman" w:hAnsi="Times New Roman" w:cs="Times New Roman"/>
          <w:i/>
          <w:iCs/>
          <w:sz w:val="24"/>
          <w:szCs w:val="24"/>
        </w:rPr>
        <w:t>ρ</w:t>
      </w:r>
      <w:r w:rsidRPr="009510A6">
        <w:rPr>
          <w:rFonts w:ascii="Times New Roman" w:hAnsi="Times New Roman" w:cs="Times New Roman"/>
          <w:sz w:val="24"/>
          <w:szCs w:val="24"/>
        </w:rPr>
        <w:t xml:space="preserve"> = density of PLGA</w:t>
      </w:r>
    </w:p>
    <w:p w14:paraId="5A970F2E" w14:textId="77777777" w:rsidR="00671AD1" w:rsidRPr="009510A6" w:rsidRDefault="00671AD1" w:rsidP="003308DD">
      <w:pPr>
        <w:pStyle w:val="EndNoteBibliography"/>
        <w:spacing w:line="360" w:lineRule="auto"/>
        <w:jc w:val="left"/>
        <w:rPr>
          <w:rFonts w:ascii="Times New Roman" w:hAnsi="Times New Roman" w:cs="Times New Roman"/>
          <w:sz w:val="24"/>
          <w:szCs w:val="24"/>
        </w:rPr>
      </w:pPr>
      <w:r w:rsidRPr="009510A6">
        <w:rPr>
          <w:rFonts w:ascii="Times New Roman" w:hAnsi="Times New Roman" w:cs="Times New Roman"/>
          <w:sz w:val="24"/>
          <w:szCs w:val="24"/>
        </w:rPr>
        <w:t>N</w:t>
      </w:r>
      <w:r w:rsidRPr="009510A6">
        <w:rPr>
          <w:rFonts w:ascii="Times New Roman" w:hAnsi="Times New Roman" w:cs="Times New Roman"/>
          <w:sz w:val="24"/>
          <w:szCs w:val="24"/>
          <w:vertAlign w:val="subscript"/>
        </w:rPr>
        <w:t>PLGA</w:t>
      </w:r>
      <w:r w:rsidRPr="009510A6">
        <w:rPr>
          <w:rFonts w:ascii="Times New Roman" w:hAnsi="Times New Roman" w:cs="Times New Roman"/>
          <w:sz w:val="24"/>
          <w:szCs w:val="24"/>
        </w:rPr>
        <w:t>: Numbers of PLGA particle in 1 mg of PLGA = 1 mg/M</w:t>
      </w:r>
      <w:r w:rsidRPr="009510A6">
        <w:rPr>
          <w:rFonts w:ascii="Times New Roman" w:hAnsi="Times New Roman" w:cs="Times New Roman"/>
          <w:sz w:val="24"/>
          <w:szCs w:val="24"/>
          <w:vertAlign w:val="subscript"/>
        </w:rPr>
        <w:t>PLGA</w:t>
      </w:r>
    </w:p>
    <w:p w14:paraId="702E4135" w14:textId="0024835F" w:rsidR="00671AD1" w:rsidRPr="009510A6" w:rsidRDefault="00671AD1" w:rsidP="003308DD">
      <w:pPr>
        <w:pStyle w:val="EndNoteBibliography"/>
        <w:spacing w:line="360" w:lineRule="auto"/>
        <w:jc w:val="left"/>
        <w:rPr>
          <w:rFonts w:ascii="Times New Roman" w:hAnsi="Times New Roman" w:cs="Times New Roman"/>
          <w:b/>
          <w:bCs/>
          <w:sz w:val="24"/>
          <w:szCs w:val="24"/>
        </w:rPr>
      </w:pPr>
    </w:p>
    <w:tbl>
      <w:tblPr>
        <w:tblStyle w:val="TableGrid"/>
        <w:tblW w:w="8364" w:type="dxa"/>
        <w:tblInd w:w="-5" w:type="dxa"/>
        <w:tblLayout w:type="fixed"/>
        <w:tblLook w:val="04A0" w:firstRow="1" w:lastRow="0" w:firstColumn="1" w:lastColumn="0" w:noHBand="0" w:noVBand="1"/>
      </w:tblPr>
      <w:tblGrid>
        <w:gridCol w:w="1134"/>
        <w:gridCol w:w="1418"/>
        <w:gridCol w:w="2268"/>
        <w:gridCol w:w="1134"/>
        <w:gridCol w:w="2410"/>
      </w:tblGrid>
      <w:tr w:rsidR="00616A09" w:rsidRPr="009510A6" w14:paraId="456B26AA" w14:textId="77777777" w:rsidTr="00616A09">
        <w:trPr>
          <w:trHeight w:val="933"/>
        </w:trPr>
        <w:tc>
          <w:tcPr>
            <w:tcW w:w="1134" w:type="dxa"/>
          </w:tcPr>
          <w:p w14:paraId="398884DE"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Radius of RBC-NP (nm)</w:t>
            </w:r>
            <w:r w:rsidRPr="009510A6">
              <w:rPr>
                <w:rFonts w:ascii="Times New Roman" w:hAnsi="Times New Roman" w:cs="Times New Roman"/>
                <w:b/>
                <w:bCs/>
                <w:sz w:val="16"/>
                <w:szCs w:val="16"/>
              </w:rPr>
              <w:tab/>
            </w:r>
          </w:p>
        </w:tc>
        <w:tc>
          <w:tcPr>
            <w:tcW w:w="1418" w:type="dxa"/>
          </w:tcPr>
          <w:p w14:paraId="455E00CE"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Surface area of single RBC-NP (μm</w:t>
            </w:r>
            <w:r w:rsidRPr="009510A6">
              <w:rPr>
                <w:rFonts w:ascii="Times New Roman" w:hAnsi="Times New Roman" w:cs="Times New Roman"/>
                <w:b/>
                <w:bCs/>
                <w:sz w:val="16"/>
                <w:szCs w:val="16"/>
                <w:vertAlign w:val="superscript"/>
              </w:rPr>
              <w:t>2</w:t>
            </w:r>
            <w:r w:rsidRPr="009510A6">
              <w:rPr>
                <w:rFonts w:ascii="Times New Roman" w:hAnsi="Times New Roman" w:cs="Times New Roman"/>
                <w:b/>
                <w:bCs/>
                <w:sz w:val="16"/>
                <w:szCs w:val="16"/>
              </w:rPr>
              <w:t>)</w:t>
            </w:r>
          </w:p>
        </w:tc>
        <w:tc>
          <w:tcPr>
            <w:tcW w:w="2268" w:type="dxa"/>
          </w:tcPr>
          <w:p w14:paraId="4251B59A"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Total surface area of RBC-NP when completely coated onto 1 mg of PLGA particle (μm</w:t>
            </w:r>
            <w:r w:rsidRPr="009510A6">
              <w:rPr>
                <w:rFonts w:ascii="Times New Roman" w:hAnsi="Times New Roman" w:cs="Times New Roman"/>
                <w:b/>
                <w:bCs/>
                <w:sz w:val="16"/>
                <w:szCs w:val="16"/>
                <w:vertAlign w:val="superscript"/>
              </w:rPr>
              <w:t>2</w:t>
            </w:r>
            <w:r w:rsidRPr="009510A6">
              <w:rPr>
                <w:rFonts w:ascii="Times New Roman" w:hAnsi="Times New Roman" w:cs="Times New Roman"/>
                <w:b/>
                <w:bCs/>
                <w:sz w:val="16"/>
                <w:szCs w:val="16"/>
              </w:rPr>
              <w:t>)</w:t>
            </w:r>
          </w:p>
        </w:tc>
        <w:tc>
          <w:tcPr>
            <w:tcW w:w="1134" w:type="dxa"/>
          </w:tcPr>
          <w:p w14:paraId="53B0BBD2" w14:textId="21D17D70"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 xml:space="preserve">Number of needed RBCs </w:t>
            </w:r>
          </w:p>
        </w:tc>
        <w:tc>
          <w:tcPr>
            <w:tcW w:w="2410" w:type="dxa"/>
          </w:tcPr>
          <w:p w14:paraId="3E225030"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Total RBC membrane protein should be added (mg) to 1 mg of PLGA particle</w:t>
            </w:r>
          </w:p>
        </w:tc>
      </w:tr>
      <w:tr w:rsidR="00616A09" w:rsidRPr="009510A6" w14:paraId="4DA779A8" w14:textId="77777777" w:rsidTr="00616A09">
        <w:trPr>
          <w:trHeight w:val="320"/>
        </w:trPr>
        <w:tc>
          <w:tcPr>
            <w:tcW w:w="1134" w:type="dxa"/>
          </w:tcPr>
          <w:p w14:paraId="3AB730CF"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25</w:t>
            </w:r>
          </w:p>
        </w:tc>
        <w:tc>
          <w:tcPr>
            <w:tcW w:w="1418" w:type="dxa"/>
          </w:tcPr>
          <w:p w14:paraId="20D84201"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0.00785</w:t>
            </w:r>
          </w:p>
        </w:tc>
        <w:tc>
          <w:tcPr>
            <w:tcW w:w="2268" w:type="dxa"/>
          </w:tcPr>
          <w:p w14:paraId="2368DACF"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4.2735E+11</w:t>
            </w:r>
          </w:p>
        </w:tc>
        <w:tc>
          <w:tcPr>
            <w:tcW w:w="1134" w:type="dxa"/>
          </w:tcPr>
          <w:p w14:paraId="089F04C1"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5.698E+9</w:t>
            </w:r>
          </w:p>
        </w:tc>
        <w:tc>
          <w:tcPr>
            <w:tcW w:w="2410" w:type="dxa"/>
          </w:tcPr>
          <w:p w14:paraId="57861383"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3.13</w:t>
            </w:r>
          </w:p>
        </w:tc>
      </w:tr>
      <w:tr w:rsidR="00616A09" w:rsidRPr="009510A6" w14:paraId="19238116" w14:textId="77777777" w:rsidTr="00616A09">
        <w:trPr>
          <w:trHeight w:val="320"/>
        </w:trPr>
        <w:tc>
          <w:tcPr>
            <w:tcW w:w="1134" w:type="dxa"/>
          </w:tcPr>
          <w:p w14:paraId="2CF2FF8B"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90</w:t>
            </w:r>
          </w:p>
        </w:tc>
        <w:tc>
          <w:tcPr>
            <w:tcW w:w="1418" w:type="dxa"/>
          </w:tcPr>
          <w:p w14:paraId="0142455A"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0.101736</w:t>
            </w:r>
          </w:p>
        </w:tc>
        <w:tc>
          <w:tcPr>
            <w:tcW w:w="2268" w:type="dxa"/>
          </w:tcPr>
          <w:p w14:paraId="666B369B"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3.6508E+10</w:t>
            </w:r>
          </w:p>
        </w:tc>
        <w:tc>
          <w:tcPr>
            <w:tcW w:w="1134" w:type="dxa"/>
          </w:tcPr>
          <w:p w14:paraId="3A1AB8E5"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4.8678E+8</w:t>
            </w:r>
          </w:p>
        </w:tc>
        <w:tc>
          <w:tcPr>
            <w:tcW w:w="2410" w:type="dxa"/>
          </w:tcPr>
          <w:p w14:paraId="2E33ED4D"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0.27</w:t>
            </w:r>
          </w:p>
        </w:tc>
      </w:tr>
      <w:tr w:rsidR="00616A09" w:rsidRPr="009510A6" w14:paraId="2CEE0D34" w14:textId="77777777" w:rsidTr="00616A09">
        <w:trPr>
          <w:trHeight w:val="320"/>
        </w:trPr>
        <w:tc>
          <w:tcPr>
            <w:tcW w:w="1134" w:type="dxa"/>
          </w:tcPr>
          <w:p w14:paraId="021BE1DE"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200</w:t>
            </w:r>
          </w:p>
        </w:tc>
        <w:tc>
          <w:tcPr>
            <w:tcW w:w="1418" w:type="dxa"/>
          </w:tcPr>
          <w:p w14:paraId="02B4AFF5"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0.5024</w:t>
            </w:r>
          </w:p>
        </w:tc>
        <w:tc>
          <w:tcPr>
            <w:tcW w:w="2268" w:type="dxa"/>
          </w:tcPr>
          <w:p w14:paraId="68CF0738"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1.3458E+10</w:t>
            </w:r>
          </w:p>
        </w:tc>
        <w:tc>
          <w:tcPr>
            <w:tcW w:w="1134" w:type="dxa"/>
          </w:tcPr>
          <w:p w14:paraId="6954EF8A"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1.7944E+8</w:t>
            </w:r>
          </w:p>
        </w:tc>
        <w:tc>
          <w:tcPr>
            <w:tcW w:w="2410" w:type="dxa"/>
          </w:tcPr>
          <w:p w14:paraId="7A767186"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0.0987</w:t>
            </w:r>
          </w:p>
        </w:tc>
      </w:tr>
      <w:tr w:rsidR="00616A09" w:rsidRPr="009510A6" w14:paraId="530D0F97" w14:textId="77777777" w:rsidTr="00616A09">
        <w:trPr>
          <w:trHeight w:val="320"/>
        </w:trPr>
        <w:tc>
          <w:tcPr>
            <w:tcW w:w="1134" w:type="dxa"/>
          </w:tcPr>
          <w:p w14:paraId="437D508B"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500</w:t>
            </w:r>
          </w:p>
        </w:tc>
        <w:tc>
          <w:tcPr>
            <w:tcW w:w="1418" w:type="dxa"/>
          </w:tcPr>
          <w:p w14:paraId="3987B75E"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3.14</w:t>
            </w:r>
          </w:p>
        </w:tc>
        <w:tc>
          <w:tcPr>
            <w:tcW w:w="2268" w:type="dxa"/>
          </w:tcPr>
          <w:p w14:paraId="269266F1"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4.904E+9</w:t>
            </w:r>
          </w:p>
        </w:tc>
        <w:tc>
          <w:tcPr>
            <w:tcW w:w="1134" w:type="dxa"/>
          </w:tcPr>
          <w:p w14:paraId="59840490"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6.5383E+7</w:t>
            </w:r>
          </w:p>
        </w:tc>
        <w:tc>
          <w:tcPr>
            <w:tcW w:w="2410" w:type="dxa"/>
          </w:tcPr>
          <w:p w14:paraId="38B0006C" w14:textId="77777777" w:rsidR="00671AD1" w:rsidRPr="009510A6" w:rsidRDefault="00671AD1" w:rsidP="00BD4481">
            <w:pPr>
              <w:pStyle w:val="EndNoteBibliography"/>
              <w:spacing w:line="360" w:lineRule="auto"/>
              <w:rPr>
                <w:rFonts w:ascii="Times New Roman" w:hAnsi="Times New Roman" w:cs="Times New Roman"/>
                <w:b/>
                <w:bCs/>
                <w:sz w:val="16"/>
                <w:szCs w:val="16"/>
              </w:rPr>
            </w:pPr>
            <w:r w:rsidRPr="009510A6">
              <w:rPr>
                <w:rFonts w:ascii="Times New Roman" w:hAnsi="Times New Roman" w:cs="Times New Roman"/>
                <w:b/>
                <w:bCs/>
                <w:sz w:val="16"/>
                <w:szCs w:val="16"/>
              </w:rPr>
              <w:t>0.0360</w:t>
            </w:r>
          </w:p>
        </w:tc>
      </w:tr>
    </w:tbl>
    <w:p w14:paraId="1FD0CB1F" w14:textId="1E7BE3F9" w:rsidR="00671AD1" w:rsidRPr="009510A6" w:rsidRDefault="00671AD1" w:rsidP="00671AD1">
      <w:pPr>
        <w:pStyle w:val="EndNoteBibliography"/>
        <w:rPr>
          <w:rFonts w:ascii="Times New Roman" w:hAnsi="Times New Roman" w:cs="Times New Roman"/>
          <w:sz w:val="24"/>
          <w:szCs w:val="24"/>
        </w:rPr>
      </w:pPr>
      <w:r w:rsidRPr="009510A6">
        <w:rPr>
          <w:rFonts w:ascii="Times New Roman" w:hAnsi="Times New Roman" w:cs="Times New Roman"/>
          <w:b/>
          <w:bCs/>
          <w:sz w:val="16"/>
          <w:szCs w:val="16"/>
        </w:rPr>
        <w:t>Single RBC has 75</w:t>
      </w:r>
      <w:r w:rsidRPr="009510A6">
        <w:rPr>
          <w:rFonts w:ascii="Times New Roman" w:hAnsi="Times New Roman" w:cs="Times New Roman"/>
          <w:b/>
          <w:bCs/>
          <w:sz w:val="24"/>
          <w:szCs w:val="24"/>
        </w:rPr>
        <w:t xml:space="preserve"> </w:t>
      </w:r>
      <w:r w:rsidRPr="009510A6">
        <w:rPr>
          <w:rFonts w:ascii="Times New Roman" w:hAnsi="Times New Roman" w:cs="Times New Roman"/>
          <w:b/>
          <w:bCs/>
          <w:sz w:val="16"/>
          <w:szCs w:val="16"/>
        </w:rPr>
        <w:t>μm</w:t>
      </w:r>
      <w:r w:rsidRPr="009510A6">
        <w:rPr>
          <w:rFonts w:ascii="Times New Roman" w:hAnsi="Times New Roman" w:cs="Times New Roman"/>
          <w:b/>
          <w:bCs/>
          <w:sz w:val="16"/>
          <w:szCs w:val="16"/>
          <w:vertAlign w:val="superscript"/>
        </w:rPr>
        <w:t>2</w:t>
      </w:r>
      <w:r w:rsidRPr="009510A6">
        <w:rPr>
          <w:rFonts w:ascii="Times New Roman" w:hAnsi="Times New Roman" w:cs="Times New Roman"/>
          <w:b/>
          <w:bCs/>
          <w:sz w:val="16"/>
          <w:szCs w:val="16"/>
        </w:rPr>
        <w:t xml:space="preserve"> of surface area and 0. 55 pg of membrane protein</w:t>
      </w:r>
      <w:r w:rsidRPr="009510A6">
        <w:rPr>
          <w:rFonts w:ascii="Times New Roman" w:hAnsi="Times New Roman" w:cs="Times New Roman"/>
          <w:sz w:val="16"/>
          <w:szCs w:val="16"/>
        </w:rPr>
        <w:fldChar w:fldCharType="begin" w:fldLock="1"/>
      </w:r>
      <w:r w:rsidRPr="009510A6">
        <w:rPr>
          <w:rFonts w:ascii="Times New Roman" w:hAnsi="Times New Roman" w:cs="Times New Roman"/>
          <w:sz w:val="16"/>
          <w:szCs w:val="16"/>
        </w:rPr>
        <w:instrText>ADDIN CSL_CITATION {"citationItems":[{"id":"ITEM-1","itemData":{"DOI":"10.1152/ajpcell.1996.271.6.C1847","ISSN":"0002-9513 (Print)","PMID":"8997184","abstract":"The effects of removing area from mouse red blood cells on the fate of the cells  after reinfusion were investigated. When cells were made nearly spherical (by reducing cell area by approximately 35%) and then reinfused into the animal, most were cleared from the circulation within 1-2 h, although approximately 20% of the cells survived for 4 h or longer. When only 20% of the area was removed (leaving a 15% excess), more than 90% of the cells continued to circulate for 4 h. After reinfusion, the mean surface area of the surviving cells remained constant (73-75 microns2), but the mean volume decreased, from 56.6 +/- 2.1 to 19.1 +/- 1.5 microns3 (+/- SD of 5 replicates) over 4 h. These changes did not occur in cells suspended in plasma but not reinfused into the animal. Thus a loss of surface area results in a decrease in cell volume, as if to maintain a requisite degree of deformability. The results support the hypothesis that the increase in cell density associated with increasing cell age may be a consequence of surface area loss.","author":[{"dropping-particle":"","family":"Waugh","given":"R E","non-dropping-particle":"","parse-names":false,"suffix":""},{"dropping-particle":"","family":"Sarelius","given":"I H","non-dropping-particle":"","parse-names":false,"suffix":""}],"container-title":"The American journal of physiology","id":"ITEM-1","issue":"6 Pt 1","issued":{"date-parts":[["1996","12"]]},"language":"eng","page":"C1847-52","publisher-place":"United States","title":"Effects of lost surface area on red blood cells and red blood cell survival in  mice.","type":"article-journal","volume":"271"},"uris":["http://www.mendeley.com/documents/?uuid=9bf079de-4af1-4622-846e-7c8b011e198b"]}],"mendeley":{"formattedCitation":"&lt;sup&gt;1&lt;/sup&gt;","plainTextFormattedCitation":"1","previouslyFormattedCitation":"&lt;sup&gt;1&lt;/sup&gt;"},"properties":{"noteIndex":0},"schema":"https://github.com/citation-style-language/schema/raw/master/csl-citation.json"}</w:instrText>
      </w:r>
      <w:r w:rsidRPr="009510A6">
        <w:rPr>
          <w:rFonts w:ascii="Times New Roman" w:hAnsi="Times New Roman" w:cs="Times New Roman"/>
          <w:sz w:val="16"/>
          <w:szCs w:val="16"/>
        </w:rPr>
        <w:fldChar w:fldCharType="separate"/>
      </w:r>
      <w:r w:rsidRPr="009510A6">
        <w:rPr>
          <w:rFonts w:ascii="Times New Roman" w:hAnsi="Times New Roman" w:cs="Times New Roman"/>
          <w:sz w:val="16"/>
          <w:szCs w:val="16"/>
          <w:vertAlign w:val="superscript"/>
        </w:rPr>
        <w:t>1</w:t>
      </w:r>
      <w:r w:rsidRPr="009510A6">
        <w:rPr>
          <w:rFonts w:ascii="Times New Roman" w:hAnsi="Times New Roman" w:cs="Times New Roman"/>
          <w:sz w:val="16"/>
          <w:szCs w:val="16"/>
        </w:rPr>
        <w:fldChar w:fldCharType="end"/>
      </w:r>
      <w:r w:rsidRPr="009510A6">
        <w:rPr>
          <w:rFonts w:ascii="Times New Roman" w:hAnsi="Times New Roman" w:cs="Times New Roman"/>
          <w:sz w:val="16"/>
          <w:szCs w:val="16"/>
        </w:rPr>
        <w:t>.</w:t>
      </w:r>
    </w:p>
    <w:p w14:paraId="371C0453" w14:textId="280D3A22" w:rsidR="00671AD1" w:rsidRPr="009510A6" w:rsidRDefault="00671AD1" w:rsidP="00671AD1">
      <w:pPr>
        <w:pStyle w:val="EndNoteBibliography"/>
        <w:rPr>
          <w:rFonts w:ascii="Times New Roman" w:hAnsi="Times New Roman" w:cs="Times New Roman"/>
          <w:b/>
          <w:bCs/>
          <w:sz w:val="16"/>
          <w:szCs w:val="16"/>
        </w:rPr>
      </w:pPr>
      <w:r w:rsidRPr="009510A6">
        <w:rPr>
          <w:rFonts w:ascii="Times New Roman" w:hAnsi="Times New Roman" w:cs="Times New Roman"/>
          <w:b/>
          <w:bCs/>
          <w:sz w:val="24"/>
          <w:szCs w:val="24"/>
        </w:rPr>
        <w:fldChar w:fldCharType="begin"/>
      </w:r>
      <w:r w:rsidRPr="009510A6">
        <w:rPr>
          <w:rFonts w:ascii="Times New Roman" w:hAnsi="Times New Roman" w:cs="Times New Roman"/>
          <w:b/>
          <w:bCs/>
          <w:sz w:val="24"/>
          <w:szCs w:val="24"/>
        </w:rPr>
        <w:instrText xml:space="preserve"> ADDIN EN.REFLIST </w:instrText>
      </w:r>
      <w:r w:rsidR="00DA2609">
        <w:rPr>
          <w:rFonts w:ascii="Times New Roman" w:hAnsi="Times New Roman" w:cs="Times New Roman"/>
          <w:b/>
          <w:bCs/>
          <w:sz w:val="24"/>
          <w:szCs w:val="24"/>
        </w:rPr>
        <w:fldChar w:fldCharType="separate"/>
      </w:r>
      <w:r w:rsidRPr="009510A6">
        <w:rPr>
          <w:rFonts w:ascii="Times New Roman" w:hAnsi="Times New Roman" w:cs="Times New Roman"/>
          <w:b/>
          <w:bCs/>
          <w:sz w:val="24"/>
          <w:szCs w:val="24"/>
        </w:rPr>
        <w:fldChar w:fldCharType="end"/>
      </w:r>
    </w:p>
    <w:p w14:paraId="390C6768" w14:textId="35B6CCED" w:rsidR="00671AD1" w:rsidRPr="009510A6" w:rsidRDefault="00671AD1" w:rsidP="00671AD1">
      <w:pPr>
        <w:autoSpaceDE w:val="0"/>
        <w:autoSpaceDN w:val="0"/>
        <w:adjustRightInd w:val="0"/>
        <w:ind w:left="640" w:hanging="640"/>
        <w:jc w:val="left"/>
        <w:rPr>
          <w:rFonts w:ascii="Times New Roman" w:hAnsi="Times New Roman" w:cs="Times New Roman"/>
          <w:noProof/>
          <w:sz w:val="24"/>
        </w:rPr>
      </w:pPr>
      <w:r w:rsidRPr="009510A6">
        <w:rPr>
          <w:rFonts w:ascii="Times New Roman" w:hAnsi="Times New Roman" w:cs="Times New Roman"/>
          <w:sz w:val="24"/>
          <w:szCs w:val="24"/>
        </w:rPr>
        <w:fldChar w:fldCharType="begin" w:fldLock="1"/>
      </w:r>
      <w:r w:rsidRPr="009510A6">
        <w:rPr>
          <w:rFonts w:ascii="Times New Roman" w:hAnsi="Times New Roman" w:cs="Times New Roman"/>
          <w:sz w:val="24"/>
          <w:szCs w:val="24"/>
        </w:rPr>
        <w:instrText xml:space="preserve">ADDIN Mendeley Bibliography CSL_BIBLIOGRAPHY </w:instrText>
      </w:r>
      <w:r w:rsidRPr="009510A6">
        <w:rPr>
          <w:rFonts w:ascii="Times New Roman" w:hAnsi="Times New Roman" w:cs="Times New Roman"/>
          <w:sz w:val="24"/>
          <w:szCs w:val="24"/>
        </w:rPr>
        <w:fldChar w:fldCharType="separate"/>
      </w:r>
      <w:r w:rsidRPr="009510A6">
        <w:rPr>
          <w:rFonts w:ascii="Times New Roman" w:hAnsi="Times New Roman" w:cs="Times New Roman"/>
          <w:noProof/>
          <w:kern w:val="0"/>
          <w:sz w:val="24"/>
          <w:szCs w:val="24"/>
        </w:rPr>
        <w:t>1.</w:t>
      </w:r>
      <w:r w:rsidRPr="009510A6">
        <w:rPr>
          <w:rFonts w:ascii="Times New Roman" w:hAnsi="Times New Roman" w:cs="Times New Roman"/>
          <w:noProof/>
          <w:kern w:val="0"/>
          <w:sz w:val="24"/>
          <w:szCs w:val="24"/>
        </w:rPr>
        <w:tab/>
        <w:t xml:space="preserve">Waugh, R. E. &amp; Sarelius, I. H. Effects of lost surface area on red blood cells and red blood cell survival in  mice. </w:t>
      </w:r>
      <w:r w:rsidRPr="009510A6">
        <w:rPr>
          <w:rFonts w:ascii="Times New Roman" w:hAnsi="Times New Roman" w:cs="Times New Roman"/>
          <w:i/>
          <w:iCs/>
          <w:noProof/>
          <w:kern w:val="0"/>
          <w:sz w:val="24"/>
          <w:szCs w:val="24"/>
        </w:rPr>
        <w:t>Am. J. Physiol.</w:t>
      </w:r>
      <w:r w:rsidRPr="009510A6">
        <w:rPr>
          <w:rFonts w:ascii="Times New Roman" w:hAnsi="Times New Roman" w:cs="Times New Roman"/>
          <w:noProof/>
          <w:kern w:val="0"/>
          <w:sz w:val="24"/>
          <w:szCs w:val="24"/>
        </w:rPr>
        <w:t xml:space="preserve"> </w:t>
      </w:r>
      <w:r w:rsidRPr="009510A6">
        <w:rPr>
          <w:rFonts w:ascii="Times New Roman" w:hAnsi="Times New Roman" w:cs="Times New Roman"/>
          <w:b/>
          <w:bCs/>
          <w:noProof/>
          <w:kern w:val="0"/>
          <w:sz w:val="24"/>
          <w:szCs w:val="24"/>
        </w:rPr>
        <w:t>271</w:t>
      </w:r>
      <w:r w:rsidRPr="009510A6">
        <w:rPr>
          <w:rFonts w:ascii="Times New Roman" w:hAnsi="Times New Roman" w:cs="Times New Roman"/>
          <w:noProof/>
          <w:kern w:val="0"/>
          <w:sz w:val="24"/>
          <w:szCs w:val="24"/>
        </w:rPr>
        <w:t>, C1847-52 (1996).</w:t>
      </w:r>
    </w:p>
    <w:p w14:paraId="40D41D47" w14:textId="2F38EBB2" w:rsidR="00671AD1" w:rsidRPr="009510A6" w:rsidRDefault="00671AD1" w:rsidP="00C12E24">
      <w:pPr>
        <w:pStyle w:val="EndNoteBibliography"/>
        <w:rPr>
          <w:rFonts w:ascii="Times New Roman" w:hAnsi="Times New Roman" w:cs="Times New Roman"/>
          <w:sz w:val="24"/>
          <w:szCs w:val="24"/>
        </w:rPr>
      </w:pPr>
      <w:r w:rsidRPr="009510A6">
        <w:rPr>
          <w:rFonts w:ascii="Times New Roman" w:hAnsi="Times New Roman" w:cs="Times New Roman"/>
          <w:sz w:val="24"/>
          <w:szCs w:val="24"/>
        </w:rPr>
        <w:fldChar w:fldCharType="end"/>
      </w:r>
    </w:p>
    <w:sectPr w:rsidR="00671AD1" w:rsidRPr="009510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ECF65" w14:textId="77777777" w:rsidR="00DA2609" w:rsidRDefault="00DA2609" w:rsidP="006E644D">
      <w:r>
        <w:separator/>
      </w:r>
    </w:p>
  </w:endnote>
  <w:endnote w:type="continuationSeparator" w:id="0">
    <w:p w14:paraId="27681FA1" w14:textId="77777777" w:rsidR="00DA2609" w:rsidRDefault="00DA2609" w:rsidP="006E6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0D9D" w14:textId="77777777" w:rsidR="00DE1DD0" w:rsidRDefault="00DE1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DDFBD" w14:textId="18599894" w:rsidR="00DE1DD0" w:rsidRDefault="00DE1DD0">
    <w:pPr>
      <w:pStyle w:val="Footer"/>
    </w:pPr>
    <w:r>
      <w:rPr>
        <w:noProof/>
      </w:rPr>
      <mc:AlternateContent>
        <mc:Choice Requires="wps">
          <w:drawing>
            <wp:anchor distT="0" distB="0" distL="114300" distR="114300" simplePos="0" relativeHeight="251659264" behindDoc="0" locked="0" layoutInCell="0" allowOverlap="1" wp14:anchorId="403F1293" wp14:editId="23F17D69">
              <wp:simplePos x="0" y="0"/>
              <wp:positionH relativeFrom="page">
                <wp:posOffset>0</wp:posOffset>
              </wp:positionH>
              <wp:positionV relativeFrom="page">
                <wp:posOffset>10237470</wp:posOffset>
              </wp:positionV>
              <wp:extent cx="7560310" cy="263525"/>
              <wp:effectExtent l="0" t="0" r="0" b="3175"/>
              <wp:wrapNone/>
              <wp:docPr id="2" name="MSIPCM6f954644b48b04253ae0cb03"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3A488C" w14:textId="15EFDB57" w:rsidR="00DE1DD0" w:rsidRPr="00DE1DD0" w:rsidRDefault="00DE1DD0" w:rsidP="00DE1DD0">
                          <w:pPr>
                            <w:jc w:val="left"/>
                            <w:rPr>
                              <w:rFonts w:ascii="Rockwell" w:hAnsi="Rockwell"/>
                              <w:color w:val="0078D7"/>
                              <w:sz w:val="18"/>
                            </w:rPr>
                          </w:pPr>
                          <w:r w:rsidRPr="00DE1DD0">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03F1293" id="_x0000_t202" coordsize="21600,21600" o:spt="202" path="m,l,21600r21600,l21600,xe">
              <v:stroke joinstyle="miter"/>
              <v:path gradientshapeok="t" o:connecttype="rect"/>
            </v:shapetype>
            <v:shape id="MSIPCM6f954644b48b04253ae0cb03" o:spid="_x0000_s1026" type="#_x0000_t202" alt="{&quot;HashCode&quot;:-1348403003,&quot;Height&quot;:841.0,&quot;Width&quot;:595.0,&quot;Placement&quot;:&quot;Footer&quot;,&quot;Index&quot;:&quot;Primary&quot;,&quot;Section&quot;:1,&quot;Top&quot;:0.0,&quot;Left&quot;:0.0}" style="position:absolute;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" o:allowincell="f" filled="f" stroked="f" strokeweight=".5pt">
              <v:fill o:detectmouseclick="t"/>
              <v:textbox inset="20pt,0,,0">
                <w:txbxContent>
                  <w:p w14:paraId="313A488C" w14:textId="15EFDB57" w:rsidR="00DE1DD0" w:rsidRPr="00DE1DD0" w:rsidRDefault="00DE1DD0" w:rsidP="00DE1DD0">
                    <w:pPr>
                      <w:jc w:val="left"/>
                      <w:rPr>
                        <w:rFonts w:ascii="Rockwell" w:hAnsi="Rockwell"/>
                        <w:color w:val="0078D7"/>
                        <w:sz w:val="18"/>
                      </w:rPr>
                    </w:pPr>
                    <w:r w:rsidRPr="00DE1DD0">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40417" w14:textId="77777777" w:rsidR="00DE1DD0" w:rsidRDefault="00DE1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F23F4" w14:textId="77777777" w:rsidR="00DA2609" w:rsidRDefault="00DA2609" w:rsidP="006E644D">
      <w:r>
        <w:separator/>
      </w:r>
    </w:p>
  </w:footnote>
  <w:footnote w:type="continuationSeparator" w:id="0">
    <w:p w14:paraId="6CADDBFD" w14:textId="77777777" w:rsidR="00DA2609" w:rsidRDefault="00DA2609" w:rsidP="006E6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7F70" w14:textId="77777777" w:rsidR="00DE1DD0" w:rsidRDefault="00DE1D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9EC0" w14:textId="77777777" w:rsidR="00DE1DD0" w:rsidRDefault="00DE1D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A31A" w14:textId="77777777" w:rsidR="00DE1DD0" w:rsidRDefault="00DE1D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szd92x32d9epe90v4vzvex0daezd0xxd5a&quot;&gt;Sample_Library_X9&lt;record-ids&gt;&lt;item&gt;1&lt;/item&gt;&lt;/record-ids&gt;&lt;/item&gt;&lt;/Libraries&gt;"/>
  </w:docVars>
  <w:rsids>
    <w:rsidRoot w:val="00EE3582"/>
    <w:rsid w:val="000022E5"/>
    <w:rsid w:val="00030318"/>
    <w:rsid w:val="00035765"/>
    <w:rsid w:val="00035EE2"/>
    <w:rsid w:val="00042706"/>
    <w:rsid w:val="00052FC0"/>
    <w:rsid w:val="0006484D"/>
    <w:rsid w:val="0006549E"/>
    <w:rsid w:val="000717B3"/>
    <w:rsid w:val="0007405F"/>
    <w:rsid w:val="000844D7"/>
    <w:rsid w:val="00087E97"/>
    <w:rsid w:val="00094441"/>
    <w:rsid w:val="000A43EC"/>
    <w:rsid w:val="000B49F7"/>
    <w:rsid w:val="000B4DE9"/>
    <w:rsid w:val="000C6A00"/>
    <w:rsid w:val="000C7405"/>
    <w:rsid w:val="000E1143"/>
    <w:rsid w:val="000E151D"/>
    <w:rsid w:val="000F2589"/>
    <w:rsid w:val="000F5DE2"/>
    <w:rsid w:val="00103009"/>
    <w:rsid w:val="00105807"/>
    <w:rsid w:val="00110CB9"/>
    <w:rsid w:val="0011328C"/>
    <w:rsid w:val="00132E2A"/>
    <w:rsid w:val="001358F9"/>
    <w:rsid w:val="001452B4"/>
    <w:rsid w:val="00147D03"/>
    <w:rsid w:val="00153C00"/>
    <w:rsid w:val="00163BB1"/>
    <w:rsid w:val="001745DC"/>
    <w:rsid w:val="001A29D6"/>
    <w:rsid w:val="001B026F"/>
    <w:rsid w:val="001C61DD"/>
    <w:rsid w:val="001D2B4B"/>
    <w:rsid w:val="002100AC"/>
    <w:rsid w:val="00212606"/>
    <w:rsid w:val="00230BC2"/>
    <w:rsid w:val="002404AA"/>
    <w:rsid w:val="002408CA"/>
    <w:rsid w:val="00244736"/>
    <w:rsid w:val="00256821"/>
    <w:rsid w:val="00273509"/>
    <w:rsid w:val="00273AF9"/>
    <w:rsid w:val="002812D8"/>
    <w:rsid w:val="00292A68"/>
    <w:rsid w:val="0029395C"/>
    <w:rsid w:val="002A1BAA"/>
    <w:rsid w:val="002C3490"/>
    <w:rsid w:val="002D7BE4"/>
    <w:rsid w:val="002F34D6"/>
    <w:rsid w:val="002F4016"/>
    <w:rsid w:val="002F785D"/>
    <w:rsid w:val="003308DD"/>
    <w:rsid w:val="00335D81"/>
    <w:rsid w:val="00337E43"/>
    <w:rsid w:val="00347382"/>
    <w:rsid w:val="003515E1"/>
    <w:rsid w:val="00352183"/>
    <w:rsid w:val="00354CCA"/>
    <w:rsid w:val="00363531"/>
    <w:rsid w:val="0036362C"/>
    <w:rsid w:val="003668CB"/>
    <w:rsid w:val="003800A5"/>
    <w:rsid w:val="003A148B"/>
    <w:rsid w:val="003A2345"/>
    <w:rsid w:val="003B4A23"/>
    <w:rsid w:val="003B60B0"/>
    <w:rsid w:val="003C289A"/>
    <w:rsid w:val="003C4CAA"/>
    <w:rsid w:val="003C6A58"/>
    <w:rsid w:val="003D423A"/>
    <w:rsid w:val="003D5009"/>
    <w:rsid w:val="003E2747"/>
    <w:rsid w:val="003F5BBB"/>
    <w:rsid w:val="0040078C"/>
    <w:rsid w:val="00401966"/>
    <w:rsid w:val="00401ECA"/>
    <w:rsid w:val="00411710"/>
    <w:rsid w:val="00413D54"/>
    <w:rsid w:val="00415B03"/>
    <w:rsid w:val="004338A0"/>
    <w:rsid w:val="004A121B"/>
    <w:rsid w:val="004A152B"/>
    <w:rsid w:val="004C31BF"/>
    <w:rsid w:val="004C77ED"/>
    <w:rsid w:val="004E6486"/>
    <w:rsid w:val="0050137E"/>
    <w:rsid w:val="00525AA6"/>
    <w:rsid w:val="005429A0"/>
    <w:rsid w:val="00544226"/>
    <w:rsid w:val="0057196D"/>
    <w:rsid w:val="005B2D1F"/>
    <w:rsid w:val="005C1B24"/>
    <w:rsid w:val="005F3909"/>
    <w:rsid w:val="00602D6C"/>
    <w:rsid w:val="006107E8"/>
    <w:rsid w:val="00613222"/>
    <w:rsid w:val="00616A09"/>
    <w:rsid w:val="0062048B"/>
    <w:rsid w:val="006208AE"/>
    <w:rsid w:val="00623440"/>
    <w:rsid w:val="00635263"/>
    <w:rsid w:val="00645C87"/>
    <w:rsid w:val="0065196A"/>
    <w:rsid w:val="00656A42"/>
    <w:rsid w:val="00671AD1"/>
    <w:rsid w:val="0067298E"/>
    <w:rsid w:val="00674717"/>
    <w:rsid w:val="00695BB2"/>
    <w:rsid w:val="006A3BD1"/>
    <w:rsid w:val="006A644F"/>
    <w:rsid w:val="006B4079"/>
    <w:rsid w:val="006C01FF"/>
    <w:rsid w:val="006C2500"/>
    <w:rsid w:val="006D7AA9"/>
    <w:rsid w:val="006E0154"/>
    <w:rsid w:val="006E29FE"/>
    <w:rsid w:val="006E6328"/>
    <w:rsid w:val="006E644D"/>
    <w:rsid w:val="007012DF"/>
    <w:rsid w:val="007058FB"/>
    <w:rsid w:val="00724BFA"/>
    <w:rsid w:val="0074192C"/>
    <w:rsid w:val="00756BE0"/>
    <w:rsid w:val="00756E64"/>
    <w:rsid w:val="0077076D"/>
    <w:rsid w:val="007820FE"/>
    <w:rsid w:val="007940B6"/>
    <w:rsid w:val="007A07F4"/>
    <w:rsid w:val="007A3D88"/>
    <w:rsid w:val="007B2FBC"/>
    <w:rsid w:val="007D6F41"/>
    <w:rsid w:val="007F59EF"/>
    <w:rsid w:val="00817951"/>
    <w:rsid w:val="00845293"/>
    <w:rsid w:val="008720E3"/>
    <w:rsid w:val="00883BF4"/>
    <w:rsid w:val="008A770A"/>
    <w:rsid w:val="008B1D2D"/>
    <w:rsid w:val="008D3896"/>
    <w:rsid w:val="008E1340"/>
    <w:rsid w:val="00904B7A"/>
    <w:rsid w:val="00906B55"/>
    <w:rsid w:val="00912E97"/>
    <w:rsid w:val="00932650"/>
    <w:rsid w:val="00937C2B"/>
    <w:rsid w:val="009510A6"/>
    <w:rsid w:val="00952CC0"/>
    <w:rsid w:val="00954A87"/>
    <w:rsid w:val="00954E6C"/>
    <w:rsid w:val="00956F07"/>
    <w:rsid w:val="00961DE9"/>
    <w:rsid w:val="00981E14"/>
    <w:rsid w:val="00983CA7"/>
    <w:rsid w:val="00984FF7"/>
    <w:rsid w:val="00993BCB"/>
    <w:rsid w:val="009944E8"/>
    <w:rsid w:val="0099469D"/>
    <w:rsid w:val="009B01AD"/>
    <w:rsid w:val="009D2807"/>
    <w:rsid w:val="009E4913"/>
    <w:rsid w:val="00A060FC"/>
    <w:rsid w:val="00A34743"/>
    <w:rsid w:val="00A3583F"/>
    <w:rsid w:val="00A5016E"/>
    <w:rsid w:val="00A55C2E"/>
    <w:rsid w:val="00A745F5"/>
    <w:rsid w:val="00A94418"/>
    <w:rsid w:val="00A964FE"/>
    <w:rsid w:val="00A97983"/>
    <w:rsid w:val="00AB1BCE"/>
    <w:rsid w:val="00AC5641"/>
    <w:rsid w:val="00AC7AD6"/>
    <w:rsid w:val="00AD1B34"/>
    <w:rsid w:val="00AD3BE9"/>
    <w:rsid w:val="00AE40A2"/>
    <w:rsid w:val="00B16B87"/>
    <w:rsid w:val="00B303B7"/>
    <w:rsid w:val="00B32B46"/>
    <w:rsid w:val="00B330B9"/>
    <w:rsid w:val="00B42836"/>
    <w:rsid w:val="00B42CAD"/>
    <w:rsid w:val="00B44F5E"/>
    <w:rsid w:val="00B4749B"/>
    <w:rsid w:val="00B70612"/>
    <w:rsid w:val="00B84B1F"/>
    <w:rsid w:val="00BA31D3"/>
    <w:rsid w:val="00BA3AB1"/>
    <w:rsid w:val="00BB3E34"/>
    <w:rsid w:val="00BB5220"/>
    <w:rsid w:val="00BC28A7"/>
    <w:rsid w:val="00BC41C7"/>
    <w:rsid w:val="00BC7A43"/>
    <w:rsid w:val="00BD1FB3"/>
    <w:rsid w:val="00BE4B4A"/>
    <w:rsid w:val="00BF7A67"/>
    <w:rsid w:val="00C12E24"/>
    <w:rsid w:val="00C144E3"/>
    <w:rsid w:val="00C17951"/>
    <w:rsid w:val="00C429FB"/>
    <w:rsid w:val="00C526EB"/>
    <w:rsid w:val="00C61335"/>
    <w:rsid w:val="00C629F3"/>
    <w:rsid w:val="00C62C84"/>
    <w:rsid w:val="00C65B8D"/>
    <w:rsid w:val="00C67377"/>
    <w:rsid w:val="00C67BC4"/>
    <w:rsid w:val="00C754A8"/>
    <w:rsid w:val="00C97524"/>
    <w:rsid w:val="00CB4386"/>
    <w:rsid w:val="00CB6816"/>
    <w:rsid w:val="00CB7CF8"/>
    <w:rsid w:val="00CC5B50"/>
    <w:rsid w:val="00D0462E"/>
    <w:rsid w:val="00D13702"/>
    <w:rsid w:val="00D359D2"/>
    <w:rsid w:val="00D36435"/>
    <w:rsid w:val="00D52EB2"/>
    <w:rsid w:val="00D5637E"/>
    <w:rsid w:val="00D608BE"/>
    <w:rsid w:val="00D60D12"/>
    <w:rsid w:val="00D61B16"/>
    <w:rsid w:val="00D6315E"/>
    <w:rsid w:val="00D70FAD"/>
    <w:rsid w:val="00D87474"/>
    <w:rsid w:val="00DA20B8"/>
    <w:rsid w:val="00DA2609"/>
    <w:rsid w:val="00DB6442"/>
    <w:rsid w:val="00DD48C6"/>
    <w:rsid w:val="00DD77AE"/>
    <w:rsid w:val="00DE1DD0"/>
    <w:rsid w:val="00DF79EA"/>
    <w:rsid w:val="00E07D89"/>
    <w:rsid w:val="00E1264E"/>
    <w:rsid w:val="00E12F1D"/>
    <w:rsid w:val="00E16009"/>
    <w:rsid w:val="00E32270"/>
    <w:rsid w:val="00E37BF5"/>
    <w:rsid w:val="00E50944"/>
    <w:rsid w:val="00E50C35"/>
    <w:rsid w:val="00E72E20"/>
    <w:rsid w:val="00E942E2"/>
    <w:rsid w:val="00E978CB"/>
    <w:rsid w:val="00EA6130"/>
    <w:rsid w:val="00EC233E"/>
    <w:rsid w:val="00ED571A"/>
    <w:rsid w:val="00ED77F7"/>
    <w:rsid w:val="00EE3582"/>
    <w:rsid w:val="00EF39E2"/>
    <w:rsid w:val="00F07A77"/>
    <w:rsid w:val="00F116F3"/>
    <w:rsid w:val="00F178BF"/>
    <w:rsid w:val="00F22402"/>
    <w:rsid w:val="00F35D7D"/>
    <w:rsid w:val="00F37F3B"/>
    <w:rsid w:val="00F44680"/>
    <w:rsid w:val="00F44BA7"/>
    <w:rsid w:val="00F5791E"/>
    <w:rsid w:val="00F650EF"/>
    <w:rsid w:val="00F67791"/>
    <w:rsid w:val="00F73735"/>
    <w:rsid w:val="00F87822"/>
    <w:rsid w:val="00F918DC"/>
    <w:rsid w:val="00FC2B42"/>
    <w:rsid w:val="00FE47EB"/>
    <w:rsid w:val="00FF0AAC"/>
    <w:rsid w:val="00FF3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E49776"/>
  <w14:defaultImageDpi w14:val="32767"/>
  <w15:docId w15:val="{57365DF1-521B-45DF-B76E-EE1D45CE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44D"/>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644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E644D"/>
    <w:rPr>
      <w:sz w:val="18"/>
      <w:szCs w:val="18"/>
    </w:rPr>
  </w:style>
  <w:style w:type="paragraph" w:styleId="Footer">
    <w:name w:val="footer"/>
    <w:basedOn w:val="Normal"/>
    <w:link w:val="FooterChar"/>
    <w:uiPriority w:val="99"/>
    <w:unhideWhenUsed/>
    <w:rsid w:val="006E644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E644D"/>
    <w:rPr>
      <w:sz w:val="18"/>
      <w:szCs w:val="18"/>
    </w:rPr>
  </w:style>
  <w:style w:type="paragraph" w:customStyle="1" w:styleId="EndNoteBibliography">
    <w:name w:val="EndNote Bibliography"/>
    <w:basedOn w:val="Normal"/>
    <w:link w:val="EndNoteBibliography0"/>
    <w:rsid w:val="006E644D"/>
    <w:rPr>
      <w:rFonts w:ascii="DengXian" w:eastAsia="DengXian" w:hAnsi="DengXian"/>
      <w:noProof/>
      <w:sz w:val="20"/>
    </w:rPr>
  </w:style>
  <w:style w:type="character" w:customStyle="1" w:styleId="EndNoteBibliography0">
    <w:name w:val="EndNote Bibliography 字符"/>
    <w:basedOn w:val="DefaultParagraphFont"/>
    <w:link w:val="EndNoteBibliography"/>
    <w:rsid w:val="006E644D"/>
    <w:rPr>
      <w:rFonts w:ascii="DengXian" w:eastAsia="DengXian" w:hAnsi="DengXian"/>
      <w:noProof/>
      <w:sz w:val="20"/>
    </w:rPr>
  </w:style>
  <w:style w:type="paragraph" w:customStyle="1" w:styleId="EndNoteBibliographyTitle">
    <w:name w:val="EndNote Bibliography Title"/>
    <w:basedOn w:val="Normal"/>
    <w:link w:val="EndNoteBibliographyTitle0"/>
    <w:rsid w:val="00F44BA7"/>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F44BA7"/>
    <w:rPr>
      <w:rFonts w:ascii="DengXian" w:eastAsia="DengXian" w:hAnsi="DengXian"/>
      <w:noProof/>
      <w:sz w:val="20"/>
    </w:rPr>
  </w:style>
  <w:style w:type="table" w:styleId="TableGrid">
    <w:name w:val="Table Grid"/>
    <w:basedOn w:val="TableNormal"/>
    <w:uiPriority w:val="39"/>
    <w:rsid w:val="00741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12DF"/>
    <w:rPr>
      <w:color w:val="808080"/>
    </w:rPr>
  </w:style>
  <w:style w:type="character" w:styleId="CommentReference">
    <w:name w:val="annotation reference"/>
    <w:basedOn w:val="DefaultParagraphFont"/>
    <w:uiPriority w:val="99"/>
    <w:semiHidden/>
    <w:unhideWhenUsed/>
    <w:rsid w:val="00D61B16"/>
    <w:rPr>
      <w:sz w:val="21"/>
      <w:szCs w:val="21"/>
    </w:rPr>
  </w:style>
  <w:style w:type="paragraph" w:styleId="CommentText">
    <w:name w:val="annotation text"/>
    <w:basedOn w:val="Normal"/>
    <w:link w:val="CommentTextChar"/>
    <w:uiPriority w:val="99"/>
    <w:unhideWhenUsed/>
    <w:rsid w:val="00D61B16"/>
    <w:pPr>
      <w:jc w:val="left"/>
    </w:pPr>
  </w:style>
  <w:style w:type="character" w:customStyle="1" w:styleId="CommentTextChar">
    <w:name w:val="Comment Text Char"/>
    <w:basedOn w:val="DefaultParagraphFont"/>
    <w:link w:val="CommentText"/>
    <w:uiPriority w:val="99"/>
    <w:rsid w:val="00D61B16"/>
  </w:style>
  <w:style w:type="paragraph" w:styleId="CommentSubject">
    <w:name w:val="annotation subject"/>
    <w:basedOn w:val="CommentText"/>
    <w:next w:val="CommentText"/>
    <w:link w:val="CommentSubjectChar"/>
    <w:uiPriority w:val="99"/>
    <w:semiHidden/>
    <w:unhideWhenUsed/>
    <w:rsid w:val="00D61B16"/>
    <w:rPr>
      <w:b/>
      <w:bCs/>
    </w:rPr>
  </w:style>
  <w:style w:type="character" w:customStyle="1" w:styleId="CommentSubjectChar">
    <w:name w:val="Comment Subject Char"/>
    <w:basedOn w:val="CommentTextChar"/>
    <w:link w:val="CommentSubject"/>
    <w:uiPriority w:val="99"/>
    <w:semiHidden/>
    <w:rsid w:val="00D61B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662934">
      <w:bodyDiv w:val="1"/>
      <w:marLeft w:val="0"/>
      <w:marRight w:val="0"/>
      <w:marTop w:val="0"/>
      <w:marBottom w:val="0"/>
      <w:divBdr>
        <w:top w:val="none" w:sz="0" w:space="0" w:color="auto"/>
        <w:left w:val="none" w:sz="0" w:space="0" w:color="auto"/>
        <w:bottom w:val="none" w:sz="0" w:space="0" w:color="auto"/>
        <w:right w:val="none" w:sz="0" w:space="0" w:color="auto"/>
      </w:divBdr>
    </w:div>
    <w:div w:id="1127159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ti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D58A3-1D31-41AE-9462-48F3BFFDD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5352</TotalTime>
  <Pages>5</Pages>
  <Words>750</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c_celine666@163.com</dc:creator>
  <cp:keywords/>
  <dc:description/>
  <cp:lastModifiedBy>Smith, Jessica</cp:lastModifiedBy>
  <cp:revision>58</cp:revision>
  <dcterms:created xsi:type="dcterms:W3CDTF">2022-02-21T06:27:00Z</dcterms:created>
  <dcterms:modified xsi:type="dcterms:W3CDTF">2022-11-09T19:59:00Z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aaad584d-f604-39a7-86ea-361527b3f3ab</vt:lpwstr>
  </property>
  <property fmtid="{D5CDD505-2E9C-101B-9397-08002B2CF9AE}" pid="4" name="Mendeley Citation Style_1">
    <vt:lpwstr>http://www.zotero.org/styles/nature</vt:lpwstr>
  </property>
  <property fmtid="{D5CDD505-2E9C-101B-9397-08002B2CF9AE}" pid="5" name="Mendeley Recent Style Id 0_1">
    <vt:lpwstr>http://www.zotero.org/styles/ama</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http://www.zotero.org/styles/apsa</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http://www.zotero.org/styles/asa</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http://www.zotero.org/styles/mla</vt:lpwstr>
  </property>
  <property fmtid="{D5CDD505-2E9C-101B-9397-08002B2CF9AE}" pid="20" name="Mendeley Recent Style Name 7_1">
    <vt:lpwstr>Modern Language Association</vt:lpwstr>
  </property>
  <property fmtid="{D5CDD505-2E9C-101B-9397-08002B2CF9AE}" pid="21" name="Mendeley Recent Style Id 8_1">
    <vt:lpwstr>http://www.zotero.org/styles/nlm</vt:lpwstr>
  </property>
  <property fmtid="{D5CDD505-2E9C-101B-9397-08002B2CF9AE}" pid="22" name="Mendeley Recent Style Name 8_1">
    <vt:lpwstr>National Library of Medicine</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SIP_Label_2bbab825-a111-45e4-86a1-18cee0005896_Enabled">
    <vt:lpwstr>true</vt:lpwstr>
  </property>
  <property fmtid="{D5CDD505-2E9C-101B-9397-08002B2CF9AE}" pid="26" name="MSIP_Label_2bbab825-a111-45e4-86a1-18cee0005896_SetDate">
    <vt:lpwstr>2022-11-09T19:59:21Z</vt:lpwstr>
  </property>
  <property fmtid="{D5CDD505-2E9C-101B-9397-08002B2CF9AE}" pid="27" name="MSIP_Label_2bbab825-a111-45e4-86a1-18cee0005896_Method">
    <vt:lpwstr>Standard</vt:lpwstr>
  </property>
  <property fmtid="{D5CDD505-2E9C-101B-9397-08002B2CF9AE}" pid="28" name="MSIP_Label_2bbab825-a111-45e4-86a1-18cee0005896_Name">
    <vt:lpwstr>2bbab825-a111-45e4-86a1-18cee0005896</vt:lpwstr>
  </property>
  <property fmtid="{D5CDD505-2E9C-101B-9397-08002B2CF9AE}" pid="29" name="MSIP_Label_2bbab825-a111-45e4-86a1-18cee0005896_SiteId">
    <vt:lpwstr>2567d566-604c-408a-8a60-55d0dc9d9d6b</vt:lpwstr>
  </property>
  <property fmtid="{D5CDD505-2E9C-101B-9397-08002B2CF9AE}" pid="30" name="MSIP_Label_2bbab825-a111-45e4-86a1-18cee0005896_ActionId">
    <vt:lpwstr>b469084a-9f78-4daa-ac58-11aa5bce2298</vt:lpwstr>
  </property>
  <property fmtid="{D5CDD505-2E9C-101B-9397-08002B2CF9AE}" pid="31" name="MSIP_Label_2bbab825-a111-45e4-86a1-18cee0005896_ContentBits">
    <vt:lpwstr>2</vt:lpwstr>
  </property>
</Properties>
</file>