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3059" w14:textId="40742B07" w:rsidR="00CB7752" w:rsidRPr="008224C7" w:rsidRDefault="00CB7752" w:rsidP="00E7399A">
      <w:pPr>
        <w:rPr>
          <w:rFonts w:ascii="Arial" w:hAnsi="Arial" w:cs="Arial"/>
          <w:sz w:val="20"/>
          <w:szCs w:val="20"/>
        </w:rPr>
      </w:pPr>
      <w:r w:rsidRPr="008224C7">
        <w:rPr>
          <w:rFonts w:ascii="Arial" w:hAnsi="Arial" w:cs="Arial"/>
          <w:b/>
          <w:bCs/>
          <w:sz w:val="20"/>
          <w:szCs w:val="20"/>
        </w:rPr>
        <w:t xml:space="preserve">Supplementary </w:t>
      </w:r>
      <w:r w:rsidR="00E7399A">
        <w:rPr>
          <w:rFonts w:ascii="Arial" w:hAnsi="Arial" w:cs="Arial"/>
          <w:b/>
          <w:bCs/>
          <w:sz w:val="20"/>
          <w:szCs w:val="20"/>
        </w:rPr>
        <w:t>T</w:t>
      </w:r>
      <w:r w:rsidRPr="008224C7">
        <w:rPr>
          <w:rFonts w:ascii="Arial" w:hAnsi="Arial" w:cs="Arial"/>
          <w:b/>
          <w:bCs/>
          <w:sz w:val="20"/>
          <w:szCs w:val="20"/>
        </w:rPr>
        <w:t>able 1</w:t>
      </w:r>
      <w:r w:rsidRPr="008224C7">
        <w:rPr>
          <w:rFonts w:ascii="Arial" w:hAnsi="Arial" w:cs="Arial"/>
          <w:sz w:val="20"/>
          <w:szCs w:val="20"/>
        </w:rPr>
        <w:t xml:space="preserve"> Main antidepressant medication prescribed at baseline</w:t>
      </w:r>
    </w:p>
    <w:p w14:paraId="6E98C076" w14:textId="77777777" w:rsidR="00CB7752" w:rsidRPr="008224C7" w:rsidRDefault="00CB7752" w:rsidP="00CB7752">
      <w:pPr>
        <w:rPr>
          <w:rFonts w:ascii="Arial" w:hAnsi="Arial" w:cs="Arial"/>
          <w:sz w:val="20"/>
          <w:szCs w:val="20"/>
        </w:rPr>
      </w:pPr>
    </w:p>
    <w:tbl>
      <w:tblPr>
        <w:tblW w:w="9109" w:type="dxa"/>
        <w:tblLook w:val="04A0" w:firstRow="1" w:lastRow="0" w:firstColumn="1" w:lastColumn="0" w:noHBand="0" w:noVBand="1"/>
      </w:tblPr>
      <w:tblGrid>
        <w:gridCol w:w="2530"/>
        <w:gridCol w:w="2193"/>
        <w:gridCol w:w="2193"/>
        <w:gridCol w:w="2193"/>
      </w:tblGrid>
      <w:tr w:rsidR="00CB7752" w:rsidRPr="006A4DCD" w14:paraId="2479DFDF" w14:textId="77777777" w:rsidTr="00394B06">
        <w:trPr>
          <w:trHeight w:val="332"/>
        </w:trPr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1C7210" w14:textId="77777777" w:rsidR="00CB7752" w:rsidRPr="006A4DCD" w:rsidRDefault="00CB7752" w:rsidP="00394B0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Antidepressant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50D21C" w14:textId="77777777" w:rsidR="00CB7752" w:rsidRPr="008224C7" w:rsidRDefault="00CB7752" w:rsidP="00394B06">
            <w:pPr>
              <w:spacing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Sustained remission</w:t>
            </w:r>
          </w:p>
          <w:p w14:paraId="3A997794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(n=31)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8D48D3" w14:textId="77777777" w:rsidR="00CB7752" w:rsidRPr="008224C7" w:rsidRDefault="00CB7752" w:rsidP="00394B06">
            <w:pPr>
              <w:spacing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Non-sustained remission</w:t>
            </w:r>
          </w:p>
          <w:p w14:paraId="432F9B3F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(n=46)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639C80" w14:textId="77777777" w:rsidR="00CB7752" w:rsidRPr="008224C7" w:rsidRDefault="00CB7752" w:rsidP="00394B06">
            <w:pPr>
              <w:spacing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  <w:p w14:paraId="4C77A175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(n=77)</w:t>
            </w:r>
          </w:p>
        </w:tc>
      </w:tr>
      <w:tr w:rsidR="00CB7752" w:rsidRPr="006A4DCD" w14:paraId="42D02DD2" w14:textId="77777777" w:rsidTr="00394B06">
        <w:trPr>
          <w:trHeight w:val="332"/>
        </w:trPr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23BC" w14:textId="77777777" w:rsidR="00CB7752" w:rsidRPr="006A4DCD" w:rsidRDefault="00CB7752" w:rsidP="00394B06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SSRI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DC634" w14:textId="77777777" w:rsidR="00CB7752" w:rsidRPr="006A4DCD" w:rsidRDefault="00CB7752" w:rsidP="00394B0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989BE" w14:textId="77777777" w:rsidR="00CB7752" w:rsidRPr="006A4DCD" w:rsidRDefault="00CB7752" w:rsidP="00394B06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5F11F" w14:textId="77777777" w:rsidR="00CB7752" w:rsidRPr="006A4DCD" w:rsidRDefault="00CB7752" w:rsidP="00394B06">
            <w:pPr>
              <w:spacing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CB7752" w:rsidRPr="006A4DCD" w14:paraId="1EE8B458" w14:textId="77777777" w:rsidTr="00394B06">
        <w:trPr>
          <w:trHeight w:val="33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98FF" w14:textId="77777777" w:rsidR="00CB7752" w:rsidRPr="006A4DCD" w:rsidRDefault="00CB7752" w:rsidP="00394B0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Sertraline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41F5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(41.9%)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2D3F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(30.4%)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8A2E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(35.1%)</w:t>
            </w:r>
          </w:p>
        </w:tc>
      </w:tr>
      <w:tr w:rsidR="00CB7752" w:rsidRPr="006A4DCD" w14:paraId="110330D1" w14:textId="77777777" w:rsidTr="00394B06">
        <w:trPr>
          <w:trHeight w:val="33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5F32" w14:textId="77777777" w:rsidR="00CB7752" w:rsidRPr="006A4DCD" w:rsidRDefault="00CB7752" w:rsidP="00394B0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Escitalopram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E917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(16.1%)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EEB8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(10.9%)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011A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(13.0%)</w:t>
            </w:r>
          </w:p>
        </w:tc>
      </w:tr>
      <w:tr w:rsidR="00CB7752" w:rsidRPr="006A4DCD" w14:paraId="26145CF4" w14:textId="77777777" w:rsidTr="00394B06">
        <w:trPr>
          <w:trHeight w:val="33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8AC2" w14:textId="77777777" w:rsidR="00CB7752" w:rsidRPr="006A4DCD" w:rsidRDefault="00CB7752" w:rsidP="00394B0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Paroxetine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FD3C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(3.2%)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A895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(2.2%)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4866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(2.6%)</w:t>
            </w:r>
          </w:p>
        </w:tc>
      </w:tr>
      <w:tr w:rsidR="00CB7752" w:rsidRPr="006A4DCD" w14:paraId="169D473F" w14:textId="77777777" w:rsidTr="00394B06">
        <w:trPr>
          <w:trHeight w:val="33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C5B1" w14:textId="77777777" w:rsidR="00CB7752" w:rsidRPr="006A4DCD" w:rsidRDefault="00CB7752" w:rsidP="00394B0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Fluvoxamine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1B53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(3.2%)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1B18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1652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(1.3%)</w:t>
            </w:r>
          </w:p>
        </w:tc>
      </w:tr>
      <w:tr w:rsidR="00CB7752" w:rsidRPr="006A4DCD" w14:paraId="5C9C3D8B" w14:textId="77777777" w:rsidTr="00394B06">
        <w:trPr>
          <w:trHeight w:val="33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F9B4" w14:textId="77777777" w:rsidR="00CB7752" w:rsidRPr="006A4DCD" w:rsidRDefault="00CB7752" w:rsidP="00394B06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SNRI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429D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3ACE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CC65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B7752" w:rsidRPr="006A4DCD" w14:paraId="13EE1096" w14:textId="77777777" w:rsidTr="00394B06">
        <w:trPr>
          <w:trHeight w:val="33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EB30" w14:textId="77777777" w:rsidR="00CB7752" w:rsidRPr="006A4DCD" w:rsidRDefault="00CB7752" w:rsidP="00394B0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Duloxetine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8DA5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(12.9%)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BA80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(26.1%)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85E2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(20.8%)</w:t>
            </w:r>
          </w:p>
        </w:tc>
      </w:tr>
      <w:tr w:rsidR="00CB7752" w:rsidRPr="006A4DCD" w14:paraId="3CD7E093" w14:textId="77777777" w:rsidTr="00394B06">
        <w:trPr>
          <w:trHeight w:val="33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0A08" w14:textId="77777777" w:rsidR="00CB7752" w:rsidRPr="006A4DCD" w:rsidRDefault="00CB7752" w:rsidP="00394B0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Venlafaxine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AFF3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(3.2%)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A4FE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(2.2%)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6216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(2.6%)</w:t>
            </w:r>
          </w:p>
        </w:tc>
      </w:tr>
      <w:tr w:rsidR="00CB7752" w:rsidRPr="006A4DCD" w14:paraId="30520F2F" w14:textId="77777777" w:rsidTr="00394B06">
        <w:trPr>
          <w:trHeight w:val="33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4789" w14:textId="77777777" w:rsidR="00CB7752" w:rsidRPr="006A4DCD" w:rsidRDefault="00CB7752" w:rsidP="00394B0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Milnaciprane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2E54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(3.2%)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4B5E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(2.2%)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42EB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(2.6%)</w:t>
            </w:r>
          </w:p>
        </w:tc>
      </w:tr>
      <w:tr w:rsidR="00CB7752" w:rsidRPr="006A4DCD" w14:paraId="2B6BD80A" w14:textId="77777777" w:rsidTr="00394B06">
        <w:trPr>
          <w:trHeight w:val="33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416F" w14:textId="77777777" w:rsidR="00CB7752" w:rsidRPr="00CF5A1C" w:rsidRDefault="00CB7752" w:rsidP="00394B06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CF5A1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TCA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247B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3E67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C658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B7752" w:rsidRPr="006A4DCD" w14:paraId="6E9F934F" w14:textId="77777777" w:rsidTr="00394B06">
        <w:trPr>
          <w:trHeight w:val="33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C8B4" w14:textId="77777777" w:rsidR="00CB7752" w:rsidRPr="006A4DCD" w:rsidRDefault="00CB7752" w:rsidP="00394B0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Imipramine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8FC2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(3.2%)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F4AD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333D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(1.3%)</w:t>
            </w:r>
          </w:p>
        </w:tc>
      </w:tr>
      <w:tr w:rsidR="00CB7752" w:rsidRPr="006A4DCD" w14:paraId="48979B19" w14:textId="77777777" w:rsidTr="00394B06">
        <w:trPr>
          <w:trHeight w:val="33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29F8" w14:textId="77777777" w:rsidR="00CB7752" w:rsidRPr="006A4DCD" w:rsidRDefault="00CB7752" w:rsidP="00394B0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Nortriptyline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FB10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8B46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(2.2%)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DD04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(1.3%)</w:t>
            </w:r>
          </w:p>
        </w:tc>
      </w:tr>
      <w:tr w:rsidR="00CB7752" w:rsidRPr="006A4DCD" w14:paraId="19B0468A" w14:textId="77777777" w:rsidTr="00394B06">
        <w:trPr>
          <w:trHeight w:val="33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F435" w14:textId="77777777" w:rsidR="00CB7752" w:rsidRPr="006A4DCD" w:rsidRDefault="00CB7752" w:rsidP="00394B0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Amoxiapine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8532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(3.2%)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B764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(2.2%)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4448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(2.6%)</w:t>
            </w:r>
          </w:p>
        </w:tc>
      </w:tr>
      <w:tr w:rsidR="00CB7752" w:rsidRPr="006A4DCD" w14:paraId="4F7EAAC0" w14:textId="77777777" w:rsidTr="00394B06">
        <w:trPr>
          <w:trHeight w:val="33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E172" w14:textId="77777777" w:rsidR="00CB7752" w:rsidRPr="00CF5A1C" w:rsidRDefault="00CB7752" w:rsidP="00394B06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CF5A1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Others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8690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2C57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B9FA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B7752" w:rsidRPr="006A4DCD" w14:paraId="2C80DBE4" w14:textId="77777777" w:rsidTr="00394B06">
        <w:trPr>
          <w:trHeight w:val="33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5633" w14:textId="77777777" w:rsidR="00CB7752" w:rsidRPr="006A4DCD" w:rsidRDefault="00CB7752" w:rsidP="00394B0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Miltazapine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C32F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(6.5%)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C80E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(8.7%)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7CBB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(7.8%)</w:t>
            </w:r>
          </w:p>
        </w:tc>
      </w:tr>
      <w:tr w:rsidR="00CB7752" w:rsidRPr="006A4DCD" w14:paraId="4FC03B25" w14:textId="77777777" w:rsidTr="00394B06">
        <w:trPr>
          <w:trHeight w:val="332"/>
        </w:trPr>
        <w:tc>
          <w:tcPr>
            <w:tcW w:w="2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7804" w14:textId="77777777" w:rsidR="00CB7752" w:rsidRPr="006A4DCD" w:rsidRDefault="00CB7752" w:rsidP="00394B0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Trazodone</w:t>
            </w:r>
          </w:p>
        </w:tc>
        <w:tc>
          <w:tcPr>
            <w:tcW w:w="21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2883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1B7B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(4.3%)</w:t>
            </w:r>
          </w:p>
        </w:tc>
        <w:tc>
          <w:tcPr>
            <w:tcW w:w="21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1B1F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(2.6 %)</w:t>
            </w:r>
          </w:p>
        </w:tc>
      </w:tr>
      <w:tr w:rsidR="00CB7752" w:rsidRPr="006A4DCD" w14:paraId="0E5B3BE6" w14:textId="77777777" w:rsidTr="00394B06">
        <w:trPr>
          <w:trHeight w:val="332"/>
        </w:trPr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9CDD7" w14:textId="77777777" w:rsidR="00CB7752" w:rsidRPr="006A4DCD" w:rsidRDefault="00CB7752" w:rsidP="00394B0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A6AF3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(3.2%)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5CECE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A4DC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(8.7%)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BAF91" w14:textId="77777777" w:rsidR="00CB7752" w:rsidRPr="006A4DCD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24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 (6.5%)</w:t>
            </w:r>
          </w:p>
        </w:tc>
      </w:tr>
    </w:tbl>
    <w:p w14:paraId="5D15A172" w14:textId="43A38E86" w:rsidR="00CB7752" w:rsidRPr="008224C7" w:rsidRDefault="00CB7752" w:rsidP="00CB7752">
      <w:pPr>
        <w:pStyle w:val="EndNoteBibliography"/>
        <w:spacing w:line="360" w:lineRule="auto"/>
        <w:contextualSpacing/>
        <w:rPr>
          <w:rFonts w:eastAsia="Times New Roman"/>
          <w:szCs w:val="20"/>
        </w:rPr>
      </w:pPr>
      <w:r w:rsidRPr="008224C7">
        <w:rPr>
          <w:rFonts w:eastAsia="Times New Roman"/>
          <w:b/>
          <w:bCs/>
          <w:szCs w:val="20"/>
        </w:rPr>
        <w:t>Abbreviations:</w:t>
      </w:r>
      <w:r w:rsidRPr="008224C7">
        <w:rPr>
          <w:rFonts w:eastAsia="Times New Roman"/>
          <w:szCs w:val="20"/>
        </w:rPr>
        <w:t xml:space="preserve"> SSRI, </w:t>
      </w:r>
      <w:r w:rsidRPr="008224C7">
        <w:rPr>
          <w:color w:val="4D5156"/>
          <w:szCs w:val="20"/>
          <w:shd w:val="clear" w:color="auto" w:fill="FFFFFF"/>
        </w:rPr>
        <w:t>Selective Serotonin Reuptake Inhibitor; SNRI, Serotonin Noradrenaline Reuptake Inhibitor</w:t>
      </w:r>
      <w:r w:rsidRPr="008224C7">
        <w:rPr>
          <w:rFonts w:eastAsia="Times New Roman"/>
          <w:szCs w:val="20"/>
        </w:rPr>
        <w:t xml:space="preserve">ser; TCA, </w:t>
      </w:r>
      <w:r w:rsidRPr="008224C7">
        <w:rPr>
          <w:color w:val="4D5156"/>
          <w:szCs w:val="20"/>
          <w:shd w:val="clear" w:color="auto" w:fill="FFFFFF"/>
        </w:rPr>
        <w:t xml:space="preserve">tricyclic antidepressants </w:t>
      </w:r>
    </w:p>
    <w:p w14:paraId="21DF89C7" w14:textId="39726C67" w:rsidR="00CB7752" w:rsidRPr="008224C7" w:rsidRDefault="00CB7752" w:rsidP="00CB7752">
      <w:pPr>
        <w:pStyle w:val="EndNoteBibliography"/>
        <w:spacing w:line="360" w:lineRule="auto"/>
        <w:contextualSpacing/>
        <w:rPr>
          <w:rFonts w:eastAsia="Times New Roman"/>
          <w:szCs w:val="20"/>
        </w:rPr>
      </w:pPr>
      <w:r w:rsidRPr="008224C7">
        <w:rPr>
          <w:rFonts w:eastAsia="Times New Roman"/>
          <w:b/>
          <w:bCs/>
          <w:szCs w:val="20"/>
        </w:rPr>
        <w:t>Notes:</w:t>
      </w:r>
      <w:r w:rsidRPr="008224C7">
        <w:rPr>
          <w:rFonts w:eastAsia="Times New Roman"/>
          <w:szCs w:val="20"/>
        </w:rPr>
        <w:t xml:space="preserve"> </w:t>
      </w:r>
      <w:r w:rsidR="00CF5A1C">
        <w:rPr>
          <w:rFonts w:eastAsia="Times New Roman"/>
          <w:szCs w:val="20"/>
        </w:rPr>
        <w:t>n</w:t>
      </w:r>
      <w:r w:rsidR="00CF5A1C" w:rsidRPr="004F6D52">
        <w:rPr>
          <w:rFonts w:eastAsia="Times New Roman"/>
          <w:szCs w:val="20"/>
        </w:rPr>
        <w:t xml:space="preserve"> (%). </w:t>
      </w:r>
      <w:r w:rsidRPr="008224C7">
        <w:rPr>
          <w:rFonts w:eastAsia="Times New Roman"/>
          <w:szCs w:val="20"/>
        </w:rPr>
        <w:t>Sustained remission indicates remission at both 6- and 12-month assessments.</w:t>
      </w:r>
    </w:p>
    <w:p w14:paraId="09A4C426" w14:textId="17B55855" w:rsidR="00CB7752" w:rsidRDefault="00CB7752">
      <w:pPr>
        <w:rPr>
          <w:lang w:val=""/>
        </w:rPr>
      </w:pPr>
      <w:r>
        <w:rPr>
          <w:lang w:val=""/>
        </w:rPr>
        <w:br w:type="page"/>
      </w:r>
    </w:p>
    <w:p w14:paraId="6B9B768A" w14:textId="749F827E" w:rsidR="00CB7752" w:rsidRDefault="00CB7752" w:rsidP="00E7399A">
      <w:pPr>
        <w:rPr>
          <w:rFonts w:ascii="Arial" w:hAnsi="Arial" w:cs="Arial"/>
          <w:sz w:val="20"/>
          <w:szCs w:val="20"/>
        </w:rPr>
      </w:pPr>
      <w:r w:rsidRPr="004D13FE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</w:t>
      </w:r>
      <w:r w:rsidR="00E7399A">
        <w:rPr>
          <w:rFonts w:ascii="Arial" w:hAnsi="Arial" w:cs="Arial"/>
          <w:b/>
          <w:bCs/>
          <w:sz w:val="20"/>
          <w:szCs w:val="20"/>
        </w:rPr>
        <w:t>T</w:t>
      </w:r>
      <w:r w:rsidRPr="004D13FE">
        <w:rPr>
          <w:rFonts w:ascii="Arial" w:hAnsi="Arial" w:cs="Arial"/>
          <w:b/>
          <w:bCs/>
          <w:sz w:val="20"/>
          <w:szCs w:val="20"/>
        </w:rPr>
        <w:t>able 2</w:t>
      </w:r>
      <w:r w:rsidRPr="001A22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1A2268">
        <w:rPr>
          <w:rFonts w:ascii="Arial" w:hAnsi="Arial" w:cs="Arial"/>
          <w:sz w:val="20"/>
          <w:szCs w:val="20"/>
        </w:rPr>
        <w:t>epression severity over time (n=77)</w:t>
      </w:r>
    </w:p>
    <w:p w14:paraId="461F8884" w14:textId="77777777" w:rsidR="00CB7752" w:rsidRPr="001A2268" w:rsidRDefault="00CB7752" w:rsidP="00CB7752">
      <w:pPr>
        <w:rPr>
          <w:rFonts w:ascii="Arial" w:hAnsi="Arial" w:cs="Arial"/>
          <w:sz w:val="20"/>
          <w:szCs w:val="20"/>
        </w:rPr>
      </w:pPr>
    </w:p>
    <w:tbl>
      <w:tblPr>
        <w:tblStyle w:val="TableGridLight1"/>
        <w:tblW w:w="9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6"/>
        <w:gridCol w:w="2146"/>
        <w:gridCol w:w="2147"/>
        <w:gridCol w:w="2084"/>
      </w:tblGrid>
      <w:tr w:rsidR="00CB7752" w:rsidRPr="004D13FE" w14:paraId="3FB4B465" w14:textId="77777777" w:rsidTr="00394B06">
        <w:trPr>
          <w:trHeight w:val="522"/>
        </w:trPr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2C4F783" w14:textId="77777777" w:rsidR="00CB7752" w:rsidRPr="004D13FE" w:rsidRDefault="00CB7752" w:rsidP="00394B0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95821FA" w14:textId="77777777" w:rsidR="00CB7752" w:rsidRPr="004D13FE" w:rsidRDefault="00CB7752" w:rsidP="003766C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Sustained Remission (n=31)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51C2EF0" w14:textId="77777777" w:rsidR="00CB7752" w:rsidRPr="004D13FE" w:rsidRDefault="00CB7752" w:rsidP="003766C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Non-Sustained Remission (n=46)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5419318" w14:textId="77777777" w:rsidR="00CB7752" w:rsidRPr="004D13FE" w:rsidRDefault="00CB7752" w:rsidP="003766C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 (n=77)</w:t>
            </w:r>
          </w:p>
        </w:tc>
      </w:tr>
      <w:tr w:rsidR="00CB7752" w:rsidRPr="004D13FE" w14:paraId="0F9EC0E0" w14:textId="77777777" w:rsidTr="00394B06">
        <w:trPr>
          <w:trHeight w:val="320"/>
        </w:trPr>
        <w:tc>
          <w:tcPr>
            <w:tcW w:w="2796" w:type="dxa"/>
            <w:tcBorders>
              <w:top w:val="single" w:sz="4" w:space="0" w:color="auto"/>
            </w:tcBorders>
            <w:hideMark/>
          </w:tcPr>
          <w:p w14:paraId="127954C5" w14:textId="77777777" w:rsidR="00CB7752" w:rsidRPr="004D13FE" w:rsidRDefault="00CB7752" w:rsidP="00394B06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GRID-HAMD</w:t>
            </w:r>
            <w:r w:rsidRPr="004D13F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bscript"/>
              </w:rPr>
              <w:t>17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hideMark/>
          </w:tcPr>
          <w:p w14:paraId="53B5C762" w14:textId="77777777" w:rsidR="00CB7752" w:rsidRPr="004D13FE" w:rsidRDefault="00CB7752" w:rsidP="00394B0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single" w:sz="4" w:space="0" w:color="auto"/>
            </w:tcBorders>
            <w:hideMark/>
          </w:tcPr>
          <w:p w14:paraId="7FAECED1" w14:textId="77777777" w:rsidR="00CB7752" w:rsidRPr="004D13FE" w:rsidRDefault="00CB7752" w:rsidP="00394B06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auto"/>
            </w:tcBorders>
            <w:hideMark/>
          </w:tcPr>
          <w:p w14:paraId="70412E6B" w14:textId="77777777" w:rsidR="00CB7752" w:rsidRPr="004D13FE" w:rsidRDefault="00CB7752" w:rsidP="00394B06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B7752" w:rsidRPr="004D13FE" w14:paraId="69C5EAB7" w14:textId="77777777" w:rsidTr="00394B06">
        <w:trPr>
          <w:trHeight w:val="320"/>
        </w:trPr>
        <w:tc>
          <w:tcPr>
            <w:tcW w:w="2796" w:type="dxa"/>
            <w:hideMark/>
          </w:tcPr>
          <w:p w14:paraId="585A0A8B" w14:textId="77777777" w:rsidR="00CB7752" w:rsidRPr="004D13FE" w:rsidRDefault="00CB7752" w:rsidP="00394B0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Baseline</w:t>
            </w:r>
          </w:p>
        </w:tc>
        <w:tc>
          <w:tcPr>
            <w:tcW w:w="2146" w:type="dxa"/>
            <w:hideMark/>
          </w:tcPr>
          <w:p w14:paraId="1153670B" w14:textId="77777777" w:rsidR="00CB7752" w:rsidRPr="004D13FE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12.0 (6.6)</w:t>
            </w:r>
          </w:p>
        </w:tc>
        <w:tc>
          <w:tcPr>
            <w:tcW w:w="2147" w:type="dxa"/>
            <w:hideMark/>
          </w:tcPr>
          <w:p w14:paraId="47A4BDBA" w14:textId="77777777" w:rsidR="00CB7752" w:rsidRPr="004D13FE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16.1 (6.9)</w:t>
            </w:r>
          </w:p>
        </w:tc>
        <w:tc>
          <w:tcPr>
            <w:tcW w:w="2084" w:type="dxa"/>
            <w:hideMark/>
          </w:tcPr>
          <w:p w14:paraId="160F7345" w14:textId="77777777" w:rsidR="00CB7752" w:rsidRPr="004D13FE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14.5 (7.0)</w:t>
            </w:r>
          </w:p>
        </w:tc>
      </w:tr>
      <w:tr w:rsidR="00CB7752" w:rsidRPr="004D13FE" w14:paraId="4D12D741" w14:textId="77777777" w:rsidTr="00394B06">
        <w:trPr>
          <w:trHeight w:val="320"/>
        </w:trPr>
        <w:tc>
          <w:tcPr>
            <w:tcW w:w="2796" w:type="dxa"/>
            <w:hideMark/>
          </w:tcPr>
          <w:p w14:paraId="68CA67B6" w14:textId="265E177B" w:rsidR="00CB7752" w:rsidRPr="004D13FE" w:rsidRDefault="00CB7752" w:rsidP="00394B0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6</w:t>
            </w:r>
            <w:r w:rsidR="00143B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month</w:t>
            </w:r>
            <w:r w:rsidR="00143B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2146" w:type="dxa"/>
            <w:hideMark/>
          </w:tcPr>
          <w:p w14:paraId="37F9AD46" w14:textId="77777777" w:rsidR="00CB7752" w:rsidRPr="004D13FE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 (2.3)</w:t>
            </w:r>
          </w:p>
        </w:tc>
        <w:tc>
          <w:tcPr>
            <w:tcW w:w="2147" w:type="dxa"/>
            <w:hideMark/>
          </w:tcPr>
          <w:p w14:paraId="00792F73" w14:textId="77777777" w:rsidR="00CB7752" w:rsidRPr="004D13FE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13.6 (5.7)</w:t>
            </w:r>
          </w:p>
        </w:tc>
        <w:tc>
          <w:tcPr>
            <w:tcW w:w="2084" w:type="dxa"/>
            <w:hideMark/>
          </w:tcPr>
          <w:p w14:paraId="441DFA29" w14:textId="77777777" w:rsidR="00CB7752" w:rsidRPr="004D13FE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 (7.1)</w:t>
            </w:r>
          </w:p>
        </w:tc>
      </w:tr>
      <w:tr w:rsidR="00CB7752" w:rsidRPr="004D13FE" w14:paraId="35BAB772" w14:textId="77777777" w:rsidTr="00394B06">
        <w:trPr>
          <w:trHeight w:val="320"/>
        </w:trPr>
        <w:tc>
          <w:tcPr>
            <w:tcW w:w="2796" w:type="dxa"/>
            <w:hideMark/>
          </w:tcPr>
          <w:p w14:paraId="66D8AE2E" w14:textId="02B79F55" w:rsidR="00CB7752" w:rsidRPr="004D13FE" w:rsidRDefault="00CB7752" w:rsidP="00143B4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12</w:t>
            </w:r>
            <w:r w:rsidR="00143B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month</w:t>
            </w:r>
            <w:r w:rsidR="00143B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2146" w:type="dxa"/>
            <w:hideMark/>
          </w:tcPr>
          <w:p w14:paraId="219F0530" w14:textId="77777777" w:rsidR="00CB7752" w:rsidRPr="004D13FE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 (2.0)</w:t>
            </w:r>
          </w:p>
        </w:tc>
        <w:tc>
          <w:tcPr>
            <w:tcW w:w="2147" w:type="dxa"/>
            <w:hideMark/>
          </w:tcPr>
          <w:p w14:paraId="6C96BA2F" w14:textId="77777777" w:rsidR="00CB7752" w:rsidRPr="004D13FE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12.0 (6.3)</w:t>
            </w:r>
          </w:p>
        </w:tc>
        <w:tc>
          <w:tcPr>
            <w:tcW w:w="2084" w:type="dxa"/>
            <w:hideMark/>
          </w:tcPr>
          <w:p w14:paraId="6D717C4E" w14:textId="77777777" w:rsidR="00CB7752" w:rsidRPr="004D13FE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7.9 (7.0)</w:t>
            </w:r>
          </w:p>
        </w:tc>
      </w:tr>
      <w:tr w:rsidR="00CB7752" w:rsidRPr="004D13FE" w14:paraId="38F7CA5D" w14:textId="77777777" w:rsidTr="00394B06">
        <w:trPr>
          <w:trHeight w:val="320"/>
        </w:trPr>
        <w:tc>
          <w:tcPr>
            <w:tcW w:w="2796" w:type="dxa"/>
            <w:hideMark/>
          </w:tcPr>
          <w:p w14:paraId="571C54AC" w14:textId="77777777" w:rsidR="00CB7752" w:rsidRPr="004D13FE" w:rsidRDefault="00CB7752" w:rsidP="00394B06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BDI-II</w:t>
            </w:r>
          </w:p>
        </w:tc>
        <w:tc>
          <w:tcPr>
            <w:tcW w:w="2146" w:type="dxa"/>
            <w:noWrap/>
            <w:hideMark/>
          </w:tcPr>
          <w:p w14:paraId="74E93687" w14:textId="77777777" w:rsidR="00CB7752" w:rsidRPr="004D13FE" w:rsidRDefault="00CB7752" w:rsidP="00394B06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noWrap/>
            <w:hideMark/>
          </w:tcPr>
          <w:p w14:paraId="31DDD666" w14:textId="77777777" w:rsidR="00CB7752" w:rsidRPr="004D13FE" w:rsidRDefault="00CB7752" w:rsidP="00394B06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84" w:type="dxa"/>
            <w:noWrap/>
            <w:hideMark/>
          </w:tcPr>
          <w:p w14:paraId="2676DC8D" w14:textId="77777777" w:rsidR="00CB7752" w:rsidRPr="004D13FE" w:rsidRDefault="00CB7752" w:rsidP="00394B06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B7752" w:rsidRPr="004D13FE" w14:paraId="746E85A6" w14:textId="77777777" w:rsidTr="00394B06">
        <w:trPr>
          <w:trHeight w:val="320"/>
        </w:trPr>
        <w:tc>
          <w:tcPr>
            <w:tcW w:w="2796" w:type="dxa"/>
            <w:hideMark/>
          </w:tcPr>
          <w:p w14:paraId="151B3405" w14:textId="77777777" w:rsidR="00CB7752" w:rsidRPr="004D13FE" w:rsidRDefault="00CB7752" w:rsidP="00394B0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Baseline</w:t>
            </w:r>
          </w:p>
        </w:tc>
        <w:tc>
          <w:tcPr>
            <w:tcW w:w="2146" w:type="dxa"/>
            <w:hideMark/>
          </w:tcPr>
          <w:p w14:paraId="4FA75C50" w14:textId="77777777" w:rsidR="00CB7752" w:rsidRPr="004D13FE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18.8 (10.7)</w:t>
            </w:r>
          </w:p>
        </w:tc>
        <w:tc>
          <w:tcPr>
            <w:tcW w:w="2147" w:type="dxa"/>
            <w:hideMark/>
          </w:tcPr>
          <w:p w14:paraId="628D4140" w14:textId="77777777" w:rsidR="00CB7752" w:rsidRPr="004D13FE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27.4 (11.5)</w:t>
            </w:r>
          </w:p>
        </w:tc>
        <w:tc>
          <w:tcPr>
            <w:tcW w:w="2084" w:type="dxa"/>
            <w:hideMark/>
          </w:tcPr>
          <w:p w14:paraId="600D2C6F" w14:textId="77777777" w:rsidR="00CB7752" w:rsidRPr="004D13FE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23.9 (11.9)</w:t>
            </w:r>
          </w:p>
        </w:tc>
      </w:tr>
      <w:tr w:rsidR="00CB7752" w:rsidRPr="004D13FE" w14:paraId="0CEBB775" w14:textId="77777777" w:rsidTr="00394B06">
        <w:trPr>
          <w:trHeight w:val="320"/>
        </w:trPr>
        <w:tc>
          <w:tcPr>
            <w:tcW w:w="2796" w:type="dxa"/>
            <w:hideMark/>
          </w:tcPr>
          <w:p w14:paraId="4F0A1DA7" w14:textId="59682498" w:rsidR="00CB7752" w:rsidRPr="004D13FE" w:rsidRDefault="00CB7752" w:rsidP="00143B4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6</w:t>
            </w:r>
            <w:r w:rsidR="00143B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month</w:t>
            </w:r>
            <w:r w:rsidR="00143B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2146" w:type="dxa"/>
            <w:hideMark/>
          </w:tcPr>
          <w:p w14:paraId="52205C52" w14:textId="77777777" w:rsidR="00CB7752" w:rsidRPr="004D13FE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5.9 (5.9)</w:t>
            </w:r>
          </w:p>
        </w:tc>
        <w:tc>
          <w:tcPr>
            <w:tcW w:w="2147" w:type="dxa"/>
            <w:hideMark/>
          </w:tcPr>
          <w:p w14:paraId="3E8288A9" w14:textId="77777777" w:rsidR="00CB7752" w:rsidRPr="004D13FE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19.5 (21.7)</w:t>
            </w:r>
          </w:p>
        </w:tc>
        <w:tc>
          <w:tcPr>
            <w:tcW w:w="2084" w:type="dxa"/>
            <w:hideMark/>
          </w:tcPr>
          <w:p w14:paraId="30C19130" w14:textId="77777777" w:rsidR="00CB7752" w:rsidRPr="004D13FE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14.0 (18.3)</w:t>
            </w:r>
          </w:p>
        </w:tc>
      </w:tr>
      <w:tr w:rsidR="00CB7752" w:rsidRPr="004D13FE" w14:paraId="19C6D2C4" w14:textId="77777777" w:rsidTr="00394B06">
        <w:trPr>
          <w:trHeight w:val="320"/>
        </w:trPr>
        <w:tc>
          <w:tcPr>
            <w:tcW w:w="2796" w:type="dxa"/>
            <w:tcBorders>
              <w:bottom w:val="single" w:sz="4" w:space="0" w:color="auto"/>
            </w:tcBorders>
            <w:hideMark/>
          </w:tcPr>
          <w:p w14:paraId="49E9AEE3" w14:textId="0B50B537" w:rsidR="00CB7752" w:rsidRPr="004D13FE" w:rsidRDefault="00CB7752" w:rsidP="00143B4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12</w:t>
            </w:r>
            <w:r w:rsidR="00143B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month</w:t>
            </w:r>
            <w:r w:rsidR="00143B4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2146" w:type="dxa"/>
            <w:tcBorders>
              <w:bottom w:val="single" w:sz="4" w:space="0" w:color="auto"/>
            </w:tcBorders>
            <w:hideMark/>
          </w:tcPr>
          <w:p w14:paraId="24E71AD3" w14:textId="77777777" w:rsidR="00CB7752" w:rsidRPr="004D13FE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 (7.1)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hideMark/>
          </w:tcPr>
          <w:p w14:paraId="50FCDAC1" w14:textId="77777777" w:rsidR="00CB7752" w:rsidRPr="004D13FE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21.9 (12.6)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hideMark/>
          </w:tcPr>
          <w:p w14:paraId="0F61109B" w14:textId="77777777" w:rsidR="00CB7752" w:rsidRPr="004D13FE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3F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14.9 (13.7)</w:t>
            </w:r>
          </w:p>
        </w:tc>
      </w:tr>
    </w:tbl>
    <w:p w14:paraId="7B90757A" w14:textId="37E691B3" w:rsidR="00CB7752" w:rsidRPr="001A2268" w:rsidRDefault="00CB7752" w:rsidP="00CB7752">
      <w:pPr>
        <w:pStyle w:val="EndNoteBibliography"/>
        <w:spacing w:line="360" w:lineRule="auto"/>
        <w:contextualSpacing/>
        <w:rPr>
          <w:rFonts w:eastAsia="Times New Roman"/>
          <w:szCs w:val="20"/>
        </w:rPr>
      </w:pPr>
      <w:r w:rsidRPr="004D13FE">
        <w:rPr>
          <w:rFonts w:eastAsia="Times New Roman"/>
          <w:b/>
          <w:bCs/>
          <w:szCs w:val="20"/>
        </w:rPr>
        <w:t>Abbreviations:</w:t>
      </w:r>
      <w:r w:rsidRPr="001A2268">
        <w:rPr>
          <w:rFonts w:eastAsia="Times New Roman"/>
          <w:szCs w:val="20"/>
        </w:rPr>
        <w:t xml:space="preserve"> GRID-HAMD</w:t>
      </w:r>
      <w:r w:rsidRPr="001A2268">
        <w:rPr>
          <w:rFonts w:eastAsia="Times New Roman"/>
          <w:szCs w:val="20"/>
          <w:vertAlign w:val="subscript"/>
        </w:rPr>
        <w:t>17</w:t>
      </w:r>
      <w:r w:rsidR="00BA1C0C">
        <w:rPr>
          <w:rFonts w:eastAsia="Times New Roman"/>
          <w:szCs w:val="20"/>
          <w:vertAlign w:val="subscript"/>
        </w:rPr>
        <w:t>,</w:t>
      </w:r>
      <w:r w:rsidRPr="001A2268">
        <w:rPr>
          <w:rFonts w:eastAsia="Times New Roman"/>
          <w:szCs w:val="20"/>
        </w:rPr>
        <w:t xml:space="preserve"> 17-item GRID-Hamilton Depression Rating Scale; BDI-II</w:t>
      </w:r>
      <w:r w:rsidR="005661C6">
        <w:rPr>
          <w:rFonts w:eastAsia="Times New Roman"/>
          <w:szCs w:val="20"/>
        </w:rPr>
        <w:t>,</w:t>
      </w:r>
      <w:r w:rsidRPr="001A2268">
        <w:rPr>
          <w:rFonts w:eastAsia="Times New Roman"/>
          <w:szCs w:val="20"/>
        </w:rPr>
        <w:t xml:space="preserve"> Beck Depression Inventory-Second Edition</w:t>
      </w:r>
    </w:p>
    <w:p w14:paraId="6FF7C613" w14:textId="77777777" w:rsidR="00CB7752" w:rsidRPr="001A2268" w:rsidRDefault="00CB7752" w:rsidP="00CB7752">
      <w:pPr>
        <w:pStyle w:val="EndNoteBibliography"/>
        <w:spacing w:after="0" w:line="360" w:lineRule="auto"/>
        <w:contextualSpacing/>
        <w:rPr>
          <w:rFonts w:eastAsia="Times New Roman"/>
          <w:szCs w:val="20"/>
        </w:rPr>
      </w:pPr>
      <w:r w:rsidRPr="004D13FE">
        <w:rPr>
          <w:rFonts w:eastAsia="Times New Roman"/>
          <w:b/>
          <w:bCs/>
          <w:szCs w:val="20"/>
        </w:rPr>
        <w:t>Notes:</w:t>
      </w:r>
      <w:r w:rsidRPr="001A2268">
        <w:rPr>
          <w:rFonts w:eastAsia="Times New Roman"/>
          <w:szCs w:val="20"/>
        </w:rPr>
        <w:t xml:space="preserve"> Mean (SD)</w:t>
      </w:r>
      <w:r>
        <w:rPr>
          <w:rFonts w:ascii="MS Mincho" w:eastAsia="MS Mincho" w:hAnsi="MS Mincho" w:cs="MS Mincho"/>
          <w:szCs w:val="20"/>
        </w:rPr>
        <w:t xml:space="preserve">. </w:t>
      </w:r>
      <w:r w:rsidRPr="001A2268">
        <w:rPr>
          <w:rFonts w:eastAsia="Times New Roman" w:hint="eastAsia"/>
          <w:szCs w:val="20"/>
        </w:rPr>
        <w:t>S</w:t>
      </w:r>
      <w:r w:rsidRPr="001A2268">
        <w:rPr>
          <w:rFonts w:eastAsia="Times New Roman"/>
          <w:szCs w:val="20"/>
        </w:rPr>
        <w:t xml:space="preserve">ustained remission indicates remission at both 6- and 12-month assessments. </w:t>
      </w:r>
    </w:p>
    <w:p w14:paraId="0F76B161" w14:textId="77777777" w:rsidR="00CB7752" w:rsidRPr="001A2268" w:rsidRDefault="00CB7752" w:rsidP="00CB7752">
      <w:pPr>
        <w:rPr>
          <w:rFonts w:ascii="Arial" w:hAnsi="Arial" w:cs="Arial"/>
        </w:rPr>
      </w:pPr>
    </w:p>
    <w:p w14:paraId="230A81D5" w14:textId="577F8E0F" w:rsidR="00CB7752" w:rsidRDefault="00CB7752">
      <w:r>
        <w:br w:type="page"/>
      </w:r>
    </w:p>
    <w:p w14:paraId="562B3883" w14:textId="1C543597" w:rsidR="00CB7752" w:rsidRPr="00CC64B7" w:rsidRDefault="00CB7752" w:rsidP="00E7399A">
      <w:pPr>
        <w:rPr>
          <w:rFonts w:ascii="Arial" w:hAnsi="Arial" w:cs="Arial"/>
          <w:sz w:val="20"/>
          <w:szCs w:val="20"/>
        </w:rPr>
      </w:pPr>
      <w:r w:rsidRPr="007F62DA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</w:t>
      </w:r>
      <w:r w:rsidR="00E7399A">
        <w:rPr>
          <w:rFonts w:ascii="Arial" w:hAnsi="Arial" w:cs="Arial"/>
          <w:b/>
          <w:bCs/>
          <w:sz w:val="20"/>
          <w:szCs w:val="20"/>
        </w:rPr>
        <w:t>F</w:t>
      </w:r>
      <w:r w:rsidRPr="007F62DA">
        <w:rPr>
          <w:rFonts w:ascii="Arial" w:hAnsi="Arial" w:cs="Arial"/>
          <w:b/>
          <w:bCs/>
          <w:sz w:val="20"/>
          <w:szCs w:val="20"/>
        </w:rPr>
        <w:t>igure 1</w:t>
      </w:r>
      <w:r>
        <w:rPr>
          <w:rFonts w:ascii="Arial" w:hAnsi="Arial" w:cs="Arial"/>
          <w:sz w:val="20"/>
          <w:szCs w:val="20"/>
        </w:rPr>
        <w:t xml:space="preserve"> Change </w:t>
      </w:r>
      <w:r w:rsidR="00BA1C0C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depression severity based on the mean score of CGI-S over 12 months</w:t>
      </w:r>
    </w:p>
    <w:p w14:paraId="5323E0FD" w14:textId="77777777" w:rsidR="00CB7752" w:rsidRPr="00175463" w:rsidRDefault="00CB7752" w:rsidP="00CB7752">
      <w:pPr>
        <w:rPr>
          <w:rFonts w:ascii="Arial" w:hAnsi="Arial" w:cs="Arial"/>
          <w:sz w:val="20"/>
          <w:szCs w:val="20"/>
        </w:rPr>
      </w:pPr>
      <w:r w:rsidRPr="00175463">
        <w:rPr>
          <w:rFonts w:ascii="Arial" w:hAnsi="Arial" w:cs="Arial"/>
          <w:noProof/>
          <w:sz w:val="20"/>
          <w:szCs w:val="20"/>
          <w:lang w:eastAsia="zh-TW"/>
        </w:rPr>
        <w:drawing>
          <wp:inline distT="0" distB="0" distL="0" distR="0" wp14:anchorId="0F1D735E" wp14:editId="77DFA7C6">
            <wp:extent cx="5649951" cy="2996565"/>
            <wp:effectExtent l="0" t="0" r="14605" b="1333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EA30A26-9784-189E-5898-FAFBB0E63A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27B3D3A" w14:textId="77777777" w:rsidR="00CB7752" w:rsidRDefault="00CB7752" w:rsidP="00CB7752">
      <w:pPr>
        <w:pStyle w:val="EndNoteBibliography"/>
        <w:spacing w:line="360" w:lineRule="auto"/>
        <w:contextualSpacing/>
        <w:rPr>
          <w:rFonts w:eastAsia="MS Mincho"/>
          <w:szCs w:val="20"/>
          <w:lang w:val="en-US"/>
        </w:rPr>
      </w:pPr>
      <w:r w:rsidRPr="00CC64B7">
        <w:rPr>
          <w:rFonts w:eastAsia="Times New Roman"/>
          <w:b/>
          <w:bCs/>
          <w:szCs w:val="20"/>
        </w:rPr>
        <w:t>Abbreviations:</w:t>
      </w:r>
      <w:r w:rsidRPr="00175463">
        <w:rPr>
          <w:rFonts w:eastAsia="Times New Roman"/>
          <w:szCs w:val="20"/>
        </w:rPr>
        <w:t xml:space="preserve"> </w:t>
      </w:r>
      <w:r w:rsidRPr="004F6D52">
        <w:rPr>
          <w:rFonts w:eastAsia="Times New Roman"/>
          <w:szCs w:val="20"/>
        </w:rPr>
        <w:t>SR, sustained remission</w:t>
      </w:r>
      <w:r>
        <w:rPr>
          <w:rFonts w:eastAsia="Times New Roman"/>
          <w:szCs w:val="20"/>
        </w:rPr>
        <w:t>; CGI, Clinical Grobal Impressions.</w:t>
      </w:r>
    </w:p>
    <w:p w14:paraId="6CE8A273" w14:textId="715FCE5E" w:rsidR="00CB7752" w:rsidRDefault="00CB7752" w:rsidP="00CB7752">
      <w:pPr>
        <w:pStyle w:val="EndNoteBibliography"/>
        <w:spacing w:line="360" w:lineRule="auto"/>
        <w:contextualSpacing/>
        <w:rPr>
          <w:rFonts w:eastAsia="Times New Roman"/>
          <w:szCs w:val="20"/>
        </w:rPr>
      </w:pPr>
      <w:r w:rsidRPr="00CC64B7">
        <w:rPr>
          <w:rFonts w:eastAsia="Times New Roman"/>
          <w:b/>
          <w:bCs/>
          <w:szCs w:val="20"/>
        </w:rPr>
        <w:t>Notes:</w:t>
      </w:r>
      <w:r w:rsidRPr="00175463">
        <w:rPr>
          <w:rFonts w:eastAsia="Times New Roman"/>
          <w:szCs w:val="20"/>
        </w:rPr>
        <w:t xml:space="preserve"> Sustained remission indicates remission at both 6- and 12-month assessments. </w:t>
      </w:r>
      <w:r w:rsidR="00AB56A3">
        <w:rPr>
          <w:rFonts w:eastAsia="Times New Roman"/>
          <w:szCs w:val="20"/>
        </w:rPr>
        <w:t>Error bars indicate SDs.</w:t>
      </w:r>
    </w:p>
    <w:p w14:paraId="3FF6EEF8" w14:textId="77777777" w:rsidR="00CB7752" w:rsidRDefault="00CB7752">
      <w:pPr>
        <w:rPr>
          <w:rFonts w:ascii="Arial" w:eastAsia="Times New Roman" w:hAnsi="Arial" w:cs="Arial"/>
          <w:sz w:val="20"/>
          <w:szCs w:val="20"/>
          <w:lang w:val=""/>
        </w:rPr>
      </w:pPr>
      <w:r>
        <w:rPr>
          <w:rFonts w:eastAsia="Times New Roman"/>
          <w:szCs w:val="20"/>
        </w:rPr>
        <w:br w:type="page"/>
      </w:r>
    </w:p>
    <w:p w14:paraId="41D072A9" w14:textId="6598A5AA" w:rsidR="00CB7752" w:rsidRPr="00DD3D05" w:rsidRDefault="00CB7752" w:rsidP="00671E26">
      <w:pPr>
        <w:rPr>
          <w:rFonts w:ascii="Arial" w:hAnsi="Arial" w:cs="Arial"/>
          <w:sz w:val="20"/>
          <w:szCs w:val="20"/>
        </w:rPr>
      </w:pPr>
      <w:r w:rsidRPr="00DD3D05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</w:t>
      </w:r>
      <w:r w:rsidR="00671E26">
        <w:rPr>
          <w:rFonts w:ascii="Arial" w:hAnsi="Arial" w:cs="Arial"/>
          <w:b/>
          <w:bCs/>
          <w:sz w:val="20"/>
          <w:szCs w:val="20"/>
        </w:rPr>
        <w:t>T</w:t>
      </w:r>
      <w:r w:rsidRPr="00DD3D05">
        <w:rPr>
          <w:rFonts w:ascii="Arial" w:hAnsi="Arial" w:cs="Arial"/>
          <w:b/>
          <w:bCs/>
          <w:sz w:val="20"/>
          <w:szCs w:val="20"/>
        </w:rPr>
        <w:t xml:space="preserve">able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DD3D05">
        <w:rPr>
          <w:rFonts w:ascii="Arial" w:hAnsi="Arial" w:cs="Arial"/>
          <w:sz w:val="20"/>
          <w:szCs w:val="20"/>
        </w:rPr>
        <w:t xml:space="preserve"> Correlations between T&amp;P constructs and depression severity over time</w:t>
      </w:r>
    </w:p>
    <w:tbl>
      <w:tblPr>
        <w:tblW w:w="8203" w:type="dxa"/>
        <w:tblLook w:val="04A0" w:firstRow="1" w:lastRow="0" w:firstColumn="1" w:lastColumn="0" w:noHBand="0" w:noVBand="1"/>
      </w:tblPr>
      <w:tblGrid>
        <w:gridCol w:w="2802"/>
        <w:gridCol w:w="2585"/>
        <w:gridCol w:w="2816"/>
      </w:tblGrid>
      <w:tr w:rsidR="00CB7752" w:rsidRPr="00DD3D05" w14:paraId="0AE62D87" w14:textId="77777777" w:rsidTr="002A7BB9">
        <w:trPr>
          <w:trHeight w:val="300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BA252" w14:textId="77777777" w:rsidR="00CB7752" w:rsidRPr="00DD3D05" w:rsidRDefault="00CB7752" w:rsidP="00394B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F1754" w14:textId="77777777" w:rsidR="00CB7752" w:rsidRPr="00DD3D05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3D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T&amp;P rejection sensitivity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ECEF4" w14:textId="77777777" w:rsidR="00CB7752" w:rsidRPr="00DD3D05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3D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T&amp;P personal reserve</w:t>
            </w:r>
          </w:p>
        </w:tc>
      </w:tr>
      <w:tr w:rsidR="00CB7752" w:rsidRPr="00DD3D05" w14:paraId="722B97C2" w14:textId="77777777" w:rsidTr="002A7BB9">
        <w:trPr>
          <w:trHeight w:val="442"/>
        </w:trPr>
        <w:tc>
          <w:tcPr>
            <w:tcW w:w="28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4113" w14:textId="77777777" w:rsidR="00CB7752" w:rsidRPr="00DD3D05" w:rsidRDefault="00CB7752" w:rsidP="00394B0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3D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GRID-HAMD</w:t>
            </w:r>
            <w:r w:rsidRPr="00DD3D0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 xml:space="preserve">17 </w:t>
            </w:r>
            <w:r w:rsidRPr="00DD3D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 baseline</w:t>
            </w:r>
          </w:p>
        </w:tc>
        <w:tc>
          <w:tcPr>
            <w:tcW w:w="25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561C" w14:textId="77777777" w:rsidR="00CB7752" w:rsidRPr="00DD3D05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3D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0.37*</w:t>
            </w:r>
          </w:p>
        </w:tc>
        <w:tc>
          <w:tcPr>
            <w:tcW w:w="28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52B5" w14:textId="77777777" w:rsidR="00CB7752" w:rsidRPr="00DD3D05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3D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Pr="00DD3D05">
              <w:rPr>
                <w:rFonts w:ascii="Arial" w:eastAsia="MS Mincho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CB7752" w:rsidRPr="00DD3D05" w14:paraId="397B68D2" w14:textId="77777777" w:rsidTr="002A7BB9">
        <w:trPr>
          <w:trHeight w:val="442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DB8D" w14:textId="2C18535C" w:rsidR="00CB7752" w:rsidRPr="00DD3D05" w:rsidRDefault="00CB7752" w:rsidP="004559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3D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GRID-HAMD</w:t>
            </w:r>
            <w:r w:rsidRPr="00DD3D0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17</w:t>
            </w:r>
            <w:r w:rsidRPr="00DD3D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at 6</w:t>
            </w:r>
            <w:r w:rsidR="004559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D3D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month</w:t>
            </w:r>
            <w:r w:rsidR="004559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5D41" w14:textId="77777777" w:rsidR="00CB7752" w:rsidRPr="00DD3D05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3D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0.40*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66D3" w14:textId="77777777" w:rsidR="00CB7752" w:rsidRPr="00DD3D05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3D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0.40*</w:t>
            </w:r>
          </w:p>
        </w:tc>
      </w:tr>
      <w:tr w:rsidR="00CB7752" w:rsidRPr="00DD3D05" w14:paraId="5F3CA771" w14:textId="77777777" w:rsidTr="002A7BB9">
        <w:trPr>
          <w:trHeight w:val="442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7114A8" w14:textId="3C42B9C7" w:rsidR="00CB7752" w:rsidRPr="00DD3D05" w:rsidRDefault="00CB7752" w:rsidP="0045594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3D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GRID-HAMD</w:t>
            </w:r>
            <w:r w:rsidRPr="00DD3D0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 xml:space="preserve">17 </w:t>
            </w:r>
            <w:r w:rsidRPr="00DD3D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 12</w:t>
            </w:r>
            <w:r w:rsidR="004559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DD3D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month</w:t>
            </w:r>
            <w:r w:rsidR="004559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325F19" w14:textId="1B292AA4" w:rsidR="00CB7752" w:rsidRPr="00DD3D05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3D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</w:t>
            </w:r>
            <w:r w:rsidR="007B7CD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DD3D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773BC5" w14:textId="77777777" w:rsidR="00CB7752" w:rsidRPr="00DD3D05" w:rsidRDefault="00CB7752" w:rsidP="00394B0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3D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0.30*</w:t>
            </w:r>
          </w:p>
        </w:tc>
      </w:tr>
    </w:tbl>
    <w:p w14:paraId="34F080B4" w14:textId="77777777" w:rsidR="00CB7752" w:rsidRPr="00DD3D05" w:rsidRDefault="00CB7752" w:rsidP="00CB7752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DD3D05">
        <w:rPr>
          <w:rFonts w:ascii="Arial" w:hAnsi="Arial" w:cs="Arial"/>
          <w:sz w:val="20"/>
          <w:szCs w:val="20"/>
        </w:rPr>
        <w:t xml:space="preserve"> </w:t>
      </w:r>
      <w:r w:rsidRPr="00DD3D05">
        <w:rPr>
          <w:rFonts w:ascii="Arial" w:eastAsia="Times New Roman" w:hAnsi="Arial" w:cs="Arial"/>
          <w:sz w:val="20"/>
          <w:szCs w:val="20"/>
        </w:rPr>
        <w:t>*p</w:t>
      </w:r>
      <w:r w:rsidRPr="00DD3D05">
        <w:rPr>
          <w:rFonts w:ascii="Arial" w:eastAsia="MS Mincho" w:hAnsi="Arial" w:cs="Arial"/>
          <w:sz w:val="20"/>
          <w:szCs w:val="20"/>
        </w:rPr>
        <w:t xml:space="preserve"> </w:t>
      </w:r>
      <w:r w:rsidRPr="00DD3D05">
        <w:rPr>
          <w:rFonts w:ascii="Arial" w:eastAsia="Times New Roman" w:hAnsi="Arial" w:cs="Arial"/>
          <w:sz w:val="20"/>
          <w:szCs w:val="20"/>
        </w:rPr>
        <w:t>&lt; 0.05</w:t>
      </w:r>
    </w:p>
    <w:p w14:paraId="09864D64" w14:textId="2748AE1C" w:rsidR="00CB7752" w:rsidRPr="00DD3D05" w:rsidRDefault="00CB7752" w:rsidP="00CB7752">
      <w:pPr>
        <w:pStyle w:val="EndNoteBibliography"/>
        <w:spacing w:line="360" w:lineRule="auto"/>
        <w:contextualSpacing/>
        <w:rPr>
          <w:rFonts w:eastAsia="Times New Roman"/>
          <w:szCs w:val="20"/>
        </w:rPr>
      </w:pPr>
      <w:r w:rsidRPr="00DD3D05">
        <w:rPr>
          <w:rFonts w:eastAsia="Times New Roman"/>
          <w:b/>
          <w:bCs/>
          <w:szCs w:val="20"/>
        </w:rPr>
        <w:t>Abbreviations:</w:t>
      </w:r>
      <w:r w:rsidRPr="00DD3D05">
        <w:rPr>
          <w:rFonts w:eastAsia="Times New Roman"/>
          <w:szCs w:val="20"/>
        </w:rPr>
        <w:t xml:space="preserve"> GRID-HAMD</w:t>
      </w:r>
      <w:r w:rsidRPr="00DD3D05">
        <w:rPr>
          <w:rFonts w:eastAsia="Times New Roman"/>
          <w:szCs w:val="20"/>
          <w:vertAlign w:val="subscript"/>
        </w:rPr>
        <w:t>17</w:t>
      </w:r>
      <w:r w:rsidR="00951D31">
        <w:rPr>
          <w:rFonts w:eastAsia="Times New Roman"/>
          <w:szCs w:val="20"/>
          <w:vertAlign w:val="subscript"/>
        </w:rPr>
        <w:t>,</w:t>
      </w:r>
      <w:r w:rsidRPr="00DD3D05">
        <w:rPr>
          <w:rFonts w:eastAsia="Times New Roman"/>
          <w:szCs w:val="20"/>
        </w:rPr>
        <w:t xml:space="preserve"> 17-item GRID-Hamilton Depression Rating Scale; T&amp;P, </w:t>
      </w:r>
      <w:r w:rsidRPr="00DD3D05">
        <w:rPr>
          <w:szCs w:val="20"/>
          <w:lang w:val="en-US"/>
        </w:rPr>
        <w:t>Temperament and Personality Questionnaire</w:t>
      </w:r>
      <w:r w:rsidRPr="00DD3D05">
        <w:rPr>
          <w:rFonts w:eastAsia="Times New Roman"/>
          <w:szCs w:val="20"/>
        </w:rPr>
        <w:t xml:space="preserve"> </w:t>
      </w:r>
    </w:p>
    <w:p w14:paraId="4374203C" w14:textId="03DE097C" w:rsidR="00CB7752" w:rsidRPr="00CC64B7" w:rsidRDefault="00CB7752" w:rsidP="00CB7752">
      <w:pPr>
        <w:pStyle w:val="EndNoteBibliography"/>
        <w:spacing w:line="360" w:lineRule="auto"/>
        <w:contextualSpacing/>
        <w:rPr>
          <w:rFonts w:eastAsia="MS Mincho"/>
          <w:szCs w:val="20"/>
          <w:lang w:val="en-US"/>
        </w:rPr>
      </w:pPr>
      <w:r w:rsidRPr="00DD3D05">
        <w:rPr>
          <w:rFonts w:eastAsia="Times New Roman"/>
          <w:b/>
          <w:bCs/>
          <w:szCs w:val="20"/>
        </w:rPr>
        <w:t>Notes</w:t>
      </w:r>
      <w:r w:rsidRPr="00F07DCA">
        <w:rPr>
          <w:rFonts w:eastAsia="Times New Roman"/>
          <w:b/>
          <w:bCs/>
          <w:szCs w:val="20"/>
        </w:rPr>
        <w:t>:</w:t>
      </w:r>
      <w:r w:rsidRPr="00F07DCA">
        <w:rPr>
          <w:rFonts w:eastAsia="Times New Roman"/>
          <w:szCs w:val="20"/>
        </w:rPr>
        <w:t xml:space="preserve"> </w:t>
      </w:r>
      <w:r w:rsidR="00F07DCA" w:rsidRPr="00F07DCA">
        <w:rPr>
          <w:rFonts w:eastAsiaTheme="minorEastAsia"/>
          <w:color w:val="141413"/>
          <w:szCs w:val="20"/>
          <w:lang w:val="en-US"/>
        </w:rPr>
        <w:t>W</w:t>
      </w:r>
      <w:r w:rsidR="00F07DCA" w:rsidRPr="00F07DCA">
        <w:rPr>
          <w:rFonts w:eastAsiaTheme="minorEastAsia"/>
          <w:color w:val="141413"/>
          <w:szCs w:val="20"/>
          <w:lang w:val="en-US"/>
        </w:rPr>
        <w:t xml:space="preserve">eak-to-moderate correlations </w:t>
      </w:r>
      <w:r w:rsidR="00F07DCA" w:rsidRPr="00F07DCA">
        <w:rPr>
          <w:rFonts w:eastAsiaTheme="minorEastAsia"/>
          <w:color w:val="141413"/>
          <w:szCs w:val="20"/>
          <w:lang w:val="en-US"/>
        </w:rPr>
        <w:t xml:space="preserve">were found </w:t>
      </w:r>
      <w:r w:rsidR="00F07DCA" w:rsidRPr="00F07DCA">
        <w:rPr>
          <w:rFonts w:eastAsiaTheme="minorEastAsia"/>
          <w:color w:val="141413"/>
          <w:szCs w:val="20"/>
          <w:lang w:val="en-US"/>
        </w:rPr>
        <w:t>between T&amp;P rejection sensitivity and GRID-HAMD</w:t>
      </w:r>
      <w:r w:rsidR="00F07DCA" w:rsidRPr="00F07DCA">
        <w:rPr>
          <w:rFonts w:eastAsiaTheme="minorEastAsia"/>
          <w:color w:val="141413"/>
          <w:szCs w:val="20"/>
          <w:vertAlign w:val="subscript"/>
          <w:lang w:val="en-US"/>
        </w:rPr>
        <w:t>17</w:t>
      </w:r>
      <w:r w:rsidR="00F07DCA" w:rsidRPr="00F07DCA">
        <w:rPr>
          <w:rFonts w:eastAsiaTheme="minorEastAsia"/>
          <w:color w:val="141413"/>
          <w:position w:val="-6"/>
          <w:szCs w:val="20"/>
          <w:lang w:val="en-US"/>
        </w:rPr>
        <w:t xml:space="preserve"> </w:t>
      </w:r>
      <w:r w:rsidR="00F07DCA" w:rsidRPr="00F07DCA">
        <w:rPr>
          <w:rFonts w:eastAsiaTheme="minorEastAsia"/>
          <w:color w:val="141413"/>
          <w:szCs w:val="20"/>
          <w:lang w:val="en-US"/>
        </w:rPr>
        <w:t>scores at each time point. T&amp;P personal reserve correlated with GRID-HAMD</w:t>
      </w:r>
      <w:r w:rsidR="00F07DCA" w:rsidRPr="00F07DCA">
        <w:rPr>
          <w:rFonts w:eastAsiaTheme="minorEastAsia"/>
          <w:color w:val="141413"/>
          <w:szCs w:val="20"/>
          <w:vertAlign w:val="subscript"/>
          <w:lang w:val="en-US"/>
        </w:rPr>
        <w:t>17</w:t>
      </w:r>
      <w:r w:rsidR="00F07DCA" w:rsidRPr="00F07DCA">
        <w:rPr>
          <w:rFonts w:eastAsiaTheme="minorEastAsia"/>
          <w:color w:val="141413"/>
          <w:szCs w:val="20"/>
          <w:lang w:val="en-US"/>
        </w:rPr>
        <w:t xml:space="preserve"> at 6 and 12 months, however, this correlation was not found at baseline.</w:t>
      </w:r>
    </w:p>
    <w:p w14:paraId="33AD0173" w14:textId="77777777" w:rsidR="00CB7752" w:rsidRPr="00175463" w:rsidRDefault="00CB7752" w:rsidP="00CB7752">
      <w:pPr>
        <w:spacing w:line="360" w:lineRule="auto"/>
        <w:rPr>
          <w:rFonts w:ascii="Arial" w:eastAsia="Times New Roman" w:hAnsi="Arial" w:cs="Arial"/>
          <w:sz w:val="20"/>
          <w:szCs w:val="20"/>
        </w:rPr>
      </w:pPr>
    </w:p>
    <w:p w14:paraId="5379BBA7" w14:textId="77777777" w:rsidR="003019A1" w:rsidRPr="00CB7752" w:rsidRDefault="00000000" w:rsidP="00CB7752">
      <w:pPr>
        <w:rPr>
          <w:rFonts w:hint="eastAsia"/>
        </w:rPr>
      </w:pPr>
    </w:p>
    <w:sectPr w:rsidR="003019A1" w:rsidRPr="00CB7752" w:rsidSect="006B398F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52"/>
    <w:rsid w:val="0007576A"/>
    <w:rsid w:val="00080426"/>
    <w:rsid w:val="00143B4B"/>
    <w:rsid w:val="00150F41"/>
    <w:rsid w:val="00156FEC"/>
    <w:rsid w:val="0027633B"/>
    <w:rsid w:val="00286FFF"/>
    <w:rsid w:val="002A7BB9"/>
    <w:rsid w:val="002B33A3"/>
    <w:rsid w:val="0031276C"/>
    <w:rsid w:val="003219CE"/>
    <w:rsid w:val="00331456"/>
    <w:rsid w:val="003766CB"/>
    <w:rsid w:val="003B1173"/>
    <w:rsid w:val="00455946"/>
    <w:rsid w:val="00491053"/>
    <w:rsid w:val="005448D2"/>
    <w:rsid w:val="005661C6"/>
    <w:rsid w:val="005815C3"/>
    <w:rsid w:val="005D3250"/>
    <w:rsid w:val="00626502"/>
    <w:rsid w:val="0062669A"/>
    <w:rsid w:val="00671E26"/>
    <w:rsid w:val="00682C0C"/>
    <w:rsid w:val="006B398F"/>
    <w:rsid w:val="00746B15"/>
    <w:rsid w:val="0078238D"/>
    <w:rsid w:val="007B11DF"/>
    <w:rsid w:val="007B7CD4"/>
    <w:rsid w:val="00837A5E"/>
    <w:rsid w:val="008514CA"/>
    <w:rsid w:val="008E7204"/>
    <w:rsid w:val="00951D31"/>
    <w:rsid w:val="00A479D1"/>
    <w:rsid w:val="00AB56A3"/>
    <w:rsid w:val="00B4441C"/>
    <w:rsid w:val="00B5202C"/>
    <w:rsid w:val="00B55889"/>
    <w:rsid w:val="00B76876"/>
    <w:rsid w:val="00BA1C0C"/>
    <w:rsid w:val="00CB7752"/>
    <w:rsid w:val="00CF5A1C"/>
    <w:rsid w:val="00D03AD4"/>
    <w:rsid w:val="00D44517"/>
    <w:rsid w:val="00D76CDA"/>
    <w:rsid w:val="00DA203B"/>
    <w:rsid w:val="00E10EA2"/>
    <w:rsid w:val="00E7399A"/>
    <w:rsid w:val="00F07DCA"/>
    <w:rsid w:val="00FD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5528"/>
  <w15:docId w15:val="{2D28E7A3-48C9-3743-A4E7-CA9933E5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rsid w:val="00CB7752"/>
    <w:pPr>
      <w:spacing w:after="160"/>
    </w:pPr>
    <w:rPr>
      <w:rFonts w:ascii="Arial" w:eastAsia="Arial" w:hAnsi="Arial" w:cs="Arial"/>
      <w:sz w:val="20"/>
      <w:lang w:val=""/>
    </w:rPr>
  </w:style>
  <w:style w:type="table" w:customStyle="1" w:styleId="TableGridLight1">
    <w:name w:val="Table Grid Light1"/>
    <w:basedOn w:val="TableNormal"/>
    <w:uiPriority w:val="40"/>
    <w:rsid w:val="00CB775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1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0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E7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\waka\Dropbox\&#9733;&#22823;&#23398;&#38498;\T&amp;P\T&amp;P&#35542;&#25991;\T&amp;P&#35542;&#25991;&#29992;77&#20363;060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CGI!$A$33</c:f>
              <c:strCache>
                <c:ptCount val="1"/>
                <c:pt idx="0">
                  <c:v>Sustained remission</c:v>
                </c:pt>
              </c:strCache>
            </c:strRef>
          </c:tx>
          <c:spPr>
            <a:ln w="22225" cap="rnd">
              <a:solidFill>
                <a:schemeClr val="tx1">
                  <a:lumMod val="65000"/>
                  <a:lumOff val="3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>
                  <a:shade val="76000"/>
                </a:schemeClr>
              </a:solidFill>
              <a:ln w="9525">
                <a:solidFill>
                  <a:schemeClr val="accent3">
                    <a:shade val="76000"/>
                  </a:schemeClr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CGI!$B$34:$M$34</c:f>
                <c:numCache>
                  <c:formatCode>General</c:formatCode>
                  <c:ptCount val="12"/>
                  <c:pt idx="0">
                    <c:v>1.059126139314968</c:v>
                  </c:pt>
                  <c:pt idx="1">
                    <c:v>1.1052801096136655</c:v>
                  </c:pt>
                  <c:pt idx="2">
                    <c:v>1.0422899626711943</c:v>
                  </c:pt>
                  <c:pt idx="3">
                    <c:v>1.0834100402417204</c:v>
                  </c:pt>
                  <c:pt idx="4">
                    <c:v>1.0620695247196341</c:v>
                  </c:pt>
                  <c:pt idx="5">
                    <c:v>0.92260320297258658</c:v>
                  </c:pt>
                  <c:pt idx="6">
                    <c:v>0.95510325212629354</c:v>
                  </c:pt>
                  <c:pt idx="7">
                    <c:v>0.82259751195020436</c:v>
                  </c:pt>
                  <c:pt idx="8">
                    <c:v>0.76303487615063981</c:v>
                  </c:pt>
                  <c:pt idx="9">
                    <c:v>0.61101009266077866</c:v>
                  </c:pt>
                  <c:pt idx="10">
                    <c:v>0.53748384988656994</c:v>
                  </c:pt>
                  <c:pt idx="11">
                    <c:v>0.42295258468165065</c:v>
                  </c:pt>
                </c:numCache>
              </c:numRef>
            </c:plus>
            <c:minus>
              <c:numRef>
                <c:f>CGI!$B$34:$M$34</c:f>
                <c:numCache>
                  <c:formatCode>General</c:formatCode>
                  <c:ptCount val="12"/>
                  <c:pt idx="0">
                    <c:v>1.059126139314968</c:v>
                  </c:pt>
                  <c:pt idx="1">
                    <c:v>1.1052801096136655</c:v>
                  </c:pt>
                  <c:pt idx="2">
                    <c:v>1.0422899626711943</c:v>
                  </c:pt>
                  <c:pt idx="3">
                    <c:v>1.0834100402417204</c:v>
                  </c:pt>
                  <c:pt idx="4">
                    <c:v>1.0620695247196341</c:v>
                  </c:pt>
                  <c:pt idx="5">
                    <c:v>0.92260320297258658</c:v>
                  </c:pt>
                  <c:pt idx="6">
                    <c:v>0.95510325212629354</c:v>
                  </c:pt>
                  <c:pt idx="7">
                    <c:v>0.82259751195020436</c:v>
                  </c:pt>
                  <c:pt idx="8">
                    <c:v>0.76303487615063981</c:v>
                  </c:pt>
                  <c:pt idx="9">
                    <c:v>0.61101009266077866</c:v>
                  </c:pt>
                  <c:pt idx="10">
                    <c:v>0.53748384988656994</c:v>
                  </c:pt>
                  <c:pt idx="11">
                    <c:v>0.42295258468165065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CGI!$B$1:$M$1</c:f>
              <c:strCache>
                <c:ptCount val="12"/>
                <c:pt idx="0">
                  <c:v>1-month</c:v>
                </c:pt>
                <c:pt idx="1">
                  <c:v>2-month</c:v>
                </c:pt>
                <c:pt idx="2">
                  <c:v>3-month</c:v>
                </c:pt>
                <c:pt idx="3">
                  <c:v>4-month</c:v>
                </c:pt>
                <c:pt idx="4">
                  <c:v>5-month</c:v>
                </c:pt>
                <c:pt idx="5">
                  <c:v>6-month</c:v>
                </c:pt>
                <c:pt idx="6">
                  <c:v>7-month</c:v>
                </c:pt>
                <c:pt idx="7">
                  <c:v>8-month</c:v>
                </c:pt>
                <c:pt idx="8">
                  <c:v>9-month</c:v>
                </c:pt>
                <c:pt idx="9">
                  <c:v>10-month</c:v>
                </c:pt>
                <c:pt idx="10">
                  <c:v>11-month</c:v>
                </c:pt>
                <c:pt idx="11">
                  <c:v>12-month</c:v>
                </c:pt>
              </c:strCache>
            </c:strRef>
          </c:cat>
          <c:val>
            <c:numRef>
              <c:f>CGI!$B$33:$M$33</c:f>
              <c:numCache>
                <c:formatCode>General</c:formatCode>
                <c:ptCount val="12"/>
                <c:pt idx="0">
                  <c:v>3.3225806451612905</c:v>
                </c:pt>
                <c:pt idx="1">
                  <c:v>3.064516129032258</c:v>
                </c:pt>
                <c:pt idx="2">
                  <c:v>2.5483870967741935</c:v>
                </c:pt>
                <c:pt idx="3">
                  <c:v>2.2903225806451615</c:v>
                </c:pt>
                <c:pt idx="4">
                  <c:v>2.032258064516129</c:v>
                </c:pt>
                <c:pt idx="5">
                  <c:v>1.7096774193548387</c:v>
                </c:pt>
                <c:pt idx="6">
                  <c:v>1.7096774193548387</c:v>
                </c:pt>
                <c:pt idx="7">
                  <c:v>1.6451612903225807</c:v>
                </c:pt>
                <c:pt idx="8">
                  <c:v>1.4838709677419355</c:v>
                </c:pt>
                <c:pt idx="9">
                  <c:v>1.3548387096774193</c:v>
                </c:pt>
                <c:pt idx="10">
                  <c:v>1.2903225806451613</c:v>
                </c:pt>
                <c:pt idx="11">
                  <c:v>1.1935483870967742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B4A-4B46-9B2C-93D7DAD20BB5}"/>
            </c:ext>
          </c:extLst>
        </c:ser>
        <c:ser>
          <c:idx val="1"/>
          <c:order val="1"/>
          <c:tx>
            <c:strRef>
              <c:f>CGI!$A$35</c:f>
              <c:strCache>
                <c:ptCount val="1"/>
                <c:pt idx="0">
                  <c:v>Non-sustained remission</c:v>
                </c:pt>
              </c:strCache>
            </c:strRef>
          </c:tx>
          <c:spPr>
            <a:ln w="22225" cap="rnd">
              <a:solidFill>
                <a:schemeClr val="accent3">
                  <a:tint val="77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>
                  <a:tint val="77000"/>
                </a:schemeClr>
              </a:solidFill>
              <a:ln w="9525">
                <a:solidFill>
                  <a:schemeClr val="accent3">
                    <a:tint val="77000"/>
                  </a:schemeClr>
                </a:solidFill>
                <a:bevel/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CGI!$B$36:$M$36</c:f>
                <c:numCache>
                  <c:formatCode>General</c:formatCode>
                  <c:ptCount val="12"/>
                  <c:pt idx="0">
                    <c:v>1.0554118342555092</c:v>
                  </c:pt>
                  <c:pt idx="1">
                    <c:v>1.1264562093940536</c:v>
                  </c:pt>
                  <c:pt idx="2">
                    <c:v>1.1511480256411937</c:v>
                  </c:pt>
                  <c:pt idx="3">
                    <c:v>1.1339827265865197</c:v>
                  </c:pt>
                  <c:pt idx="4">
                    <c:v>1.1076294959006083</c:v>
                  </c:pt>
                  <c:pt idx="5">
                    <c:v>1.1511480256411937</c:v>
                  </c:pt>
                  <c:pt idx="6">
                    <c:v>1.1163419196928492</c:v>
                  </c:pt>
                  <c:pt idx="7">
                    <c:v>1.1069893092586101</c:v>
                  </c:pt>
                  <c:pt idx="8">
                    <c:v>1.0921614510504756</c:v>
                  </c:pt>
                  <c:pt idx="9">
                    <c:v>1.1287613031084496</c:v>
                  </c:pt>
                  <c:pt idx="10">
                    <c:v>1.18133634311129</c:v>
                  </c:pt>
                  <c:pt idx="11">
                    <c:v>1.1830072581516591</c:v>
                  </c:pt>
                </c:numCache>
              </c:numRef>
            </c:plus>
            <c:minus>
              <c:numRef>
                <c:f>CGI!$B$36:$M$36</c:f>
                <c:numCache>
                  <c:formatCode>General</c:formatCode>
                  <c:ptCount val="12"/>
                  <c:pt idx="0">
                    <c:v>1.0554118342555092</c:v>
                  </c:pt>
                  <c:pt idx="1">
                    <c:v>1.1264562093940536</c:v>
                  </c:pt>
                  <c:pt idx="2">
                    <c:v>1.1511480256411937</c:v>
                  </c:pt>
                  <c:pt idx="3">
                    <c:v>1.1339827265865197</c:v>
                  </c:pt>
                  <c:pt idx="4">
                    <c:v>1.1076294959006083</c:v>
                  </c:pt>
                  <c:pt idx="5">
                    <c:v>1.1511480256411937</c:v>
                  </c:pt>
                  <c:pt idx="6">
                    <c:v>1.1163419196928492</c:v>
                  </c:pt>
                  <c:pt idx="7">
                    <c:v>1.1069893092586101</c:v>
                  </c:pt>
                  <c:pt idx="8">
                    <c:v>1.0921614510504756</c:v>
                  </c:pt>
                  <c:pt idx="9">
                    <c:v>1.1287613031084496</c:v>
                  </c:pt>
                  <c:pt idx="10">
                    <c:v>1.18133634311129</c:v>
                  </c:pt>
                  <c:pt idx="11">
                    <c:v>1.1830072581516591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CGI!$B$1:$M$1</c:f>
              <c:strCache>
                <c:ptCount val="12"/>
                <c:pt idx="0">
                  <c:v>1-month</c:v>
                </c:pt>
                <c:pt idx="1">
                  <c:v>2-month</c:v>
                </c:pt>
                <c:pt idx="2">
                  <c:v>3-month</c:v>
                </c:pt>
                <c:pt idx="3">
                  <c:v>4-month</c:v>
                </c:pt>
                <c:pt idx="4">
                  <c:v>5-month</c:v>
                </c:pt>
                <c:pt idx="5">
                  <c:v>6-month</c:v>
                </c:pt>
                <c:pt idx="6">
                  <c:v>7-month</c:v>
                </c:pt>
                <c:pt idx="7">
                  <c:v>8-month</c:v>
                </c:pt>
                <c:pt idx="8">
                  <c:v>9-month</c:v>
                </c:pt>
                <c:pt idx="9">
                  <c:v>10-month</c:v>
                </c:pt>
                <c:pt idx="10">
                  <c:v>11-month</c:v>
                </c:pt>
                <c:pt idx="11">
                  <c:v>12-month</c:v>
                </c:pt>
              </c:strCache>
            </c:strRef>
          </c:cat>
          <c:val>
            <c:numRef>
              <c:f>CGI!$B$35:$M$35</c:f>
              <c:numCache>
                <c:formatCode>General</c:formatCode>
                <c:ptCount val="12"/>
                <c:pt idx="0">
                  <c:v>3.8043478260869565</c:v>
                </c:pt>
                <c:pt idx="1">
                  <c:v>3.7608695652173911</c:v>
                </c:pt>
                <c:pt idx="2">
                  <c:v>3.6086956521739131</c:v>
                </c:pt>
                <c:pt idx="3">
                  <c:v>3.4130434782608696</c:v>
                </c:pt>
                <c:pt idx="4">
                  <c:v>3.347826086956522</c:v>
                </c:pt>
                <c:pt idx="5">
                  <c:v>3.3913043478260869</c:v>
                </c:pt>
                <c:pt idx="6">
                  <c:v>3.2826086956521738</c:v>
                </c:pt>
                <c:pt idx="7">
                  <c:v>3.2391304347826089</c:v>
                </c:pt>
                <c:pt idx="8">
                  <c:v>3.2608695652173911</c:v>
                </c:pt>
                <c:pt idx="9">
                  <c:v>3.1739130434782608</c:v>
                </c:pt>
                <c:pt idx="10">
                  <c:v>3</c:v>
                </c:pt>
                <c:pt idx="11">
                  <c:v>2.9565217391304346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B4A-4B46-9B2C-93D7DAD20B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9921024"/>
        <c:axId val="199926912"/>
      </c:lineChart>
      <c:catAx>
        <c:axId val="199921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JP"/>
          </a:p>
        </c:txPr>
        <c:crossAx val="199926912"/>
        <c:crosses val="autoZero"/>
        <c:auto val="1"/>
        <c:lblAlgn val="ctr"/>
        <c:lblOffset val="100"/>
        <c:noMultiLvlLbl val="0"/>
      </c:catAx>
      <c:valAx>
        <c:axId val="199926912"/>
        <c:scaling>
          <c:orientation val="minMax"/>
          <c:max val="7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/>
                  <a:t>Mean</a:t>
                </a:r>
                <a:r>
                  <a:rPr lang="en-US" sz="1050" baseline="0"/>
                  <a:t> scores on CGI</a:t>
                </a:r>
                <a:endParaRPr lang="en-US" sz="1050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JP"/>
          </a:p>
        </c:txPr>
        <c:crossAx val="199921024"/>
        <c:crosses val="autoZero"/>
        <c:crossBetween val="between"/>
      </c:valAx>
      <c:spPr>
        <a:noFill/>
        <a:ln>
          <a:solidFill>
            <a:schemeClr val="bg2">
              <a:lumMod val="9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61701077687869665"/>
          <c:y val="8.9025267264351032E-2"/>
          <c:w val="0.31773003197574334"/>
          <c:h val="0.16050110710096394"/>
        </c:manualLayout>
      </c:layout>
      <c:overlay val="0"/>
      <c:spPr>
        <a:solidFill>
          <a:schemeClr val="bg1"/>
        </a:solidFill>
        <a:ln>
          <a:solidFill>
            <a:schemeClr val="bg2">
              <a:lumMod val="90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JP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JP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和香</dc:creator>
  <cp:keywords/>
  <dc:description/>
  <cp:lastModifiedBy>佐々木 和香</cp:lastModifiedBy>
  <cp:revision>7</cp:revision>
  <cp:lastPrinted>2022-10-21T04:49:00Z</cp:lastPrinted>
  <dcterms:created xsi:type="dcterms:W3CDTF">2022-10-20T06:40:00Z</dcterms:created>
  <dcterms:modified xsi:type="dcterms:W3CDTF">2022-10-28T02:15:00Z</dcterms:modified>
</cp:coreProperties>
</file>