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3CD8" w14:textId="0021E39E" w:rsidR="006F5CDF" w:rsidRPr="003C73FA" w:rsidRDefault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drawing>
          <wp:anchor distT="0" distB="0" distL="114300" distR="114300" simplePos="0" relativeHeight="251659264" behindDoc="1" locked="0" layoutInCell="1" allowOverlap="1" wp14:anchorId="4D26BDC6" wp14:editId="624B2626">
            <wp:simplePos x="0" y="0"/>
            <wp:positionH relativeFrom="page">
              <wp:posOffset>1331824</wp:posOffset>
            </wp:positionH>
            <wp:positionV relativeFrom="paragraph">
              <wp:posOffset>27787</wp:posOffset>
            </wp:positionV>
            <wp:extent cx="4010025" cy="1640840"/>
            <wp:effectExtent l="0" t="0" r="9525" b="0"/>
            <wp:wrapTight wrapText="bothSides">
              <wp:wrapPolygon edited="0">
                <wp:start x="0" y="0"/>
                <wp:lineTo x="0" y="21316"/>
                <wp:lineTo x="21549" y="21316"/>
                <wp:lineTo x="21549" y="0"/>
                <wp:lineTo x="0" y="0"/>
              </wp:wrapPolygon>
            </wp:wrapTight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/>
                    <a:stretch/>
                  </pic:blipFill>
                  <pic:spPr bwMode="auto">
                    <a:xfrm>
                      <a:off x="0" y="0"/>
                      <a:ext cx="401002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1947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="006F5CDF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</w:p>
    <w:p w14:paraId="144BF9D2" w14:textId="77777777" w:rsidR="006F5CDF" w:rsidRPr="003C73FA" w:rsidRDefault="006F5CD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41BBAE7A" w14:textId="77777777" w:rsidR="006F5CDF" w:rsidRPr="003C73FA" w:rsidRDefault="006F5CD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8215935" w14:textId="77777777" w:rsidR="006F5CDF" w:rsidRPr="003C73FA" w:rsidRDefault="006F5CD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12682CC2" w14:textId="77777777" w:rsidR="006F5CDF" w:rsidRPr="003C73FA" w:rsidRDefault="006F5CD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4189D489" w14:textId="77777777" w:rsidR="006F5CDF" w:rsidRPr="003C73FA" w:rsidRDefault="006F5CD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FAB5F3D" w14:textId="77777777" w:rsidR="006F5CDF" w:rsidRPr="003C73FA" w:rsidRDefault="001E7202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object w:dxaOrig="1440" w:dyaOrig="1440" w14:anchorId="78037C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64.55pt;margin-top:7.45pt;width:214.55pt;height:369.35pt;z-index:251660288;mso-wrap-edited:f;mso-position-horizontal-relative:text;mso-position-vertical-relative:text">
            <v:imagedata r:id="rId7" o:title=""/>
          </v:shape>
          <o:OLEObject Type="Embed" ProgID="Prism9.Document" ShapeID="_x0000_s2050" DrawAspect="Content" ObjectID="_1725886872" r:id="rId8"/>
        </w:object>
      </w:r>
    </w:p>
    <w:p w14:paraId="4C718E56" w14:textId="550ADA30" w:rsidR="006F5CDF" w:rsidRPr="003C73FA" w:rsidRDefault="001F1947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</w:p>
    <w:p w14:paraId="3B6E57A7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325766A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F3C84B2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FBB5F60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246E75B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5263CBC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6F4FEB8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FDCC485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36BD678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B0F7D40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C450147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E4ED28B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0EFD87D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C5123E1" w14:textId="77777777" w:rsidR="006F5CDF" w:rsidRPr="003C73FA" w:rsidRDefault="006F5CDF" w:rsidP="006F5CD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FDA3ADD" w14:textId="2984420B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Figure 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 Corticosteroid genes</w:t>
      </w:r>
    </w:p>
    <w:p w14:paraId="22111F1B" w14:textId="619FF2E1" w:rsidR="00B51D76" w:rsidRPr="003C73FA" w:rsidRDefault="00E01155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="00B51D7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. </w:t>
      </w:r>
      <w:r w:rsidR="00B51D76"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Heatmaps of corticosteroid genes are higher in responders. 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  <w:r w:rsidR="00B51D7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. </w:t>
      </w:r>
      <w:r w:rsidR="00B51D76"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>Z-scores from corticosteroid genes showing no significant difference between responders and non-responders. ns = non-significant.</w:t>
      </w:r>
    </w:p>
    <w:p w14:paraId="05E31B2A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lastRenderedPageBreak/>
        <w:drawing>
          <wp:inline distT="0" distB="0" distL="0" distR="0" wp14:anchorId="38BD2520" wp14:editId="4B460647">
            <wp:extent cx="4408936" cy="649698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LF pre and post_supplemental figure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319" cy="65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D141" w14:textId="3A6A4D60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bookmarkStart w:id="0" w:name="OLE_LINK4"/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2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 Cell counts in bronchoalveolar lavage before bronchial thermoplasty (pre BT) and after bronchial thermoplasty (post BT).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green lines represent responders (based on AQLQ improvement &gt;0,5) and the red lines non-responders. </w:t>
      </w:r>
      <w:bookmarkStart w:id="1" w:name="OLE_LINK3"/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black stripe represents the median</w:t>
      </w:r>
      <w:bookmarkEnd w:id="1"/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>. No significant differences were found using the Wilcoxon test for paired non-parametric analyses (Eosinophils p=0.87, Neutrophils p=0.98, Lymphocytes p=0.76, Monocytes and macrophages p=0.72). ns = non-significant; BT = bronchial thermoplasty.</w:t>
      </w:r>
    </w:p>
    <w:bookmarkEnd w:id="0"/>
    <w:p w14:paraId="328990E4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288526B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22CEB9AD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6FB5DD6A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2EFC14DC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17B8FE63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2F03D3DD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40E38C18" w14:textId="77777777" w:rsidR="00442171" w:rsidRPr="003C73FA" w:rsidRDefault="00442171" w:rsidP="00442171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lastRenderedPageBreak/>
        <w:drawing>
          <wp:inline distT="0" distB="0" distL="0" distR="0" wp14:anchorId="586BC0D6" wp14:editId="38D1B2ED">
            <wp:extent cx="5029775" cy="6639133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pplemental figure 2B_fina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"/>
                    <a:stretch/>
                  </pic:blipFill>
                  <pic:spPr bwMode="auto">
                    <a:xfrm>
                      <a:off x="0" y="0"/>
                      <a:ext cx="5034626" cy="66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4125" w14:textId="0C1E86A9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3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Cell counts in bronchoalveolar lavage after bronchial thermoplasty (same time point) in the middle lobe (untreated) and lingula (BT-treated).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green lines represent responders (based on AQLQ improvement &gt;0,5) and the red lines non-responders. The black stripe represents the median. No significant differences were found using the Wilcoxon test for paired non-parametric analyses (Eosinophils p=0.48, Neutrophils p=0.34, Lymphocytes p=0.72, Monocytes and macrophages p=0.37). ns = non-significant; 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BT = bronchial thermoplasty.</w:t>
      </w:r>
    </w:p>
    <w:p w14:paraId="440A0CC5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098C3CC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F9C47F9" w14:textId="77777777" w:rsidR="00442171" w:rsidRPr="003C73FA" w:rsidRDefault="00442171" w:rsidP="00A74DB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lastRenderedPageBreak/>
        <w:drawing>
          <wp:inline distT="0" distB="0" distL="0" distR="0" wp14:anchorId="5FC9F820" wp14:editId="6240CF25">
            <wp:extent cx="6763586" cy="5157216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LF responders non responders at basel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2" cy="51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CD48" w14:textId="77777777" w:rsidR="00442171" w:rsidRPr="003C73FA" w:rsidRDefault="00442171" w:rsidP="00A74DB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03AD3B58" w14:textId="77624278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Supplementary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Figure 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4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bookmarkStart w:id="2" w:name="OLE_LINK1"/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Cell counts in bronchoalveolar lavage at baseline between responder and non-responders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(based on AQLQ improvement ≥ 0.5). Significant differences were seen in eosinophil counts (p=0.02). Neutrophils (p=0.54), lymphocytes (p=0.46), monocytes and macrophages (p=0.20) did not show any differences </w:t>
      </w:r>
      <w:bookmarkEnd w:id="2"/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(Mann-Whitney U test). 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AQLQ = asthma quality of life q</w:t>
      </w:r>
      <w:r w:rsidRPr="003C73F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uestionnaire;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BT = bronchial thermoplasty; ns = non-significant; * = p &lt; 0,05.</w:t>
      </w:r>
    </w:p>
    <w:p w14:paraId="27CA5FEF" w14:textId="77777777" w:rsidR="00A74DBF" w:rsidRPr="003C73FA" w:rsidRDefault="00A74DBF" w:rsidP="00A74DBF">
      <w:pPr>
        <w:tabs>
          <w:tab w:val="left" w:pos="960"/>
        </w:tabs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9CF19CF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91DE6B4" w14:textId="77777777" w:rsidR="00A74DBF" w:rsidRPr="003C73FA" w:rsidRDefault="00D34D58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lastRenderedPageBreak/>
        <w:drawing>
          <wp:inline distT="0" distB="0" distL="0" distR="0" wp14:anchorId="6B57B161" wp14:editId="1E3CC882">
            <wp:extent cx="8190149" cy="6056985"/>
            <wp:effectExtent l="0" t="0" r="1905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 figure 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736" cy="605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4C53" w14:textId="77777777" w:rsidR="00E12105" w:rsidRPr="003C73FA" w:rsidRDefault="00E12105" w:rsidP="00A74DB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6404EA2F" w14:textId="77777777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B990BB4" w14:textId="47258CEA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="00B54929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 Luminex data for 8 cytokines before bronchial thermoplasty (pre BT) and 6 months after bronchial thermoplasty (post BT).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green lines represent responders (based on AQLQ improvement &gt;0,5) and the red lines non-responders. The black stripe represents the median. No significant differences were found using the Wilcoxon test for paired non-parametric analyses (ECP p=0.42, VEGF-a p=0.47, MPO p = 0.69, Eotaxin 2/3 p=0.22, GRO-α p=0.82, CXCL-10 p=0.42, CXCL-8 p=0.42, MIF p=0.10). 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ns = non-significant; BT = bronchial thermoplasty.</w:t>
      </w:r>
    </w:p>
    <w:p w14:paraId="2962D12F" w14:textId="77777777" w:rsidR="00A74DBF" w:rsidRPr="003C73FA" w:rsidRDefault="00A74DBF" w:rsidP="00442171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EFFB4EA" w14:textId="77777777" w:rsidR="00A74DBF" w:rsidRPr="003C73FA" w:rsidRDefault="00D34D58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color w:val="000000"/>
          <w:sz w:val="24"/>
          <w:szCs w:val="24"/>
          <w:lang w:val="en-US" w:eastAsia="nl-NL"/>
        </w:rPr>
        <w:lastRenderedPageBreak/>
        <w:drawing>
          <wp:inline distT="0" distB="0" distL="0" distR="0" wp14:anchorId="1CE4D6DB" wp14:editId="121348CF">
            <wp:extent cx="7975792" cy="6100876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 figure 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136" cy="61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61BB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5CE0BEA" w14:textId="5FE57038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6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 Luminex data of 8 cytokines 6 months after bronchial thermoplasty in the middle lobe (untreated) and the lingula (BT-treated).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green lines represent the responders (based on AQLQ improvement ≥0.5) and the red lines non-responders. The black stripe represents the median. No significant differences were found using the Wilcoxon test for paired non-parametric analyses (ECP p=0.50, VEGF-a p=0.90, MPO p = 0.21, Eotaxin 2/3 p=0.56, GRO-α p=0.28, CXCL-10 p=0.15, CXCL-8 p=0.60, MIF p=0.82).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ns = non-significant; BT = bronchial thermoplasty.</w:t>
      </w:r>
    </w:p>
    <w:p w14:paraId="3CABE6B3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9BE40F0" w14:textId="77777777" w:rsidR="00A74DBF" w:rsidRPr="003C73FA" w:rsidRDefault="00A74DBF" w:rsidP="00A74DBF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2CDFDD9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i/>
          <w:color w:val="000000"/>
          <w:sz w:val="24"/>
          <w:szCs w:val="24"/>
          <w:lang w:val="en-US"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08DCD7FD" wp14:editId="1B56AD86">
            <wp:simplePos x="0" y="0"/>
            <wp:positionH relativeFrom="column">
              <wp:posOffset>-599873</wp:posOffset>
            </wp:positionH>
            <wp:positionV relativeFrom="paragraph">
              <wp:posOffset>152</wp:posOffset>
            </wp:positionV>
            <wp:extent cx="9190905" cy="5969204"/>
            <wp:effectExtent l="0" t="0" r="0" b="0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l figure 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/>
                    <a:stretch/>
                  </pic:blipFill>
                  <pic:spPr bwMode="auto">
                    <a:xfrm>
                      <a:off x="0" y="0"/>
                      <a:ext cx="9194901" cy="597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2C53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D01325D" w14:textId="0AE7B397" w:rsidR="00B51D76" w:rsidRPr="003C73FA" w:rsidRDefault="00B51D76" w:rsidP="00B51D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 w:rsidR="00B74436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="00E01155"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7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C73F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Luminex data of 8 cytokines at baseline between responder and non-responders </w:t>
      </w:r>
      <w:r w:rsidRPr="003C73FA">
        <w:rPr>
          <w:rFonts w:ascii="Times New Roman" w:hAnsi="Times New Roman" w:cs="Times New Roman"/>
          <w:color w:val="000000"/>
          <w:sz w:val="24"/>
          <w:szCs w:val="24"/>
          <w:lang w:val="en-US"/>
        </w:rPr>
        <w:t>(based on AQLQ improvement ≥ 0.5). No significant differences were seen (ECP (p=0.18), MPO (p=1.0), VEGF-a (p=1.0), Eotaxin 2/3 (p=0.84), GRO-α (p=0.41), CXCL-10 (P=0.90), CXCL-8 (p=0.90), MIF (p=0.44), Mann-Whitney U test). ns = non-significant.</w:t>
      </w:r>
    </w:p>
    <w:p w14:paraId="71F5EBD4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2652040" w14:textId="77777777" w:rsidR="00A74DBF" w:rsidRPr="003C73FA" w:rsidRDefault="00A74DBF" w:rsidP="00A74DBF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C92F104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C352862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E5B00CF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43ACA6F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E74D7DE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38A4DCC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BD73F2F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B9FD121" w14:textId="77777777" w:rsidR="00A74DBF" w:rsidRPr="003C73FA" w:rsidRDefault="00A74DBF" w:rsidP="00A74DB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A74DBF" w:rsidRPr="003C73FA" w:rsidSect="00442171"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F36C9" w14:textId="77777777" w:rsidR="00003456" w:rsidRDefault="00003456" w:rsidP="007B5EF3">
      <w:pPr>
        <w:spacing w:after="0" w:line="240" w:lineRule="auto"/>
      </w:pPr>
      <w:r>
        <w:separator/>
      </w:r>
    </w:p>
  </w:endnote>
  <w:endnote w:type="continuationSeparator" w:id="0">
    <w:p w14:paraId="70452CBF" w14:textId="77777777" w:rsidR="00003456" w:rsidRDefault="00003456" w:rsidP="007B5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2295" w14:textId="6636E9F9" w:rsidR="007B5EF3" w:rsidRDefault="007B5EF3">
    <w:pPr>
      <w:pStyle w:val="Footer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BAE5D9" wp14:editId="0FA893FD">
              <wp:simplePos x="0" y="0"/>
              <wp:positionH relativeFrom="page">
                <wp:posOffset>0</wp:posOffset>
              </wp:positionH>
              <wp:positionV relativeFrom="page">
                <wp:posOffset>7105650</wp:posOffset>
              </wp:positionV>
              <wp:extent cx="10692130" cy="263525"/>
              <wp:effectExtent l="0" t="0" r="0" b="3175"/>
              <wp:wrapNone/>
              <wp:docPr id="1" name="MSIPCMb09148fa9c3e23df7e47c665" descr="{&quot;HashCode&quot;:-1348403003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DC59D0" w14:textId="17871BDC" w:rsidR="007B5EF3" w:rsidRPr="007B5EF3" w:rsidRDefault="007B5EF3" w:rsidP="007B5EF3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B5EF3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AE5D9" id="_x0000_t202" coordsize="21600,21600" o:spt="202" path="m,l,21600r21600,l21600,xe">
              <v:stroke joinstyle="miter"/>
              <v:path gradientshapeok="t" o:connecttype="rect"/>
            </v:shapetype>
            <v:shape id="MSIPCMb09148fa9c3e23df7e47c665" o:spid="_x0000_s1026" type="#_x0000_t202" alt="{&quot;HashCode&quot;:-1348403003,&quot;Height&quot;:595.0,&quot;Width&quot;:841.0,&quot;Placement&quot;:&quot;Footer&quot;,&quot;Index&quot;:&quot;Primary&quot;,&quot;Section&quot;:1,&quot;Top&quot;:0.0,&quot;Left&quot;:0.0}" style="position:absolute;margin-left:0;margin-top:559.5pt;width:841.9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2YFwIAACYEAAAOAAAAZHJzL2Uyb0RvYy54bWysU1Fv2yAQfp+0/4B4X+y4SbRacaqsVaZJ&#10;VVspnfpMMMSWgGNAYme/fgd2kqnb07QXOLjju7vvPpZ3vVbkKJxvwVR0OskpEYZD3Zp9Rb+/bj59&#10;psQHZmqmwIiKnoSnd6uPH5adLUUBDahaOIIgxpedrWgTgi2zzPNGaOYnYIVBpwSnWcCj22e1Yx2i&#10;a5UVeb7IOnC1dcCF93j7MDjpKuFLKXh4ltKLQFRFsbaQVpfWXVyz1ZKVe8ds0/KxDPYPVWjWGkx6&#10;gXpggZGDa/+A0i134EGGCQedgZQtF6kH7Gaav+tm2zArUi9IjrcXmvz/g+VPx619cST0X6DHAUZC&#10;OutLj5exn146HXeslKAfKTxdaBN9IDw+yhe3xfQGfRydxeJmXswjTnZ9bp0PXwVoEo2KOpxLoosd&#10;H30YQs8hMZuBTatUmo0ypKsoYubpwcWD4Mpgjmux0Qr9rh872EF9wsYcDDP3lm9aTP7IfHhhDoeM&#10;9aJwwzMuUgEmgdGipAH382/3MR65Ry8lHYqmov7HgTlBifpmcCrFfJbnUWbphIZLxu10NsPD7nxr&#10;DvoeUJBT/BuWJzPGBnU2pQP9hsJex3ToYoZj0oruzuZ9GDSMH4OL9ToFoaAsC49ma3mEjjxGTl/7&#10;N+bsSHzAmT3BWVesfMf/EDtMYH0IINs0nMjsQOdIOIoxjXf8OFHtv59T1PV7r34BAAD//wMAUEsD&#10;BBQABgAIAAAAIQAt/gvf3gAAAAsBAAAPAAAAZHJzL2Rvd25yZXYueG1sTI/BTsMwEETvSPyDtUjc&#10;qBMQURviVFWlIsEBQegHuPE2SWuvo9hpw9+zOcFtd2Y1+6ZYT86KCw6h86QgXSQgkGpvOmoU7L93&#10;D0sQIWoy2npCBT8YYF3e3hQ6N/5KX3ipYiM4hEKuFbQx9rmUoW7R6bDwPRJ7Rz84HXkdGmkGfeVw&#10;Z+VjkmTS6Y74Q6t73LZYn6vRKdjgmIY3uzu9dvvq8/30EQezXSl1fzdtXkBEnOLfMcz4jA4lMx38&#10;SCYIq4CLRFbTdMXT7GfLJ+5ymLUseQZZFvJ/h/IXAAD//wMAUEsBAi0AFAAGAAgAAAAhALaDOJL+&#10;AAAA4QEAABMAAAAAAAAAAAAAAAAAAAAAAFtDb250ZW50X1R5cGVzXS54bWxQSwECLQAUAAYACAAA&#10;ACEAOP0h/9YAAACUAQAACwAAAAAAAAAAAAAAAAAvAQAAX3JlbHMvLnJlbHNQSwECLQAUAAYACAAA&#10;ACEAev9NmBcCAAAmBAAADgAAAAAAAAAAAAAAAAAuAgAAZHJzL2Uyb0RvYy54bWxQSwECLQAUAAYA&#10;CAAAACEALf4L394AAAALAQAADwAAAAAAAAAAAAAAAABxBAAAZHJzL2Rvd25yZXYueG1sUEsFBgAA&#10;AAAEAAQA8wAAAHwFAAAAAA==&#10;" o:allowincell="f" filled="f" stroked="f" strokeweight=".5pt">
              <v:textbox inset="20pt,0,,0">
                <w:txbxContent>
                  <w:p w14:paraId="2FDC59D0" w14:textId="17871BDC" w:rsidR="007B5EF3" w:rsidRPr="007B5EF3" w:rsidRDefault="007B5EF3" w:rsidP="007B5EF3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B5EF3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F45ED" w14:textId="77777777" w:rsidR="00003456" w:rsidRDefault="00003456" w:rsidP="007B5EF3">
      <w:pPr>
        <w:spacing w:after="0" w:line="240" w:lineRule="auto"/>
      </w:pPr>
      <w:r>
        <w:separator/>
      </w:r>
    </w:p>
  </w:footnote>
  <w:footnote w:type="continuationSeparator" w:id="0">
    <w:p w14:paraId="75AA4CFE" w14:textId="77777777" w:rsidR="00003456" w:rsidRDefault="00003456" w:rsidP="007B5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CDF"/>
    <w:rsid w:val="00003456"/>
    <w:rsid w:val="001A5F21"/>
    <w:rsid w:val="001D69DF"/>
    <w:rsid w:val="001E7202"/>
    <w:rsid w:val="001F1947"/>
    <w:rsid w:val="00244C42"/>
    <w:rsid w:val="003C73FA"/>
    <w:rsid w:val="004307C6"/>
    <w:rsid w:val="00442171"/>
    <w:rsid w:val="004E01F5"/>
    <w:rsid w:val="005B2B40"/>
    <w:rsid w:val="00654FD0"/>
    <w:rsid w:val="006F5CDF"/>
    <w:rsid w:val="007B5EF3"/>
    <w:rsid w:val="00A74DBF"/>
    <w:rsid w:val="00AE2271"/>
    <w:rsid w:val="00B51D76"/>
    <w:rsid w:val="00B54929"/>
    <w:rsid w:val="00B74436"/>
    <w:rsid w:val="00C118A6"/>
    <w:rsid w:val="00C74C5C"/>
    <w:rsid w:val="00D10E37"/>
    <w:rsid w:val="00D34D58"/>
    <w:rsid w:val="00D56E50"/>
    <w:rsid w:val="00E01155"/>
    <w:rsid w:val="00E12105"/>
    <w:rsid w:val="00E6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5C9A384"/>
  <w15:chartTrackingRefBased/>
  <w15:docId w15:val="{7FA3BFAF-A342-43A1-9922-13D04995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B5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E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EF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5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F3"/>
  </w:style>
  <w:style w:type="paragraph" w:styleId="Footer">
    <w:name w:val="footer"/>
    <w:basedOn w:val="Normal"/>
    <w:link w:val="FooterChar"/>
    <w:uiPriority w:val="99"/>
    <w:unhideWhenUsed/>
    <w:rsid w:val="007B5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EF3"/>
  </w:style>
  <w:style w:type="paragraph" w:styleId="BalloonText">
    <w:name w:val="Balloon Text"/>
    <w:basedOn w:val="Normal"/>
    <w:link w:val="BalloonTextChar"/>
    <w:uiPriority w:val="99"/>
    <w:semiHidden/>
    <w:unhideWhenUsed/>
    <w:rsid w:val="00B74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Wijsman, P.C. (Pieta)</dc:creator>
  <cp:keywords/>
  <dc:description/>
  <cp:lastModifiedBy>Spence, Oliver</cp:lastModifiedBy>
  <cp:revision>3</cp:revision>
  <dcterms:created xsi:type="dcterms:W3CDTF">2022-09-28T03:13:00Z</dcterms:created>
  <dcterms:modified xsi:type="dcterms:W3CDTF">2022-09-28T03:13:00Z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2022-09-28T03:13:49Z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e8bd894a-44b3-4d1a-aec5-db0606273c6d</vt:lpwstr>
  </property>
  <property fmtid="{D5CDD505-2E9C-101B-9397-08002B2CF9AE}" pid="8" name="MSIP_Label_2bbab825-a111-45e4-86a1-18cee0005896_ContentBits">
    <vt:lpwstr>2</vt:lpwstr>
  </property>
</Properties>
</file>