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465A3" w14:textId="77777777" w:rsidR="00933849" w:rsidRPr="007723E4" w:rsidRDefault="00933849" w:rsidP="0093384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7723E4">
        <w:rPr>
          <w:rFonts w:ascii="Arial" w:hAnsi="Arial" w:cs="Arial"/>
          <w:b/>
          <w:color w:val="000000" w:themeColor="text1"/>
          <w:sz w:val="40"/>
          <w:szCs w:val="40"/>
        </w:rPr>
        <w:t>Supporting Information</w:t>
      </w:r>
      <w:bookmarkStart w:id="0" w:name="OLE_LINK26"/>
    </w:p>
    <w:p w14:paraId="6C5A48A3" w14:textId="214C776D" w:rsidR="007723E4" w:rsidRPr="00C836E9" w:rsidRDefault="007723E4" w:rsidP="007723E4">
      <w:pPr>
        <w:pStyle w:val="1"/>
        <w:jc w:val="both"/>
      </w:pPr>
      <w:r w:rsidRPr="00C836E9">
        <w:rPr>
          <w:rFonts w:hint="eastAsia"/>
        </w:rPr>
        <w:t>C</w:t>
      </w:r>
      <w:r w:rsidRPr="00C836E9">
        <w:t>ascade-enhanced catalytic nanocomposite with</w:t>
      </w:r>
      <w:r w:rsidR="007C1F7E">
        <w:t xml:space="preserve"> </w:t>
      </w:r>
      <w:r w:rsidR="007C1F7E" w:rsidRPr="00C836E9">
        <w:t>glutathione depletion</w:t>
      </w:r>
      <w:r w:rsidRPr="00C836E9">
        <w:t xml:space="preserve"> </w:t>
      </w:r>
      <w:r w:rsidR="007C1F7E">
        <w:t xml:space="preserve">and </w:t>
      </w:r>
      <w:r w:rsidRPr="00C836E9">
        <w:t>respiration inhibition for effective starving-chemodynamic therapy against hypoxic tumor</w:t>
      </w:r>
    </w:p>
    <w:bookmarkEnd w:id="0"/>
    <w:p w14:paraId="0F36EF58" w14:textId="77777777" w:rsidR="007427CC" w:rsidRDefault="007427CC" w:rsidP="00DF5AB3">
      <w:pPr>
        <w:rPr>
          <w:noProof/>
          <w:color w:val="FF0000"/>
        </w:rPr>
      </w:pPr>
    </w:p>
    <w:p w14:paraId="79163C23" w14:textId="25278ED1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  <w:vertAlign w:val="superscript"/>
        </w:rPr>
      </w:pPr>
      <w:bookmarkStart w:id="1" w:name="OLE_LINK33"/>
      <w:r w:rsidRPr="007723E4">
        <w:rPr>
          <w:rFonts w:ascii="Arial" w:hAnsi="Arial" w:cs="Arial"/>
          <w:sz w:val="20"/>
          <w:szCs w:val="20"/>
        </w:rPr>
        <w:t>Yiran Zhang</w:t>
      </w:r>
      <w:r w:rsidRPr="007723E4">
        <w:rPr>
          <w:rFonts w:ascii="Arial" w:hAnsi="Arial" w:cs="Arial"/>
          <w:sz w:val="20"/>
          <w:szCs w:val="20"/>
          <w:vertAlign w:val="superscript"/>
        </w:rPr>
        <w:t>1,2,3,6*</w:t>
      </w:r>
      <w:r w:rsidRPr="007723E4">
        <w:rPr>
          <w:rFonts w:ascii="Arial" w:hAnsi="Arial" w:cs="Arial"/>
          <w:sz w:val="20"/>
          <w:szCs w:val="20"/>
        </w:rPr>
        <w:t>, Hongzhi Hu</w:t>
      </w:r>
      <w:r w:rsidRPr="007723E4">
        <w:rPr>
          <w:rFonts w:ascii="Arial" w:hAnsi="Arial" w:cs="Arial"/>
          <w:sz w:val="20"/>
          <w:szCs w:val="20"/>
          <w:vertAlign w:val="superscript"/>
        </w:rPr>
        <w:t>4*</w:t>
      </w:r>
      <w:r w:rsidRPr="007723E4">
        <w:rPr>
          <w:rFonts w:ascii="Arial" w:hAnsi="Arial" w:cs="Arial"/>
          <w:sz w:val="20"/>
          <w:szCs w:val="20"/>
        </w:rPr>
        <w:t>, Xiangtian Deng</w:t>
      </w:r>
      <w:r w:rsidRPr="007723E4">
        <w:rPr>
          <w:rFonts w:ascii="Arial" w:hAnsi="Arial" w:cs="Arial"/>
          <w:sz w:val="20"/>
          <w:szCs w:val="20"/>
          <w:vertAlign w:val="superscript"/>
        </w:rPr>
        <w:t>5*</w:t>
      </w:r>
      <w:r w:rsidRPr="007723E4">
        <w:rPr>
          <w:rFonts w:ascii="Arial" w:hAnsi="Arial" w:cs="Arial"/>
          <w:sz w:val="20"/>
          <w:szCs w:val="20"/>
        </w:rPr>
        <w:t>,</w:t>
      </w:r>
      <w:r w:rsidR="0091348F" w:rsidRPr="0091348F">
        <w:rPr>
          <w:rFonts w:ascii="Arial" w:hAnsi="Arial" w:cs="Arial"/>
          <w:sz w:val="20"/>
          <w:szCs w:val="20"/>
        </w:rPr>
        <w:t xml:space="preserve"> </w:t>
      </w:r>
      <w:r w:rsidR="0091348F" w:rsidRPr="007723E4">
        <w:rPr>
          <w:rFonts w:ascii="Arial" w:hAnsi="Arial" w:cs="Arial"/>
          <w:sz w:val="20"/>
          <w:szCs w:val="20"/>
        </w:rPr>
        <w:t>Qingcheng Song</w:t>
      </w:r>
      <w:r w:rsidR="0091348F" w:rsidRPr="007723E4">
        <w:rPr>
          <w:rFonts w:ascii="Arial" w:hAnsi="Arial" w:cs="Arial"/>
          <w:sz w:val="20"/>
          <w:szCs w:val="20"/>
          <w:vertAlign w:val="superscript"/>
        </w:rPr>
        <w:t>2</w:t>
      </w:r>
      <w:r w:rsidR="0091348F" w:rsidRPr="007723E4">
        <w:rPr>
          <w:rFonts w:ascii="Arial" w:hAnsi="Arial" w:cs="Arial"/>
          <w:sz w:val="20"/>
          <w:szCs w:val="20"/>
        </w:rPr>
        <w:t xml:space="preserve">, </w:t>
      </w:r>
      <w:r w:rsidRPr="007723E4">
        <w:rPr>
          <w:rFonts w:ascii="Arial" w:hAnsi="Arial" w:cs="Arial"/>
          <w:sz w:val="20"/>
          <w:szCs w:val="20"/>
        </w:rPr>
        <w:t>Xin Xing</w:t>
      </w:r>
      <w:r w:rsidRPr="007723E4">
        <w:rPr>
          <w:rFonts w:ascii="Arial" w:hAnsi="Arial" w:cs="Arial"/>
          <w:sz w:val="20"/>
          <w:szCs w:val="20"/>
          <w:vertAlign w:val="superscript"/>
        </w:rPr>
        <w:t>2,3</w:t>
      </w:r>
      <w:r w:rsidRPr="007723E4">
        <w:rPr>
          <w:rFonts w:ascii="Arial" w:hAnsi="Arial" w:cs="Arial"/>
          <w:sz w:val="20"/>
          <w:szCs w:val="20"/>
        </w:rPr>
        <w:t>,</w:t>
      </w:r>
      <w:r w:rsidR="0091348F">
        <w:rPr>
          <w:rFonts w:ascii="Arial" w:hAnsi="Arial" w:cs="Arial"/>
          <w:sz w:val="20"/>
          <w:szCs w:val="20"/>
        </w:rPr>
        <w:t xml:space="preserve"> </w:t>
      </w:r>
      <w:r w:rsidRPr="007723E4">
        <w:rPr>
          <w:rFonts w:ascii="Arial" w:hAnsi="Arial" w:cs="Arial"/>
          <w:sz w:val="20"/>
          <w:szCs w:val="20"/>
        </w:rPr>
        <w:t>Weijian Liu</w:t>
      </w:r>
      <w:r w:rsidRPr="007723E4">
        <w:rPr>
          <w:rFonts w:ascii="Arial" w:hAnsi="Arial" w:cs="Arial"/>
          <w:sz w:val="20"/>
          <w:szCs w:val="20"/>
          <w:vertAlign w:val="superscript"/>
        </w:rPr>
        <w:t>4#</w:t>
      </w:r>
      <w:r w:rsidRPr="007723E4">
        <w:rPr>
          <w:rFonts w:ascii="Arial" w:hAnsi="Arial" w:cs="Arial"/>
          <w:sz w:val="20"/>
          <w:szCs w:val="20"/>
        </w:rPr>
        <w:t>,</w:t>
      </w:r>
      <w:r w:rsidR="0091348F">
        <w:rPr>
          <w:rFonts w:ascii="Arial" w:hAnsi="Arial" w:cs="Arial"/>
          <w:sz w:val="20"/>
          <w:szCs w:val="20"/>
        </w:rPr>
        <w:t xml:space="preserve"> </w:t>
      </w:r>
      <w:r w:rsidRPr="007723E4">
        <w:rPr>
          <w:rFonts w:ascii="Arial" w:hAnsi="Arial" w:cs="Arial"/>
          <w:sz w:val="20"/>
          <w:szCs w:val="20"/>
        </w:rPr>
        <w:t>Yingze Zhang</w:t>
      </w:r>
      <w:r w:rsidRPr="007723E4">
        <w:rPr>
          <w:rFonts w:ascii="Arial" w:hAnsi="Arial" w:cs="Arial"/>
          <w:sz w:val="20"/>
          <w:szCs w:val="20"/>
          <w:vertAlign w:val="superscript"/>
        </w:rPr>
        <w:t>1,2,3#</w:t>
      </w:r>
    </w:p>
    <w:p w14:paraId="650DFC74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</w:p>
    <w:p w14:paraId="649AE427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1</w:t>
      </w:r>
      <w:r w:rsidRPr="007723E4">
        <w:rPr>
          <w:rFonts w:ascii="Arial" w:hAnsi="Arial" w:cs="Arial"/>
          <w:sz w:val="20"/>
          <w:szCs w:val="20"/>
        </w:rPr>
        <w:t>School of Medicine, Nankai University, Tianjin, 300071, China.</w:t>
      </w:r>
    </w:p>
    <w:p w14:paraId="252F893B" w14:textId="14D58C85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2</w:t>
      </w:r>
      <w:r w:rsidRPr="007723E4">
        <w:rPr>
          <w:rFonts w:ascii="Arial" w:hAnsi="Arial" w:cs="Arial"/>
          <w:sz w:val="20"/>
          <w:szCs w:val="20"/>
        </w:rPr>
        <w:t>Department of 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 Surgery, Third Hospital of Hebei Medical University, Shijiazhuang, 050051, Hebei, China</w:t>
      </w:r>
    </w:p>
    <w:p w14:paraId="2BB066D7" w14:textId="5F7C8C5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3</w:t>
      </w:r>
      <w:r w:rsidRPr="007723E4">
        <w:rPr>
          <w:rFonts w:ascii="Arial" w:hAnsi="Arial" w:cs="Arial"/>
          <w:sz w:val="20"/>
          <w:szCs w:val="20"/>
        </w:rPr>
        <w:t>NHC Key Laboratory of Intelligent 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 Equipment, Third Hospital of Hebei Medical University, Shijiazhuang, Hebei, China.</w:t>
      </w:r>
    </w:p>
    <w:p w14:paraId="296607BF" w14:textId="48204D5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4</w:t>
      </w:r>
      <w:r w:rsidRPr="007723E4">
        <w:rPr>
          <w:rFonts w:ascii="Arial" w:hAnsi="Arial" w:cs="Arial"/>
          <w:sz w:val="20"/>
          <w:szCs w:val="20"/>
        </w:rPr>
        <w:t>Department of 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edics, Union Hospital, Tongji Medical College, Huazhong University of Science and Technology, Wuhan 430022, China</w:t>
      </w:r>
    </w:p>
    <w:p w14:paraId="4A43E25C" w14:textId="28080FE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5</w:t>
      </w:r>
      <w:r w:rsidRPr="007723E4">
        <w:rPr>
          <w:rFonts w:ascii="Arial" w:hAnsi="Arial" w:cs="Arial"/>
          <w:sz w:val="20"/>
          <w:szCs w:val="20"/>
        </w:rPr>
        <w:t>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edics Research Institute, Department of Orthop</w:t>
      </w:r>
      <w:r w:rsidR="00A613C4">
        <w:rPr>
          <w:rFonts w:ascii="Arial" w:hAnsi="Arial" w:cs="Arial"/>
          <w:sz w:val="20"/>
          <w:szCs w:val="20"/>
        </w:rPr>
        <w:t>a</w:t>
      </w:r>
      <w:r w:rsidRPr="007723E4">
        <w:rPr>
          <w:rFonts w:ascii="Arial" w:hAnsi="Arial" w:cs="Arial"/>
          <w:sz w:val="20"/>
          <w:szCs w:val="20"/>
        </w:rPr>
        <w:t>edics, West China Hospital, Sichuan University</w:t>
      </w:r>
    </w:p>
    <w:p w14:paraId="294FB133" w14:textId="0827D042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6</w:t>
      </w:r>
      <w:r w:rsidRPr="007723E4">
        <w:rPr>
          <w:rFonts w:ascii="Arial" w:hAnsi="Arial" w:cs="Arial"/>
          <w:sz w:val="20"/>
          <w:szCs w:val="20"/>
        </w:rPr>
        <w:t>HeBei Ex</w:t>
      </w:r>
      <w:r w:rsidR="00A17D34" w:rsidRPr="004D3AD1">
        <w:rPr>
          <w:rFonts w:ascii="Arial" w:hAnsi="Arial" w:cs="Arial"/>
          <w:spacing w:val="-1"/>
          <w:sz w:val="20"/>
          <w:szCs w:val="20"/>
        </w:rPr>
        <w:t>&amp;</w:t>
      </w:r>
      <w:r w:rsidRPr="007723E4">
        <w:rPr>
          <w:rFonts w:ascii="Arial" w:hAnsi="Arial" w:cs="Arial"/>
          <w:sz w:val="20"/>
          <w:szCs w:val="20"/>
        </w:rPr>
        <w:t>Invivo Biotechnology Co. Ltd, Shijiazhuang, 050051, Hebei, China</w:t>
      </w:r>
    </w:p>
    <w:p w14:paraId="714DB9D5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</w:p>
    <w:p w14:paraId="4DDF0515" w14:textId="08545DEE" w:rsidR="007723E4" w:rsidRPr="007723E4" w:rsidRDefault="007723E4" w:rsidP="007C1F7E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bookmarkStart w:id="2" w:name="_Hlk109142560"/>
      <w:r w:rsidRPr="007723E4">
        <w:rPr>
          <w:rFonts w:ascii="Arial" w:hAnsi="Arial" w:cs="Arial"/>
          <w:color w:val="000000"/>
          <w:sz w:val="20"/>
          <w:szCs w:val="20"/>
        </w:rPr>
        <w:t>*These authors contributed equally to this work</w:t>
      </w:r>
      <w:r w:rsidR="00791D49">
        <w:rPr>
          <w:rFonts w:ascii="Arial" w:hAnsi="Arial" w:cs="Arial"/>
          <w:color w:val="000000"/>
          <w:sz w:val="20"/>
          <w:szCs w:val="20"/>
        </w:rPr>
        <w:t>.</w:t>
      </w:r>
    </w:p>
    <w:bookmarkEnd w:id="2"/>
    <w:p w14:paraId="7FD2D543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  <w:vertAlign w:val="superscript"/>
        </w:rPr>
        <w:t>#</w:t>
      </w:r>
      <w:r w:rsidRPr="007723E4">
        <w:rPr>
          <w:rFonts w:ascii="Arial" w:hAnsi="Arial" w:cs="Arial"/>
          <w:sz w:val="20"/>
          <w:szCs w:val="20"/>
        </w:rPr>
        <w:t>Correspondence:</w:t>
      </w:r>
    </w:p>
    <w:p w14:paraId="564C54FD" w14:textId="68F13174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</w:rPr>
        <w:t xml:space="preserve">Yingze Zhang, E-mail: </w:t>
      </w:r>
      <w:r w:rsidRPr="003F224B">
        <w:rPr>
          <w:rFonts w:ascii="Arial" w:hAnsi="Arial" w:cs="Arial"/>
          <w:sz w:val="20"/>
          <w:szCs w:val="20"/>
        </w:rPr>
        <w:t>yzling_liu@163.com</w:t>
      </w:r>
    </w:p>
    <w:p w14:paraId="49654C3F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</w:rPr>
        <w:t>(First Corresponding author);</w:t>
      </w:r>
    </w:p>
    <w:p w14:paraId="5D137410" w14:textId="77777777" w:rsidR="007723E4" w:rsidRPr="007723E4" w:rsidRDefault="007723E4" w:rsidP="007C1F7E">
      <w:pPr>
        <w:spacing w:line="360" w:lineRule="auto"/>
        <w:rPr>
          <w:rFonts w:ascii="Arial" w:hAnsi="Arial" w:cs="Arial"/>
          <w:sz w:val="20"/>
          <w:szCs w:val="20"/>
        </w:rPr>
      </w:pPr>
      <w:r w:rsidRPr="007723E4">
        <w:rPr>
          <w:rFonts w:ascii="Arial" w:hAnsi="Arial" w:cs="Arial"/>
          <w:sz w:val="20"/>
          <w:szCs w:val="20"/>
        </w:rPr>
        <w:t>Weijian Liu, E-mail: xh_liuweijian@hust.edu.cn</w:t>
      </w:r>
    </w:p>
    <w:p w14:paraId="41368C77" w14:textId="2EC76E32" w:rsidR="00A92EFE" w:rsidRDefault="00A92EFE">
      <w:pPr>
        <w:widowControl/>
        <w:jc w:val="lef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3" w:name="OLE_LINK1"/>
      <w:bookmarkEnd w:id="1"/>
      <w:r>
        <w:rPr>
          <w:rFonts w:ascii="Arial" w:hAnsi="Arial" w:cs="Arial"/>
          <w:b/>
          <w:bCs/>
          <w:color w:val="000000" w:themeColor="text1"/>
          <w:sz w:val="20"/>
          <w:szCs w:val="20"/>
        </w:rPr>
        <w:br w:type="page"/>
      </w:r>
    </w:p>
    <w:p w14:paraId="26F4F347" w14:textId="41D90BA6" w:rsidR="00A92EFE" w:rsidRDefault="00A92EFE">
      <w:pPr>
        <w:widowControl/>
        <w:jc w:val="left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A92EFE" w14:paraId="6F3A7083" w14:textId="77777777" w:rsidTr="00A34CA0">
        <w:trPr>
          <w:jc w:val="center"/>
        </w:trPr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5BDE4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m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(GC): m(KMnO</w:t>
            </w:r>
            <w:r w:rsidRPr="00AA756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  <w:vertAlign w:val="subscript"/>
              </w:rPr>
              <w:t>4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2982A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Hydro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dynamic size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44FE8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P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DI</w:t>
            </w:r>
          </w:p>
        </w:tc>
      </w:tr>
      <w:tr w:rsidR="00A92EFE" w14:paraId="4F138BE9" w14:textId="77777777" w:rsidTr="00A34CA0">
        <w:trPr>
          <w:jc w:val="center"/>
        </w:trPr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14:paraId="2FFB4DE6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:0.4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14:paraId="56E83137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94.6 </w:t>
            </w:r>
            <w:r w:rsidRPr="00A4437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±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 42.1 nm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14:paraId="24B501D2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.46</w:t>
            </w:r>
          </w:p>
        </w:tc>
      </w:tr>
      <w:tr w:rsidR="00A92EFE" w14:paraId="7C312835" w14:textId="77777777" w:rsidTr="00A34CA0">
        <w:trPr>
          <w:jc w:val="center"/>
        </w:trPr>
        <w:tc>
          <w:tcPr>
            <w:tcW w:w="2765" w:type="dxa"/>
            <w:vAlign w:val="center"/>
          </w:tcPr>
          <w:p w14:paraId="3BEB5372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:0.8</w:t>
            </w:r>
          </w:p>
        </w:tc>
        <w:tc>
          <w:tcPr>
            <w:tcW w:w="2765" w:type="dxa"/>
            <w:vAlign w:val="center"/>
          </w:tcPr>
          <w:p w14:paraId="4DED022C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73.9 </w:t>
            </w:r>
            <w:r w:rsidRPr="00A4437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±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 22.7 nm</w:t>
            </w:r>
          </w:p>
        </w:tc>
        <w:tc>
          <w:tcPr>
            <w:tcW w:w="2766" w:type="dxa"/>
            <w:vAlign w:val="center"/>
          </w:tcPr>
          <w:p w14:paraId="18792FF2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.27</w:t>
            </w:r>
          </w:p>
        </w:tc>
      </w:tr>
      <w:tr w:rsidR="00A92EFE" w14:paraId="6C1ADB32" w14:textId="77777777" w:rsidTr="00A34CA0">
        <w:trPr>
          <w:jc w:val="center"/>
        </w:trPr>
        <w:tc>
          <w:tcPr>
            <w:tcW w:w="2765" w:type="dxa"/>
            <w:vAlign w:val="center"/>
          </w:tcPr>
          <w:p w14:paraId="04E07C88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:1.2</w:t>
            </w:r>
          </w:p>
        </w:tc>
        <w:tc>
          <w:tcPr>
            <w:tcW w:w="2765" w:type="dxa"/>
            <w:vAlign w:val="center"/>
          </w:tcPr>
          <w:p w14:paraId="331629E0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53.1 </w:t>
            </w:r>
            <w:r w:rsidRPr="00A4437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±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 37.3 nm</w:t>
            </w:r>
          </w:p>
        </w:tc>
        <w:tc>
          <w:tcPr>
            <w:tcW w:w="2766" w:type="dxa"/>
            <w:vAlign w:val="center"/>
          </w:tcPr>
          <w:p w14:paraId="74514040" w14:textId="219D5599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.3</w:t>
            </w:r>
            <w:r w:rsidR="000C1DCF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</w:tr>
      <w:tr w:rsidR="00A92EFE" w14:paraId="746AAAF1" w14:textId="77777777" w:rsidTr="00A34CA0">
        <w:trPr>
          <w:jc w:val="center"/>
        </w:trPr>
        <w:tc>
          <w:tcPr>
            <w:tcW w:w="2765" w:type="dxa"/>
            <w:vAlign w:val="center"/>
          </w:tcPr>
          <w:p w14:paraId="5D58086B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:1.6</w:t>
            </w:r>
          </w:p>
        </w:tc>
        <w:tc>
          <w:tcPr>
            <w:tcW w:w="2765" w:type="dxa"/>
            <w:vAlign w:val="center"/>
          </w:tcPr>
          <w:p w14:paraId="1547E96F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65.4 </w:t>
            </w:r>
            <w:r w:rsidRPr="00A4437E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±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 xml:space="preserve"> 53.2 nm</w:t>
            </w:r>
          </w:p>
        </w:tc>
        <w:tc>
          <w:tcPr>
            <w:tcW w:w="2766" w:type="dxa"/>
            <w:vAlign w:val="center"/>
          </w:tcPr>
          <w:p w14:paraId="02D304C5" w14:textId="77777777" w:rsidR="00A92EFE" w:rsidRDefault="00A92EFE" w:rsidP="00A34CA0">
            <w:pPr>
              <w:spacing w:line="480" w:lineRule="auto"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等线" w:hAnsi="Arial" w:cs="Arial" w:hint="eastAsia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.61</w:t>
            </w:r>
          </w:p>
        </w:tc>
      </w:tr>
    </w:tbl>
    <w:p w14:paraId="3B2CD44B" w14:textId="04AFFCEA" w:rsidR="00A92EFE" w:rsidRDefault="00A92EFE" w:rsidP="00A92EFE">
      <w:pPr>
        <w:spacing w:line="480" w:lineRule="auto"/>
        <w:ind w:firstLineChars="200" w:firstLine="400"/>
        <w:rPr>
          <w:rFonts w:ascii="Arial" w:eastAsia="等线" w:hAnsi="Arial" w:cs="Arial"/>
          <w:color w:val="000000"/>
          <w:kern w:val="0"/>
          <w:sz w:val="20"/>
          <w:szCs w:val="20"/>
        </w:rPr>
      </w:pPr>
      <w:r w:rsidRPr="00E51138">
        <w:rPr>
          <w:rFonts w:ascii="Arial" w:eastAsia="等线" w:hAnsi="Arial" w:cs="Arial" w:hint="eastAsia"/>
          <w:b/>
          <w:bCs/>
          <w:color w:val="000000"/>
          <w:kern w:val="0"/>
          <w:sz w:val="20"/>
          <w:szCs w:val="20"/>
        </w:rPr>
        <w:t>T</w:t>
      </w:r>
      <w:r w:rsidRPr="00E51138">
        <w:rPr>
          <w:rFonts w:ascii="Arial" w:eastAsia="等线" w:hAnsi="Arial" w:cs="Arial"/>
          <w:b/>
          <w:bCs/>
          <w:color w:val="000000"/>
          <w:kern w:val="0"/>
          <w:sz w:val="20"/>
          <w:szCs w:val="20"/>
        </w:rPr>
        <w:t>able S1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 DLS results of GOx-CuCaP@MnO</w:t>
      </w:r>
      <w:r w:rsidRPr="00E51138">
        <w:rPr>
          <w:rFonts w:ascii="Arial" w:eastAsia="等线" w:hAnsi="Arial" w:cs="Arial"/>
          <w:color w:val="000000"/>
          <w:kern w:val="0"/>
          <w:sz w:val="20"/>
          <w:szCs w:val="20"/>
          <w:vertAlign w:val="subscript"/>
        </w:rPr>
        <w:t>2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(GCM) at different mass ratios.</w:t>
      </w:r>
    </w:p>
    <w:p w14:paraId="1D45D765" w14:textId="03EB9B66" w:rsidR="008B7307" w:rsidRDefault="008B7307" w:rsidP="000216F6">
      <w:pPr>
        <w:widowControl/>
        <w:jc w:val="left"/>
        <w:rPr>
          <w:rFonts w:ascii="Arial" w:eastAsia="等线" w:hAnsi="Arial" w:cs="Arial"/>
          <w:color w:val="000000"/>
          <w:kern w:val="0"/>
          <w:sz w:val="20"/>
          <w:szCs w:val="20"/>
        </w:rPr>
      </w:pPr>
      <w:r>
        <w:rPr>
          <w:rFonts w:ascii="Arial" w:eastAsia="等线" w:hAnsi="Arial" w:cs="Arial"/>
          <w:color w:val="000000"/>
          <w:kern w:val="0"/>
          <w:sz w:val="20"/>
          <w:szCs w:val="20"/>
        </w:rPr>
        <w:br w:type="page"/>
      </w:r>
    </w:p>
    <w:p w14:paraId="2700A79A" w14:textId="448105B8" w:rsidR="008B7307" w:rsidRDefault="008B7307" w:rsidP="00D63D11">
      <w:pPr>
        <w:spacing w:line="480" w:lineRule="auto"/>
        <w:ind w:firstLineChars="200" w:firstLine="400"/>
        <w:rPr>
          <w:rFonts w:ascii="Arial" w:eastAsia="等线" w:hAnsi="Arial" w:cs="Arial"/>
          <w:color w:val="000000"/>
          <w:kern w:val="0"/>
          <w:sz w:val="20"/>
          <w:szCs w:val="20"/>
          <w:lang w:eastAsia="en-US"/>
        </w:rPr>
      </w:pPr>
      <w:r>
        <w:rPr>
          <w:rFonts w:ascii="Arial" w:eastAsia="等线" w:hAnsi="Arial" w:cs="Arial"/>
          <w:noProof/>
          <w:color w:val="000000"/>
          <w:kern w:val="0"/>
          <w:sz w:val="20"/>
          <w:szCs w:val="20"/>
          <w:lang w:eastAsia="en-US"/>
        </w:rPr>
        <w:lastRenderedPageBreak/>
        <w:drawing>
          <wp:inline distT="0" distB="0" distL="0" distR="0" wp14:anchorId="7E84FC16" wp14:editId="4EC7DC17">
            <wp:extent cx="5272405" cy="492252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3DAF" w14:textId="77777777" w:rsidR="00D63D11" w:rsidRPr="00D63D11" w:rsidRDefault="00D63D11" w:rsidP="00D63D11">
      <w:pPr>
        <w:spacing w:line="480" w:lineRule="auto"/>
        <w:ind w:firstLineChars="200" w:firstLine="400"/>
        <w:rPr>
          <w:rFonts w:ascii="Arial" w:eastAsia="等线" w:hAnsi="Arial" w:cs="Arial"/>
          <w:color w:val="000000"/>
          <w:kern w:val="0"/>
          <w:sz w:val="20"/>
          <w:szCs w:val="20"/>
          <w:lang w:eastAsia="en-US"/>
        </w:rPr>
      </w:pPr>
    </w:p>
    <w:p w14:paraId="5F2A8D8B" w14:textId="2FEE5237" w:rsidR="008B7307" w:rsidRPr="0015368B" w:rsidRDefault="008B7307" w:rsidP="008B7307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  <w:szCs w:val="20"/>
        </w:rPr>
      </w:pPr>
      <w:r w:rsidRPr="0015368B">
        <w:rPr>
          <w:rFonts w:ascii="Arial" w:hAnsi="Arial" w:cs="Arial"/>
          <w:b/>
          <w:bCs/>
          <w:sz w:val="20"/>
          <w:szCs w:val="20"/>
        </w:rPr>
        <w:t>Figure S1</w:t>
      </w:r>
      <w:r w:rsidRPr="0015368B">
        <w:rPr>
          <w:rFonts w:ascii="Arial" w:hAnsi="Arial" w:cs="Arial"/>
          <w:sz w:val="20"/>
          <w:szCs w:val="20"/>
        </w:rPr>
        <w:t xml:space="preserve"> XPS spectrum of as-prepared GCMMR NPs. (</w:t>
      </w:r>
      <w:r w:rsidRPr="0015368B">
        <w:rPr>
          <w:rFonts w:ascii="Arial" w:hAnsi="Arial" w:cs="Arial"/>
          <w:b/>
          <w:bCs/>
          <w:sz w:val="20"/>
          <w:szCs w:val="20"/>
        </w:rPr>
        <w:t>A</w:t>
      </w:r>
      <w:r w:rsidRPr="0015368B">
        <w:rPr>
          <w:rFonts w:ascii="Arial" w:hAnsi="Arial" w:cs="Arial"/>
          <w:sz w:val="20"/>
          <w:szCs w:val="20"/>
        </w:rPr>
        <w:t>) Full scan; (</w:t>
      </w:r>
      <w:r w:rsidRPr="0015368B">
        <w:rPr>
          <w:rFonts w:ascii="Arial" w:hAnsi="Arial" w:cs="Arial"/>
          <w:b/>
          <w:bCs/>
          <w:sz w:val="20"/>
          <w:szCs w:val="20"/>
        </w:rPr>
        <w:t>B</w:t>
      </w:r>
      <w:r w:rsidRPr="0015368B">
        <w:rPr>
          <w:rFonts w:ascii="Arial" w:hAnsi="Arial" w:cs="Arial"/>
          <w:sz w:val="20"/>
          <w:szCs w:val="20"/>
        </w:rPr>
        <w:t>) Mn2p spectra; (</w:t>
      </w:r>
      <w:r w:rsidRPr="0015368B">
        <w:rPr>
          <w:rFonts w:ascii="Arial" w:hAnsi="Arial" w:cs="Arial"/>
          <w:b/>
          <w:bCs/>
          <w:sz w:val="20"/>
          <w:szCs w:val="20"/>
        </w:rPr>
        <w:t>C</w:t>
      </w:r>
      <w:r w:rsidRPr="0015368B">
        <w:rPr>
          <w:rFonts w:ascii="Arial" w:hAnsi="Arial" w:cs="Arial"/>
          <w:sz w:val="20"/>
          <w:szCs w:val="20"/>
        </w:rPr>
        <w:t>) Cu2p spectra</w:t>
      </w:r>
    </w:p>
    <w:bookmarkEnd w:id="3"/>
    <w:p w14:paraId="7609CF23" w14:textId="7EC9DC6D" w:rsidR="002D7EB5" w:rsidRDefault="002D7EB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11A30DE" w14:textId="77777777" w:rsidR="00805304" w:rsidRDefault="00805304" w:rsidP="002D7EB5">
      <w:pPr>
        <w:rPr>
          <w:noProof/>
        </w:rPr>
      </w:pPr>
    </w:p>
    <w:p w14:paraId="44AF6BD6" w14:textId="1EA34958" w:rsidR="009D1795" w:rsidRDefault="00DB2C80" w:rsidP="005469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40B9E2" wp14:editId="52C536AF">
            <wp:extent cx="3338195" cy="2786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68BE" w14:textId="77777777" w:rsidR="003644A2" w:rsidRDefault="003644A2" w:rsidP="0054690A">
      <w:pPr>
        <w:jc w:val="center"/>
        <w:rPr>
          <w:noProof/>
        </w:rPr>
      </w:pPr>
    </w:p>
    <w:p w14:paraId="756DEF9D" w14:textId="5EB3B9DE" w:rsidR="00CA4CD4" w:rsidRDefault="00885987" w:rsidP="00DB2C80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5668B9">
        <w:rPr>
          <w:rFonts w:ascii="Arial" w:hAnsi="Arial" w:cs="Arial"/>
          <w:b/>
          <w:bCs/>
          <w:color w:val="000000" w:themeColor="text1"/>
          <w:sz w:val="20"/>
          <w:szCs w:val="20"/>
        </w:rPr>
        <w:t>Figure S2</w:t>
      </w:r>
      <w:r w:rsidRPr="005668B9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C40CF" w:rsidRPr="005668B9">
        <w:rPr>
          <w:rFonts w:ascii="Arial" w:hAnsi="Arial" w:cs="Arial"/>
          <w:color w:val="000000" w:themeColor="text1"/>
          <w:sz w:val="20"/>
          <w:szCs w:val="20"/>
        </w:rPr>
        <w:t xml:space="preserve">Thermogravimetric analysis of GCMMR </w:t>
      </w:r>
      <w:r w:rsidR="00604AF9" w:rsidRPr="005668B9">
        <w:rPr>
          <w:rFonts w:ascii="Arial" w:hAnsi="Arial" w:cs="Arial"/>
          <w:color w:val="000000" w:themeColor="text1"/>
          <w:sz w:val="20"/>
          <w:szCs w:val="20"/>
        </w:rPr>
        <w:t>NPs</w:t>
      </w:r>
    </w:p>
    <w:p w14:paraId="24A45028" w14:textId="4BBCEAB3" w:rsidR="009C0C83" w:rsidRDefault="009C0C83">
      <w:pPr>
        <w:widowControl/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2984B2EA" w14:textId="77777777" w:rsidR="009C0C83" w:rsidRDefault="009C0C83" w:rsidP="00DB2C80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8D6127D" w14:textId="4A5FA4AE" w:rsidR="00DB2C80" w:rsidRDefault="00DB2C80" w:rsidP="00DB2C80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B186580" wp14:editId="52E8E42E">
            <wp:extent cx="3467735" cy="25101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D8EFC" w14:textId="77777777" w:rsidR="003644A2" w:rsidRPr="00DB2C80" w:rsidRDefault="003644A2" w:rsidP="00DB2C80">
      <w:pPr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B2BBF83" w14:textId="1C540796" w:rsidR="00CA4CD4" w:rsidRPr="00465285" w:rsidRDefault="00CA4CD4" w:rsidP="00CA4CD4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5285">
        <w:rPr>
          <w:rFonts w:ascii="Arial" w:hAnsi="Arial" w:cs="Arial"/>
          <w:b/>
          <w:bCs/>
          <w:color w:val="000000" w:themeColor="text1"/>
          <w:sz w:val="20"/>
          <w:szCs w:val="20"/>
        </w:rPr>
        <w:t>Figure S3</w:t>
      </w:r>
      <w:r w:rsidRPr="0046528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02C0E" w:rsidRPr="00465285">
        <w:rPr>
          <w:rFonts w:ascii="Arial" w:hAnsi="Arial" w:cs="Arial"/>
          <w:color w:val="000000" w:themeColor="text1"/>
          <w:sz w:val="20"/>
          <w:szCs w:val="20"/>
        </w:rPr>
        <w:t xml:space="preserve">Hydrodynamic size of GCMMR NPs </w:t>
      </w:r>
      <w:r w:rsidR="00125B10" w:rsidRPr="00465285">
        <w:rPr>
          <w:rFonts w:ascii="Arial" w:hAnsi="Arial" w:cs="Arial"/>
          <w:color w:val="000000" w:themeColor="text1"/>
          <w:sz w:val="20"/>
          <w:szCs w:val="20"/>
        </w:rPr>
        <w:t xml:space="preserve">in various media </w:t>
      </w:r>
      <w:r w:rsidR="00302C0E" w:rsidRPr="00465285">
        <w:rPr>
          <w:rFonts w:ascii="Arial" w:hAnsi="Arial" w:cs="Arial"/>
          <w:color w:val="000000" w:themeColor="text1"/>
          <w:sz w:val="20"/>
          <w:szCs w:val="20"/>
        </w:rPr>
        <w:t>over 7 days</w:t>
      </w:r>
      <w:r w:rsidR="00125B10" w:rsidRPr="00465285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C84E64A" w14:textId="2B51B038" w:rsidR="00DB2C80" w:rsidRPr="00F34CD7" w:rsidRDefault="0047693F" w:rsidP="00F34CD7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4981545" w14:textId="77777777" w:rsidR="009C0C83" w:rsidRDefault="00DB2C80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894FF3A" wp14:editId="75BAFA9B">
            <wp:extent cx="5270500" cy="2009775"/>
            <wp:effectExtent l="0" t="0" r="63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D203" w14:textId="77777777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B241108" w14:textId="7542BCDB" w:rsidR="0047693F" w:rsidRPr="00043524" w:rsidRDefault="0047693F" w:rsidP="009C0C83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43524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Pr="008F51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 xml:space="preserve">Absorbance of MB at 664 nm after 5 h incubation with different concentrations of GSH. </w:t>
      </w:r>
      <w:r w:rsidR="007877D9">
        <w:rPr>
          <w:rFonts w:ascii="Arial" w:hAnsi="Arial" w:cs="Arial"/>
          <w:color w:val="000000" w:themeColor="text1"/>
          <w:sz w:val="20"/>
          <w:szCs w:val="20"/>
        </w:rPr>
        <w:t>(</w:t>
      </w:r>
      <w:r w:rsidR="007877D9">
        <w:rPr>
          <w:rFonts w:ascii="Arial" w:hAnsi="Arial" w:cs="Arial"/>
          <w:b/>
          <w:bCs/>
          <w:color w:val="000000" w:themeColor="text1"/>
          <w:sz w:val="20"/>
          <w:szCs w:val="20"/>
        </w:rPr>
        <w:t>A</w:t>
      </w:r>
      <w:r w:rsidR="007877D9" w:rsidRPr="007877D9">
        <w:rPr>
          <w:rFonts w:ascii="Arial" w:hAnsi="Arial" w:cs="Arial"/>
          <w:color w:val="000000" w:themeColor="text1"/>
          <w:sz w:val="20"/>
          <w:szCs w:val="20"/>
        </w:rPr>
        <w:t>)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 xml:space="preserve"> [GCMR] = 1 mg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>, [glucose] = 0 μg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7877D9" w:rsidRPr="007877D9">
        <w:rPr>
          <w:rFonts w:ascii="Arial" w:hAnsi="Arial" w:cs="Arial"/>
          <w:color w:val="000000" w:themeColor="text1"/>
          <w:sz w:val="20"/>
          <w:szCs w:val="20"/>
        </w:rPr>
        <w:t>(</w:t>
      </w:r>
      <w:r w:rsidR="007877D9">
        <w:rPr>
          <w:rFonts w:ascii="Arial" w:hAnsi="Arial" w:cs="Arial"/>
          <w:b/>
          <w:bCs/>
          <w:color w:val="000000" w:themeColor="text1"/>
          <w:sz w:val="20"/>
          <w:szCs w:val="20"/>
        </w:rPr>
        <w:t>B</w:t>
      </w:r>
      <w:r w:rsidR="007877D9" w:rsidRPr="007877D9">
        <w:rPr>
          <w:rFonts w:ascii="Arial" w:hAnsi="Arial" w:cs="Arial"/>
          <w:color w:val="000000" w:themeColor="text1"/>
          <w:sz w:val="20"/>
          <w:szCs w:val="20"/>
        </w:rPr>
        <w:t>)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 xml:space="preserve"> [GCMR] = 1 mg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>, [glucose] = 400 μg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</w:p>
    <w:p w14:paraId="261C7EB3" w14:textId="25268AF4" w:rsidR="006B43B9" w:rsidRDefault="006B43B9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1D01E82" w14:textId="09480AEA" w:rsidR="008B7307" w:rsidRDefault="008B7307" w:rsidP="008B7307">
      <w:pPr>
        <w:spacing w:line="480" w:lineRule="auto"/>
        <w:rPr>
          <w:rFonts w:ascii="Arial" w:eastAsia="等线" w:hAnsi="Arial" w:cs="Arial"/>
          <w:color w:val="000000"/>
          <w:kern w:val="0"/>
          <w:sz w:val="20"/>
          <w:szCs w:val="20"/>
        </w:rPr>
      </w:pPr>
      <w:r>
        <w:rPr>
          <w:rFonts w:ascii="Arial" w:eastAsia="等线" w:hAnsi="Arial" w:cs="Arial"/>
          <w:noProof/>
          <w:color w:val="000000"/>
          <w:kern w:val="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F80E400" wp14:editId="0EB7D45B">
            <wp:simplePos x="1397000" y="996950"/>
            <wp:positionH relativeFrom="margin">
              <wp:align>center</wp:align>
            </wp:positionH>
            <wp:positionV relativeFrom="margin">
              <wp:align>top</wp:align>
            </wp:positionV>
            <wp:extent cx="5276850" cy="24066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2F5C1D" w14:textId="792DBD07" w:rsidR="008B7307" w:rsidRDefault="008B7307" w:rsidP="008B7307">
      <w:pPr>
        <w:spacing w:line="480" w:lineRule="auto"/>
        <w:rPr>
          <w:rFonts w:ascii="Arial" w:eastAsia="等线" w:hAnsi="Arial" w:cs="Arial"/>
          <w:color w:val="000000"/>
          <w:kern w:val="0"/>
          <w:sz w:val="20"/>
          <w:szCs w:val="20"/>
        </w:rPr>
      </w:pPr>
      <w:r w:rsidRPr="00570A38">
        <w:rPr>
          <w:rFonts w:ascii="Arial" w:eastAsia="等线" w:hAnsi="Arial" w:cs="Arial" w:hint="eastAsia"/>
          <w:b/>
          <w:bCs/>
          <w:kern w:val="0"/>
          <w:sz w:val="20"/>
          <w:szCs w:val="20"/>
        </w:rPr>
        <w:t>F</w:t>
      </w:r>
      <w:r w:rsidRPr="00570A38">
        <w:rPr>
          <w:rFonts w:ascii="Arial" w:eastAsia="等线" w:hAnsi="Arial" w:cs="Arial"/>
          <w:b/>
          <w:bCs/>
          <w:kern w:val="0"/>
          <w:sz w:val="20"/>
          <w:szCs w:val="20"/>
        </w:rPr>
        <w:t>igure S</w:t>
      </w:r>
      <w:r w:rsidR="000C0AF1" w:rsidRPr="00570A38">
        <w:rPr>
          <w:rFonts w:ascii="Arial" w:eastAsia="等线" w:hAnsi="Arial" w:cs="Arial"/>
          <w:b/>
          <w:bCs/>
          <w:kern w:val="0"/>
          <w:sz w:val="20"/>
          <w:szCs w:val="20"/>
        </w:rPr>
        <w:t>5</w:t>
      </w:r>
      <w:r w:rsidRPr="00570A38">
        <w:rPr>
          <w:rFonts w:ascii="Arial" w:eastAsia="等线" w:hAnsi="Arial" w:cs="Arial"/>
          <w:kern w:val="0"/>
          <w:sz w:val="20"/>
          <w:szCs w:val="20"/>
        </w:rPr>
        <w:t xml:space="preserve"> The •OH 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generation ability of GCMR. </w:t>
      </w:r>
      <w:r>
        <w:rPr>
          <w:rFonts w:ascii="Arial" w:eastAsia="等线" w:hAnsi="Arial" w:cs="Arial" w:hint="eastAsia"/>
          <w:color w:val="000000"/>
          <w:kern w:val="0"/>
          <w:sz w:val="20"/>
          <w:szCs w:val="20"/>
        </w:rPr>
        <w:t>(</w:t>
      </w:r>
      <w:r w:rsidRPr="002B2B19">
        <w:rPr>
          <w:rFonts w:ascii="Arial" w:eastAsia="等线" w:hAnsi="Arial" w:cs="Arial"/>
          <w:b/>
          <w:bCs/>
          <w:color w:val="000000"/>
          <w:kern w:val="0"/>
          <w:sz w:val="20"/>
          <w:szCs w:val="20"/>
        </w:rPr>
        <w:t>A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) </w:t>
      </w:r>
      <w:r>
        <w:rPr>
          <w:rFonts w:ascii="Arial" w:eastAsia="等线" w:hAnsi="Arial" w:cs="Arial" w:hint="eastAsia"/>
          <w:color w:val="000000"/>
          <w:kern w:val="0"/>
          <w:sz w:val="20"/>
          <w:szCs w:val="20"/>
        </w:rPr>
        <w:t>H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PF (10</w:t>
      </w:r>
      <w:r w:rsidRPr="00073575">
        <w:rPr>
          <w:rFonts w:ascii="Arial" w:eastAsia="等线" w:hAnsi="Arial" w:cs="Arial"/>
          <w:color w:val="000000"/>
          <w:kern w:val="0"/>
          <w:sz w:val="20"/>
          <w:szCs w:val="20"/>
        </w:rPr>
        <w:t>μ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M) fluorescence response after 1h incubation in different reaction systems (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>[GCMR] = 1 mg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, [glucose] = 800 </w:t>
      </w:r>
      <w:r w:rsidRPr="00043524">
        <w:rPr>
          <w:rFonts w:ascii="Arial" w:hAnsi="Arial" w:cs="Arial"/>
          <w:color w:val="000000" w:themeColor="text1"/>
          <w:sz w:val="20"/>
          <w:szCs w:val="20"/>
        </w:rPr>
        <w:t>μg mL</w:t>
      </w:r>
      <w:r w:rsidRPr="00380AEA">
        <w:rPr>
          <w:rFonts w:ascii="Arial" w:hAnsi="Arial" w:cs="Arial"/>
          <w:color w:val="000000" w:themeColor="text1"/>
          <w:sz w:val="20"/>
          <w:szCs w:val="20"/>
          <w:vertAlign w:val="superscript"/>
        </w:rPr>
        <w:t>-1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). (</w:t>
      </w:r>
      <w:r w:rsidRPr="002B2B19">
        <w:rPr>
          <w:rFonts w:ascii="Arial" w:eastAsia="等线" w:hAnsi="Arial" w:cs="Arial"/>
          <w:b/>
          <w:bCs/>
          <w:color w:val="000000"/>
          <w:kern w:val="0"/>
          <w:sz w:val="20"/>
          <w:szCs w:val="20"/>
        </w:rPr>
        <w:t>B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) HPF (10</w:t>
      </w:r>
      <w:r w:rsidRPr="00073575">
        <w:rPr>
          <w:rFonts w:ascii="Arial" w:eastAsia="等线" w:hAnsi="Arial" w:cs="Arial"/>
          <w:color w:val="000000"/>
          <w:kern w:val="0"/>
          <w:sz w:val="20"/>
          <w:szCs w:val="20"/>
        </w:rPr>
        <w:t>μ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M) fluorescence response after 1h incubation with GCMR in the presence of GSH (12 mM), glucose (800 </w:t>
      </w:r>
      <w:r w:rsidRPr="00073575">
        <w:rPr>
          <w:rFonts w:ascii="Arial" w:eastAsia="等线" w:hAnsi="Arial" w:cs="Arial"/>
          <w:color w:val="000000"/>
          <w:kern w:val="0"/>
          <w:sz w:val="20"/>
          <w:szCs w:val="20"/>
        </w:rPr>
        <w:t>μg mL</w:t>
      </w:r>
      <w:r w:rsidRPr="00073575">
        <w:rPr>
          <w:rFonts w:ascii="Arial" w:eastAsia="等线" w:hAnsi="Arial" w:cs="Arial"/>
          <w:color w:val="000000"/>
          <w:kern w:val="0"/>
          <w:sz w:val="20"/>
          <w:szCs w:val="20"/>
          <w:vertAlign w:val="superscript"/>
        </w:rPr>
        <w:t>-1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) and various concentrations of thio</w:t>
      </w:r>
      <w:r w:rsidRPr="004B304D">
        <w:rPr>
          <w:rFonts w:ascii="Arial" w:eastAsia="等线" w:hAnsi="Arial" w:cs="Arial"/>
          <w:color w:val="000000"/>
          <w:kern w:val="0"/>
          <w:sz w:val="20"/>
          <w:szCs w:val="20"/>
        </w:rPr>
        <w:t>ur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ea (scavenger for </w:t>
      </w:r>
      <w:r w:rsidRPr="004B304D">
        <w:rPr>
          <w:rFonts w:ascii="Arial" w:eastAsia="等线" w:hAnsi="Arial" w:cs="Arial"/>
          <w:color w:val="000000"/>
          <w:kern w:val="0"/>
          <w:sz w:val="20"/>
          <w:szCs w:val="20"/>
        </w:rPr>
        <w:t>•OH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).</w:t>
      </w:r>
    </w:p>
    <w:p w14:paraId="52AD867C" w14:textId="4A797FCD" w:rsidR="008B7307" w:rsidRDefault="008B7307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E6D337C" w14:textId="77777777" w:rsidR="00132C2F" w:rsidRDefault="00132C2F" w:rsidP="00132C2F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064B1F50" wp14:editId="0AFCFBEF">
            <wp:extent cx="3200400" cy="22517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CF9DC" w14:textId="77777777" w:rsidR="00132C2F" w:rsidRDefault="00132C2F" w:rsidP="00132C2F">
      <w:pPr>
        <w:jc w:val="center"/>
        <w:rPr>
          <w:noProof/>
        </w:rPr>
      </w:pPr>
    </w:p>
    <w:p w14:paraId="6FEA3048" w14:textId="514F9638" w:rsidR="00132C2F" w:rsidRPr="00A0676F" w:rsidRDefault="00132C2F" w:rsidP="00132C2F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0676F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6</w:t>
      </w:r>
      <w:r w:rsidRPr="00A0676F">
        <w:rPr>
          <w:rFonts w:ascii="Arial" w:hAnsi="Arial" w:cs="Arial"/>
          <w:color w:val="000000" w:themeColor="text1"/>
          <w:sz w:val="20"/>
          <w:szCs w:val="20"/>
        </w:rPr>
        <w:t xml:space="preserve"> Standard curve of metformin according to the UV-vis absorption</w:t>
      </w:r>
      <w:r w:rsidR="003671C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228B324" w14:textId="29CDB44D" w:rsidR="003671CB" w:rsidRDefault="003671CB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38AA81E" w14:textId="77777777" w:rsidR="00132C2F" w:rsidRDefault="00132C2F">
      <w:pPr>
        <w:widowControl/>
        <w:jc w:val="left"/>
        <w:rPr>
          <w:noProof/>
        </w:rPr>
      </w:pPr>
    </w:p>
    <w:p w14:paraId="5C59FC5E" w14:textId="43584D42" w:rsidR="00132C2F" w:rsidRDefault="00132C2F" w:rsidP="00132C2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21FCCC" wp14:editId="4BEC1CD1">
            <wp:extent cx="3114040" cy="222567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C86D" w14:textId="77777777" w:rsidR="0012153F" w:rsidRDefault="0012153F" w:rsidP="00132C2F">
      <w:pPr>
        <w:jc w:val="center"/>
        <w:rPr>
          <w:noProof/>
        </w:rPr>
      </w:pPr>
    </w:p>
    <w:p w14:paraId="283ED7B2" w14:textId="441413FC" w:rsidR="008B45F4" w:rsidRDefault="00132C2F" w:rsidP="00560C48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5285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7</w:t>
      </w:r>
      <w:r w:rsidRPr="00465285">
        <w:rPr>
          <w:rFonts w:ascii="Arial" w:hAnsi="Arial" w:cs="Arial"/>
          <w:color w:val="000000" w:themeColor="text1"/>
          <w:sz w:val="20"/>
          <w:szCs w:val="20"/>
        </w:rPr>
        <w:t xml:space="preserve"> Metformin released from GCMMR NPs in PBS with different pH values (7.4 and 5.0) with or without GSH added.</w:t>
      </w:r>
    </w:p>
    <w:p w14:paraId="4C8160C1" w14:textId="15335315" w:rsidR="00AD2709" w:rsidRPr="00560C48" w:rsidRDefault="00AD2709" w:rsidP="00753374">
      <w:pPr>
        <w:widowControl/>
        <w:jc w:val="left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0DE58D47" w14:textId="6D0711B6" w:rsidR="008B45F4" w:rsidRDefault="008B45F4" w:rsidP="008B45F4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等线" w:hAnsi="Arial" w:cs="Arial"/>
          <w:noProof/>
          <w:color w:val="000000"/>
          <w:kern w:val="0"/>
          <w:sz w:val="20"/>
          <w:szCs w:val="20"/>
          <w:lang w:eastAsia="en-US"/>
        </w:rPr>
        <w:lastRenderedPageBreak/>
        <w:drawing>
          <wp:inline distT="0" distB="0" distL="0" distR="0" wp14:anchorId="7D57E9AD" wp14:editId="30AC9460">
            <wp:extent cx="5170589" cy="396000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8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5F17" w14:textId="77777777" w:rsidR="00753374" w:rsidRDefault="00753374" w:rsidP="008B45F4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A698674" w14:textId="447B2A57" w:rsidR="008B45F4" w:rsidRDefault="008B45F4" w:rsidP="008B45F4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214A8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8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 xml:space="preserve"> Cell viabilities of MNNG/HOS cells after 24 h incubation with GC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936BF">
        <w:rPr>
          <w:rFonts w:ascii="Arial" w:hAnsi="Arial" w:cs="Arial"/>
          <w:b/>
          <w:bCs/>
          <w:color w:val="000000" w:themeColor="text1"/>
          <w:sz w:val="20"/>
          <w:szCs w:val="20"/>
        </w:rPr>
        <w:t>A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>, GCM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936BF">
        <w:rPr>
          <w:rFonts w:ascii="Arial" w:hAnsi="Arial" w:cs="Arial"/>
          <w:b/>
          <w:bCs/>
          <w:color w:val="000000" w:themeColor="text1"/>
          <w:sz w:val="20"/>
          <w:szCs w:val="20"/>
        </w:rPr>
        <w:t>B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>, GCMR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936BF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 xml:space="preserve"> or GCMMR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Pr="002936BF">
        <w:rPr>
          <w:rFonts w:ascii="Arial" w:hAnsi="Arial" w:cs="Arial"/>
          <w:b/>
          <w:bCs/>
          <w:color w:val="000000" w:themeColor="text1"/>
          <w:sz w:val="20"/>
          <w:szCs w:val="20"/>
        </w:rPr>
        <w:t>D</w:t>
      </w:r>
      <w:r>
        <w:rPr>
          <w:rFonts w:ascii="Arial" w:hAnsi="Arial" w:cs="Arial"/>
          <w:color w:val="000000" w:themeColor="text1"/>
          <w:sz w:val="20"/>
          <w:szCs w:val="20"/>
        </w:rPr>
        <w:t>)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 xml:space="preserve"> at equivalent concentration of GC in DMEM containing various levels of glucose (0, 200, 400 and 800 </w:t>
      </w:r>
      <w:r w:rsidRPr="002214A8">
        <w:rPr>
          <w:rFonts w:ascii="Arial" w:hAnsi="Arial" w:cs="Arial"/>
          <w:color w:val="000000"/>
          <w:sz w:val="20"/>
          <w:szCs w:val="20"/>
        </w:rPr>
        <w:t>μg mL</w:t>
      </w:r>
      <w:r w:rsidRPr="002214A8">
        <w:rPr>
          <w:rFonts w:ascii="Arial" w:hAnsi="Arial" w:cs="Arial"/>
          <w:color w:val="000000"/>
          <w:sz w:val="20"/>
          <w:szCs w:val="20"/>
          <w:vertAlign w:val="superscript"/>
        </w:rPr>
        <w:t>-1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7DAC76E4" w14:textId="5769B1E8" w:rsidR="00753374" w:rsidRDefault="00753374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CDAFB75" w14:textId="77777777" w:rsidR="00132C2F" w:rsidRPr="008B45F4" w:rsidRDefault="00132C2F">
      <w:pPr>
        <w:widowControl/>
        <w:jc w:val="left"/>
        <w:rPr>
          <w:noProof/>
        </w:rPr>
      </w:pPr>
    </w:p>
    <w:p w14:paraId="3352FB2D" w14:textId="58A2F234" w:rsidR="002D163F" w:rsidRDefault="002D163F" w:rsidP="002D163F">
      <w:pPr>
        <w:autoSpaceDE w:val="0"/>
        <w:autoSpaceDN w:val="0"/>
        <w:adjustRightInd w:val="0"/>
        <w:jc w:val="center"/>
        <w:rPr>
          <w:rFonts w:ascii="Arial" w:eastAsia="等线" w:hAnsi="Arial" w:cs="Arial"/>
          <w:color w:val="000000"/>
          <w:kern w:val="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2B21D1AD" wp14:editId="4B75A1A1">
            <wp:extent cx="2911475" cy="198945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A4D4" w14:textId="77777777" w:rsidR="0053129A" w:rsidRDefault="0053129A" w:rsidP="002D163F">
      <w:pPr>
        <w:autoSpaceDE w:val="0"/>
        <w:autoSpaceDN w:val="0"/>
        <w:adjustRightInd w:val="0"/>
        <w:jc w:val="center"/>
        <w:rPr>
          <w:rFonts w:ascii="Arial" w:eastAsia="等线" w:hAnsi="Arial" w:cs="Arial"/>
          <w:color w:val="000000"/>
          <w:kern w:val="0"/>
          <w:sz w:val="20"/>
          <w:szCs w:val="20"/>
          <w:lang w:eastAsia="en-US"/>
        </w:rPr>
      </w:pPr>
    </w:p>
    <w:p w14:paraId="117AB296" w14:textId="1931C88E" w:rsidR="002D163F" w:rsidRPr="00253E00" w:rsidRDefault="002D163F" w:rsidP="002D163F">
      <w:pPr>
        <w:autoSpaceDE w:val="0"/>
        <w:autoSpaceDN w:val="0"/>
        <w:adjustRightInd w:val="0"/>
        <w:spacing w:line="480" w:lineRule="auto"/>
        <w:rPr>
          <w:rFonts w:ascii="Arial" w:eastAsia="等线" w:hAnsi="Arial" w:cs="Arial"/>
          <w:kern w:val="0"/>
          <w:sz w:val="20"/>
          <w:szCs w:val="20"/>
        </w:rPr>
      </w:pPr>
      <w:r w:rsidRPr="0053129A">
        <w:rPr>
          <w:rFonts w:ascii="Arial" w:eastAsia="等线" w:hAnsi="Arial" w:cs="Arial" w:hint="eastAsia"/>
          <w:b/>
          <w:bCs/>
          <w:kern w:val="0"/>
          <w:sz w:val="20"/>
          <w:szCs w:val="20"/>
        </w:rPr>
        <w:t>F</w:t>
      </w:r>
      <w:r w:rsidRPr="0053129A">
        <w:rPr>
          <w:rFonts w:ascii="Arial" w:eastAsia="等线" w:hAnsi="Arial" w:cs="Arial"/>
          <w:b/>
          <w:bCs/>
          <w:kern w:val="0"/>
          <w:sz w:val="20"/>
          <w:szCs w:val="20"/>
        </w:rPr>
        <w:t>igure S</w:t>
      </w:r>
      <w:r w:rsidR="008B45F4" w:rsidRPr="0053129A">
        <w:rPr>
          <w:rFonts w:ascii="Arial" w:eastAsia="等线" w:hAnsi="Arial" w:cs="Arial"/>
          <w:b/>
          <w:bCs/>
          <w:kern w:val="0"/>
          <w:sz w:val="20"/>
          <w:szCs w:val="20"/>
        </w:rPr>
        <w:t>9</w:t>
      </w:r>
      <w:r w:rsidRPr="0053129A">
        <w:rPr>
          <w:rFonts w:ascii="Arial" w:eastAsia="等线" w:hAnsi="Arial" w:cs="Arial"/>
          <w:kern w:val="0"/>
          <w:sz w:val="20"/>
          <w:szCs w:val="20"/>
        </w:rPr>
        <w:t xml:space="preserve"> Cell viability of </w:t>
      </w:r>
      <w:r w:rsidR="00253E00">
        <w:rPr>
          <w:rFonts w:ascii="Arial" w:eastAsia="等线" w:hAnsi="Arial" w:cs="Arial"/>
          <w:kern w:val="0"/>
          <w:sz w:val="20"/>
          <w:szCs w:val="20"/>
        </w:rPr>
        <w:t xml:space="preserve">human bone marrow stromal cells (hBMSCs) </w:t>
      </w:r>
      <w:r w:rsidRPr="0053129A">
        <w:rPr>
          <w:rFonts w:ascii="Arial" w:eastAsia="等线" w:hAnsi="Arial" w:cs="Arial"/>
          <w:kern w:val="0"/>
          <w:sz w:val="20"/>
          <w:szCs w:val="20"/>
        </w:rPr>
        <w:t xml:space="preserve">after incubation with GC, GCM or GCMR </w:t>
      </w:r>
      <w:r w:rsidR="00753374" w:rsidRPr="0053129A">
        <w:rPr>
          <w:rFonts w:ascii="Arial" w:eastAsia="等线" w:hAnsi="Arial" w:cs="Arial"/>
          <w:kern w:val="0"/>
          <w:sz w:val="20"/>
          <w:szCs w:val="20"/>
        </w:rPr>
        <w:t xml:space="preserve">at equivalent concentration of GC </w:t>
      </w:r>
      <w:r w:rsidRPr="0053129A">
        <w:rPr>
          <w:rFonts w:ascii="Arial" w:eastAsia="等线" w:hAnsi="Arial" w:cs="Arial"/>
          <w:kern w:val="0"/>
          <w:sz w:val="20"/>
          <w:szCs w:val="20"/>
        </w:rPr>
        <w:t>for 24 h in the presence of glu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cose (400 </w:t>
      </w:r>
      <w:r w:rsidRPr="003D27F5">
        <w:rPr>
          <w:rFonts w:ascii="Arial" w:eastAsia="等线" w:hAnsi="Arial" w:cs="Arial"/>
          <w:color w:val="000000"/>
          <w:kern w:val="0"/>
          <w:sz w:val="20"/>
          <w:szCs w:val="20"/>
        </w:rPr>
        <w:t>μg mL</w:t>
      </w:r>
      <w:r w:rsidRPr="003D27F5">
        <w:rPr>
          <w:rFonts w:ascii="Arial" w:eastAsia="等线" w:hAnsi="Arial" w:cs="Arial"/>
          <w:color w:val="000000"/>
          <w:kern w:val="0"/>
          <w:sz w:val="20"/>
          <w:szCs w:val="20"/>
          <w:vertAlign w:val="superscript"/>
        </w:rPr>
        <w:t>-1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)</w:t>
      </w:r>
    </w:p>
    <w:p w14:paraId="1A063F08" w14:textId="47ED79BE" w:rsidR="00753374" w:rsidRDefault="00753374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7C643760" w14:textId="77777777" w:rsidR="00DB2C80" w:rsidRDefault="00DB2C80" w:rsidP="00500D45">
      <w:pPr>
        <w:widowControl/>
        <w:jc w:val="left"/>
        <w:rPr>
          <w:noProof/>
        </w:rPr>
      </w:pPr>
    </w:p>
    <w:p w14:paraId="410AF00C" w14:textId="16DA0489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26CE0D73" wp14:editId="16DA4262">
            <wp:extent cx="3407410" cy="22948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B47E" w14:textId="77777777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437448E" w14:textId="219939CF" w:rsidR="004A6371" w:rsidRDefault="004A6371" w:rsidP="004A6371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2214A8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 w:rsidR="00A817C0">
        <w:rPr>
          <w:rFonts w:ascii="Arial" w:hAnsi="Arial" w:cs="Arial"/>
          <w:b/>
          <w:bCs/>
          <w:color w:val="000000" w:themeColor="text1"/>
          <w:sz w:val="20"/>
          <w:szCs w:val="20"/>
        </w:rPr>
        <w:t>10</w:t>
      </w:r>
      <w:r w:rsidRPr="002214A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D7018">
        <w:rPr>
          <w:rFonts w:ascii="Arial" w:hAnsi="Arial" w:cs="Arial"/>
          <w:color w:val="000000"/>
          <w:sz w:val="20"/>
          <w:szCs w:val="20"/>
        </w:rPr>
        <w:t xml:space="preserve">Mitochondrial complex I activity of MNNG/HOS cells after 6 h </w:t>
      </w:r>
      <w:r w:rsidR="00176CE8">
        <w:rPr>
          <w:rFonts w:ascii="Arial" w:hAnsi="Arial" w:cs="Arial"/>
          <w:color w:val="000000"/>
          <w:sz w:val="20"/>
          <w:szCs w:val="20"/>
        </w:rPr>
        <w:t>incubation</w:t>
      </w:r>
      <w:r w:rsidRPr="002D7018">
        <w:rPr>
          <w:rFonts w:ascii="Arial" w:hAnsi="Arial" w:cs="Arial"/>
          <w:color w:val="000000"/>
          <w:sz w:val="20"/>
          <w:szCs w:val="20"/>
        </w:rPr>
        <w:t xml:space="preserve"> with PBS, MET, GCMR and GCMMR NPs.</w:t>
      </w:r>
    </w:p>
    <w:p w14:paraId="00EE4B39" w14:textId="50C87889" w:rsidR="00E033BE" w:rsidRDefault="00E033BE">
      <w:pPr>
        <w:widowControl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14:paraId="35C50DC4" w14:textId="77777777" w:rsidR="00E033BE" w:rsidRDefault="00E033BE" w:rsidP="004A6371">
      <w:pPr>
        <w:spacing w:line="480" w:lineRule="auto"/>
        <w:rPr>
          <w:rFonts w:ascii="Arial" w:hAnsi="Arial" w:cs="Arial"/>
          <w:color w:val="000000"/>
          <w:sz w:val="20"/>
          <w:szCs w:val="20"/>
        </w:rPr>
      </w:pPr>
    </w:p>
    <w:p w14:paraId="39B9EBBE" w14:textId="77777777" w:rsidR="00A817C0" w:rsidRDefault="00A817C0" w:rsidP="00A817C0">
      <w:pPr>
        <w:spacing w:line="480" w:lineRule="auto"/>
        <w:ind w:firstLineChars="200" w:firstLine="400"/>
        <w:jc w:val="center"/>
      </w:pPr>
      <w:r>
        <w:rPr>
          <w:rFonts w:ascii="Arial" w:eastAsia="等线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39CBDC7A" wp14:editId="5CD5FA01">
            <wp:extent cx="2948305" cy="1967865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59923" w14:textId="77777777" w:rsidR="00A817C0" w:rsidRDefault="00A817C0" w:rsidP="00A817C0">
      <w:pPr>
        <w:spacing w:line="480" w:lineRule="auto"/>
        <w:ind w:firstLineChars="200" w:firstLine="420"/>
        <w:jc w:val="center"/>
      </w:pPr>
    </w:p>
    <w:p w14:paraId="09E88EC6" w14:textId="3800974A" w:rsidR="00A817C0" w:rsidRPr="00253E00" w:rsidRDefault="00A817C0" w:rsidP="00253E00">
      <w:pPr>
        <w:autoSpaceDE w:val="0"/>
        <w:autoSpaceDN w:val="0"/>
        <w:adjustRightInd w:val="0"/>
        <w:spacing w:line="480" w:lineRule="auto"/>
        <w:rPr>
          <w:rFonts w:ascii="Arial" w:hAnsi="Arial" w:cs="Arial"/>
          <w:sz w:val="20"/>
          <w:szCs w:val="20"/>
        </w:rPr>
      </w:pPr>
      <w:r w:rsidRPr="00074DFF">
        <w:rPr>
          <w:rFonts w:ascii="Arial" w:hAnsi="Arial" w:cs="Arial"/>
          <w:b/>
          <w:bCs/>
          <w:sz w:val="20"/>
          <w:szCs w:val="20"/>
        </w:rPr>
        <w:t>Figure S11</w:t>
      </w:r>
      <w:r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 w:hint="eastAsia"/>
          <w:sz w:val="20"/>
          <w:szCs w:val="20"/>
        </w:rPr>
        <w:t>ell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viabilities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of</w:t>
      </w:r>
      <w:r>
        <w:rPr>
          <w:rFonts w:ascii="Arial" w:hAnsi="Arial" w:cs="Arial"/>
          <w:sz w:val="20"/>
          <w:szCs w:val="20"/>
        </w:rPr>
        <w:t xml:space="preserve"> </w:t>
      </w:r>
      <w:r w:rsidR="008179BB">
        <w:rPr>
          <w:rFonts w:ascii="Arial" w:hAnsi="Arial" w:cs="Arial"/>
          <w:sz w:val="20"/>
          <w:szCs w:val="20"/>
        </w:rPr>
        <w:t>human bone marrow stromal cells (</w:t>
      </w:r>
      <w:r>
        <w:rPr>
          <w:rFonts w:ascii="Arial" w:hAnsi="Arial" w:cs="Arial"/>
          <w:sz w:val="20"/>
          <w:szCs w:val="20"/>
        </w:rPr>
        <w:t>hBMSC</w:t>
      </w:r>
      <w:r>
        <w:rPr>
          <w:rFonts w:ascii="Arial" w:hAnsi="Arial" w:cs="Arial" w:hint="eastAsia"/>
          <w:sz w:val="20"/>
          <w:szCs w:val="20"/>
        </w:rPr>
        <w:t>s</w:t>
      </w:r>
      <w:r w:rsidR="008179BB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 w:hint="eastAsia"/>
          <w:sz w:val="20"/>
          <w:szCs w:val="20"/>
        </w:rPr>
        <w:t>after</w:t>
      </w:r>
      <w:r>
        <w:rPr>
          <w:rFonts w:ascii="Arial" w:hAnsi="Arial" w:cs="Arial"/>
          <w:sz w:val="20"/>
          <w:szCs w:val="20"/>
        </w:rPr>
        <w:t xml:space="preserve"> 24 h incubation with different concentrations of GCMMR</w:t>
      </w:r>
      <w:r w:rsidR="00C63C98">
        <w:rPr>
          <w:rFonts w:ascii="Arial" w:hAnsi="Arial" w:cs="Arial"/>
          <w:sz w:val="20"/>
          <w:szCs w:val="20"/>
        </w:rPr>
        <w:t xml:space="preserve"> (</w:t>
      </w:r>
      <w:r w:rsidR="00C63C98" w:rsidRPr="0053129A">
        <w:rPr>
          <w:rFonts w:ascii="Arial" w:eastAsia="等线" w:hAnsi="Arial" w:cs="Arial"/>
          <w:kern w:val="0"/>
          <w:sz w:val="20"/>
          <w:szCs w:val="20"/>
        </w:rPr>
        <w:t>at equivalent concentration of GC</w:t>
      </w:r>
      <w:r w:rsidR="00C63C98">
        <w:rPr>
          <w:rFonts w:ascii="Arial" w:hAnsi="Arial" w:cs="Arial"/>
          <w:sz w:val="20"/>
          <w:szCs w:val="20"/>
        </w:rPr>
        <w:t>).</w:t>
      </w:r>
    </w:p>
    <w:p w14:paraId="31C0188C" w14:textId="1C4680B2" w:rsidR="009C0C83" w:rsidRDefault="00B0692D" w:rsidP="001E1D2B">
      <w:pPr>
        <w:widowControl/>
        <w:jc w:val="left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br w:type="page"/>
      </w:r>
    </w:p>
    <w:p w14:paraId="6C27ABF8" w14:textId="646844A5" w:rsidR="001E1D2B" w:rsidRDefault="001E1D2B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 w:hint="eastAsia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06534C1" wp14:editId="2948AED7">
            <wp:extent cx="3432175" cy="23990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A67F" w14:textId="77777777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D62E807" w14:textId="6E24D278" w:rsidR="005316C6" w:rsidRPr="004A6371" w:rsidRDefault="005316C6" w:rsidP="005316C6">
      <w:pPr>
        <w:spacing w:line="480" w:lineRule="auto"/>
        <w:rPr>
          <w:rFonts w:cs="Arial"/>
          <w:color w:val="000000"/>
          <w:szCs w:val="20"/>
          <w:lang w:eastAsia="en-US"/>
        </w:rPr>
      </w:pPr>
      <w:r w:rsidRPr="008E27DD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 w:rsidR="00B276F6">
        <w:rPr>
          <w:rFonts w:ascii="Arial" w:hAnsi="Arial" w:cs="Arial"/>
          <w:b/>
          <w:bCs/>
          <w:color w:val="000000" w:themeColor="text1"/>
          <w:sz w:val="20"/>
          <w:szCs w:val="20"/>
        </w:rPr>
        <w:t>12</w:t>
      </w:r>
      <w:r w:rsidRPr="008E27D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27DD" w:rsidRPr="008E27DD">
        <w:rPr>
          <w:rFonts w:ascii="Arial" w:hAnsi="Arial" w:cs="Arial"/>
          <w:color w:val="000000"/>
          <w:sz w:val="20"/>
          <w:szCs w:val="20"/>
        </w:rPr>
        <w:t>Hemolysis analysis of GCMMR NPs.</w:t>
      </w:r>
    </w:p>
    <w:p w14:paraId="330218DD" w14:textId="2E8FA5F1" w:rsidR="009F00D5" w:rsidRPr="009F00D5" w:rsidRDefault="002A1528" w:rsidP="009F00D5">
      <w:pPr>
        <w:widowControl/>
        <w:jc w:val="left"/>
      </w:pPr>
      <w:r>
        <w:br w:type="page"/>
      </w:r>
    </w:p>
    <w:p w14:paraId="4244256E" w14:textId="7F9FEA5F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9851F00" wp14:editId="34EF417D">
            <wp:extent cx="5270500" cy="3390265"/>
            <wp:effectExtent l="0" t="0" r="635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D983" w14:textId="77777777" w:rsidR="009C0C83" w:rsidRDefault="009C0C83" w:rsidP="009C0C83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61D46E4" w14:textId="76AB0738" w:rsidR="00B71147" w:rsidRPr="0084513E" w:rsidRDefault="00B71147" w:rsidP="006B236D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84513E">
        <w:rPr>
          <w:rFonts w:ascii="Arial" w:hAnsi="Arial" w:cs="Arial"/>
          <w:b/>
          <w:bCs/>
          <w:color w:val="000000" w:themeColor="text1"/>
          <w:sz w:val="20"/>
          <w:szCs w:val="20"/>
        </w:rPr>
        <w:t>Figure S</w:t>
      </w:r>
      <w:r w:rsidR="00B13506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  <w:r w:rsidR="00B276F6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  <w:r w:rsidRPr="0084513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C67E8" w:rsidRPr="0084513E">
        <w:rPr>
          <w:rFonts w:ascii="Arial" w:hAnsi="Arial" w:cs="Arial"/>
          <w:color w:val="000000" w:themeColor="text1"/>
          <w:sz w:val="20"/>
          <w:szCs w:val="20"/>
        </w:rPr>
        <w:t xml:space="preserve">Biosafety evaluation </w:t>
      </w:r>
      <w:r w:rsidR="007D1684" w:rsidRPr="0084513E">
        <w:rPr>
          <w:rFonts w:ascii="Arial" w:hAnsi="Arial" w:cs="Arial"/>
          <w:color w:val="000000" w:themeColor="text1"/>
          <w:sz w:val="20"/>
          <w:szCs w:val="20"/>
        </w:rPr>
        <w:t>by biochemical indexes of the healthy mice as control (</w:t>
      </w:r>
      <w:r w:rsidR="005D3EE7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A</w:t>
      </w:r>
      <w:r w:rsidR="007D1684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, </w:t>
      </w:r>
      <w:r w:rsidR="005D3EE7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B</w:t>
      </w:r>
      <w:r w:rsidR="007D1684" w:rsidRPr="0084513E">
        <w:rPr>
          <w:rFonts w:ascii="Arial" w:hAnsi="Arial" w:cs="Arial"/>
          <w:color w:val="000000" w:themeColor="text1"/>
          <w:sz w:val="20"/>
          <w:szCs w:val="20"/>
        </w:rPr>
        <w:t xml:space="preserve">) and the mice </w:t>
      </w:r>
      <w:r w:rsidR="003F5E36" w:rsidRPr="0084513E">
        <w:rPr>
          <w:rFonts w:ascii="Arial" w:hAnsi="Arial" w:cs="Arial"/>
          <w:color w:val="000000" w:themeColor="text1"/>
          <w:sz w:val="20"/>
          <w:szCs w:val="20"/>
        </w:rPr>
        <w:t>after treatment of GCMMR (</w:t>
      </w:r>
      <w:r w:rsidR="005D3EE7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C</w:t>
      </w:r>
      <w:r w:rsidR="003F5E36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>,</w:t>
      </w:r>
      <w:r w:rsidR="005D3EE7" w:rsidRPr="005D3EE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D</w:t>
      </w:r>
      <w:r w:rsidR="003F5E36" w:rsidRPr="0084513E">
        <w:rPr>
          <w:rFonts w:ascii="Arial" w:hAnsi="Arial" w:cs="Arial"/>
          <w:color w:val="000000" w:themeColor="text1"/>
          <w:sz w:val="20"/>
          <w:szCs w:val="20"/>
        </w:rPr>
        <w:t xml:space="preserve">). The aminotransferase (ALT) and aminotransferase (AST) </w:t>
      </w:r>
      <w:r w:rsidR="001937AB" w:rsidRPr="0084513E">
        <w:rPr>
          <w:rFonts w:ascii="Arial" w:hAnsi="Arial" w:cs="Arial"/>
          <w:color w:val="000000" w:themeColor="text1"/>
          <w:sz w:val="20"/>
          <w:szCs w:val="20"/>
        </w:rPr>
        <w:t>reflect</w:t>
      </w:r>
      <w:r w:rsidR="003F5E36" w:rsidRPr="0084513E">
        <w:rPr>
          <w:rFonts w:ascii="Arial" w:hAnsi="Arial" w:cs="Arial"/>
          <w:color w:val="000000" w:themeColor="text1"/>
          <w:sz w:val="20"/>
          <w:szCs w:val="20"/>
        </w:rPr>
        <w:t xml:space="preserve"> the liver function of the mice. The blood urea nitrogen (BUN) and creatinine (CREA) reflect the kidney function of the mice.</w:t>
      </w:r>
    </w:p>
    <w:p w14:paraId="46BA99DB" w14:textId="5D1DDAC0" w:rsidR="00215005" w:rsidRDefault="00215005" w:rsidP="002559C3"/>
    <w:p w14:paraId="01E34E62" w14:textId="7A09B574" w:rsidR="002559C3" w:rsidRDefault="002559C3">
      <w:pPr>
        <w:widowControl/>
        <w:jc w:val="left"/>
      </w:pPr>
      <w:r>
        <w:br w:type="page"/>
      </w:r>
    </w:p>
    <w:p w14:paraId="618318C7" w14:textId="138EA205" w:rsidR="00B71147" w:rsidRPr="00B71147" w:rsidRDefault="009C0C83" w:rsidP="009C0C83">
      <w:pPr>
        <w:jc w:val="center"/>
      </w:pPr>
      <w:r>
        <w:rPr>
          <w:noProof/>
        </w:rPr>
        <w:lastRenderedPageBreak/>
        <w:drawing>
          <wp:inline distT="0" distB="0" distL="0" distR="0" wp14:anchorId="1F1113F7" wp14:editId="685B59BD">
            <wp:extent cx="5270500" cy="2837815"/>
            <wp:effectExtent l="0" t="0" r="635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7FC6" w14:textId="25A5F1C1" w:rsidR="0006789F" w:rsidRDefault="0006789F" w:rsidP="00B71147">
      <w:pPr>
        <w:jc w:val="center"/>
      </w:pPr>
    </w:p>
    <w:p w14:paraId="79039B12" w14:textId="6652198C" w:rsidR="00B71147" w:rsidRPr="00CE5A8E" w:rsidRDefault="00B71147" w:rsidP="00B71147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E5A8E">
        <w:rPr>
          <w:rFonts w:ascii="Arial" w:hAnsi="Arial" w:cs="Arial"/>
          <w:b/>
          <w:bCs/>
          <w:color w:val="000000" w:themeColor="text1"/>
          <w:sz w:val="20"/>
          <w:szCs w:val="20"/>
        </w:rPr>
        <w:t>Figure S1</w:t>
      </w:r>
      <w:r w:rsidR="00B276F6">
        <w:rPr>
          <w:rFonts w:ascii="Arial" w:hAnsi="Arial" w:cs="Arial"/>
          <w:b/>
          <w:bCs/>
          <w:color w:val="000000" w:themeColor="text1"/>
          <w:sz w:val="20"/>
          <w:szCs w:val="20"/>
        </w:rPr>
        <w:t>4</w:t>
      </w:r>
      <w:r w:rsidRPr="00CE5A8E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6156D" w:rsidRPr="00CE5A8E">
        <w:rPr>
          <w:rFonts w:ascii="Arial" w:hAnsi="Arial" w:cs="Arial"/>
          <w:color w:val="000000" w:themeColor="text1"/>
          <w:sz w:val="20"/>
          <w:szCs w:val="20"/>
        </w:rPr>
        <w:t>H</w:t>
      </w:r>
      <w:r w:rsidR="002E5392" w:rsidRPr="004D3AD1">
        <w:rPr>
          <w:rFonts w:ascii="Arial" w:hAnsi="Arial" w:cs="Arial"/>
          <w:spacing w:val="-1"/>
          <w:sz w:val="20"/>
          <w:szCs w:val="20"/>
        </w:rPr>
        <w:t>&amp;</w:t>
      </w:r>
      <w:r w:rsidR="0016156D" w:rsidRPr="00CE5A8E">
        <w:rPr>
          <w:rFonts w:ascii="Arial" w:hAnsi="Arial" w:cs="Arial"/>
          <w:color w:val="000000" w:themeColor="text1"/>
          <w:sz w:val="20"/>
          <w:szCs w:val="20"/>
        </w:rPr>
        <w:t>E staining images of dissected major organs (heart, liver, spleen, lung, kidney) of MNNG/HOS tumor-bearing mice after corresponding treatments.</w:t>
      </w:r>
    </w:p>
    <w:p w14:paraId="19CD6E0D" w14:textId="187C1363" w:rsidR="00B71147" w:rsidRPr="00B71147" w:rsidRDefault="00B71147" w:rsidP="00B71147">
      <w:pPr>
        <w:jc w:val="center"/>
      </w:pPr>
    </w:p>
    <w:sectPr w:rsidR="00B71147" w:rsidRPr="00B711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14E85" w14:textId="77777777" w:rsidR="00EC24BC" w:rsidRDefault="00EC24BC" w:rsidP="0006789F">
      <w:r>
        <w:separator/>
      </w:r>
    </w:p>
  </w:endnote>
  <w:endnote w:type="continuationSeparator" w:id="0">
    <w:p w14:paraId="4E85291A" w14:textId="77777777" w:rsidR="00EC24BC" w:rsidRDefault="00EC24BC" w:rsidP="00067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D74E3" w14:textId="77777777" w:rsidR="00EC24BC" w:rsidRDefault="00EC24BC" w:rsidP="0006789F">
      <w:r>
        <w:separator/>
      </w:r>
    </w:p>
  </w:footnote>
  <w:footnote w:type="continuationSeparator" w:id="0">
    <w:p w14:paraId="2FDF1486" w14:textId="77777777" w:rsidR="00EC24BC" w:rsidRDefault="00EC24BC" w:rsidP="000678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E8"/>
    <w:rsid w:val="00004B8C"/>
    <w:rsid w:val="00013454"/>
    <w:rsid w:val="000216F6"/>
    <w:rsid w:val="000217F5"/>
    <w:rsid w:val="0003310B"/>
    <w:rsid w:val="0003662F"/>
    <w:rsid w:val="00043524"/>
    <w:rsid w:val="000458CD"/>
    <w:rsid w:val="00060643"/>
    <w:rsid w:val="0006789F"/>
    <w:rsid w:val="00074DFF"/>
    <w:rsid w:val="000A6006"/>
    <w:rsid w:val="000C0AF1"/>
    <w:rsid w:val="000C1DCF"/>
    <w:rsid w:val="000D6E59"/>
    <w:rsid w:val="000E68FC"/>
    <w:rsid w:val="000F77E8"/>
    <w:rsid w:val="00110AD6"/>
    <w:rsid w:val="00115BC7"/>
    <w:rsid w:val="0012153F"/>
    <w:rsid w:val="00124445"/>
    <w:rsid w:val="00124849"/>
    <w:rsid w:val="00125B10"/>
    <w:rsid w:val="00126C3B"/>
    <w:rsid w:val="00132C2F"/>
    <w:rsid w:val="001431A5"/>
    <w:rsid w:val="00150A47"/>
    <w:rsid w:val="0015368B"/>
    <w:rsid w:val="0016156D"/>
    <w:rsid w:val="00163181"/>
    <w:rsid w:val="00176CE8"/>
    <w:rsid w:val="001937AB"/>
    <w:rsid w:val="001A255B"/>
    <w:rsid w:val="001E1D2B"/>
    <w:rsid w:val="001E6FA8"/>
    <w:rsid w:val="002119D0"/>
    <w:rsid w:val="00215005"/>
    <w:rsid w:val="002158F6"/>
    <w:rsid w:val="002214A8"/>
    <w:rsid w:val="00225C13"/>
    <w:rsid w:val="00236893"/>
    <w:rsid w:val="00253E00"/>
    <w:rsid w:val="002559C3"/>
    <w:rsid w:val="002569F0"/>
    <w:rsid w:val="00272246"/>
    <w:rsid w:val="00274569"/>
    <w:rsid w:val="002936BF"/>
    <w:rsid w:val="002A1528"/>
    <w:rsid w:val="002B3289"/>
    <w:rsid w:val="002C67E8"/>
    <w:rsid w:val="002D163F"/>
    <w:rsid w:val="002D2E6A"/>
    <w:rsid w:val="002D2E7F"/>
    <w:rsid w:val="002D5ED1"/>
    <w:rsid w:val="002D7EB5"/>
    <w:rsid w:val="002E5392"/>
    <w:rsid w:val="00302C0E"/>
    <w:rsid w:val="0031387E"/>
    <w:rsid w:val="00331EB4"/>
    <w:rsid w:val="00334010"/>
    <w:rsid w:val="003504B5"/>
    <w:rsid w:val="00351170"/>
    <w:rsid w:val="00363551"/>
    <w:rsid w:val="003644A2"/>
    <w:rsid w:val="003671CB"/>
    <w:rsid w:val="00380AEA"/>
    <w:rsid w:val="00392C00"/>
    <w:rsid w:val="003B1633"/>
    <w:rsid w:val="003B42EE"/>
    <w:rsid w:val="003E6C4B"/>
    <w:rsid w:val="003F224B"/>
    <w:rsid w:val="003F5E36"/>
    <w:rsid w:val="00402B0D"/>
    <w:rsid w:val="00425032"/>
    <w:rsid w:val="004409A5"/>
    <w:rsid w:val="00441683"/>
    <w:rsid w:val="00462910"/>
    <w:rsid w:val="00465285"/>
    <w:rsid w:val="004658C5"/>
    <w:rsid w:val="0047693F"/>
    <w:rsid w:val="004A6371"/>
    <w:rsid w:val="004E5DA3"/>
    <w:rsid w:val="00500D45"/>
    <w:rsid w:val="00507835"/>
    <w:rsid w:val="00511DBA"/>
    <w:rsid w:val="0051727F"/>
    <w:rsid w:val="00525918"/>
    <w:rsid w:val="00527890"/>
    <w:rsid w:val="0053129A"/>
    <w:rsid w:val="005316C6"/>
    <w:rsid w:val="005343D1"/>
    <w:rsid w:val="0054690A"/>
    <w:rsid w:val="00555FFA"/>
    <w:rsid w:val="00560C48"/>
    <w:rsid w:val="005668B9"/>
    <w:rsid w:val="00570A38"/>
    <w:rsid w:val="00576EF9"/>
    <w:rsid w:val="005776C4"/>
    <w:rsid w:val="005801F9"/>
    <w:rsid w:val="005D3EE7"/>
    <w:rsid w:val="005E6511"/>
    <w:rsid w:val="00604AF9"/>
    <w:rsid w:val="00635925"/>
    <w:rsid w:val="0065614A"/>
    <w:rsid w:val="00663231"/>
    <w:rsid w:val="00681299"/>
    <w:rsid w:val="00696901"/>
    <w:rsid w:val="00696E5A"/>
    <w:rsid w:val="006A23D7"/>
    <w:rsid w:val="006A74D8"/>
    <w:rsid w:val="006B236D"/>
    <w:rsid w:val="006B43B9"/>
    <w:rsid w:val="006D4228"/>
    <w:rsid w:val="006E6BD8"/>
    <w:rsid w:val="00715821"/>
    <w:rsid w:val="00722D49"/>
    <w:rsid w:val="007427CC"/>
    <w:rsid w:val="00744993"/>
    <w:rsid w:val="00750150"/>
    <w:rsid w:val="00753374"/>
    <w:rsid w:val="00755614"/>
    <w:rsid w:val="007626A3"/>
    <w:rsid w:val="00765BB6"/>
    <w:rsid w:val="007723E4"/>
    <w:rsid w:val="00780A53"/>
    <w:rsid w:val="007877D9"/>
    <w:rsid w:val="00791D49"/>
    <w:rsid w:val="00794D84"/>
    <w:rsid w:val="007957BE"/>
    <w:rsid w:val="007B2C62"/>
    <w:rsid w:val="007B73E8"/>
    <w:rsid w:val="007C1F7E"/>
    <w:rsid w:val="007D1684"/>
    <w:rsid w:val="007D5FB7"/>
    <w:rsid w:val="007D7B04"/>
    <w:rsid w:val="00805304"/>
    <w:rsid w:val="00812036"/>
    <w:rsid w:val="008179BB"/>
    <w:rsid w:val="008375A7"/>
    <w:rsid w:val="0084513E"/>
    <w:rsid w:val="00866CFE"/>
    <w:rsid w:val="0087171E"/>
    <w:rsid w:val="00885987"/>
    <w:rsid w:val="008B2BD4"/>
    <w:rsid w:val="008B3695"/>
    <w:rsid w:val="008B45F4"/>
    <w:rsid w:val="008B7307"/>
    <w:rsid w:val="008D2BEC"/>
    <w:rsid w:val="008E27DD"/>
    <w:rsid w:val="008F25CF"/>
    <w:rsid w:val="008F51F5"/>
    <w:rsid w:val="00905E92"/>
    <w:rsid w:val="0091348F"/>
    <w:rsid w:val="0091705E"/>
    <w:rsid w:val="00931CAA"/>
    <w:rsid w:val="00933849"/>
    <w:rsid w:val="009722AF"/>
    <w:rsid w:val="00972F77"/>
    <w:rsid w:val="009B57E4"/>
    <w:rsid w:val="009C0C83"/>
    <w:rsid w:val="009D1795"/>
    <w:rsid w:val="009E0092"/>
    <w:rsid w:val="009F00D5"/>
    <w:rsid w:val="009F0AD2"/>
    <w:rsid w:val="00A0676F"/>
    <w:rsid w:val="00A17D34"/>
    <w:rsid w:val="00A26E5E"/>
    <w:rsid w:val="00A34F7D"/>
    <w:rsid w:val="00A613C4"/>
    <w:rsid w:val="00A817C0"/>
    <w:rsid w:val="00A92EFE"/>
    <w:rsid w:val="00A96958"/>
    <w:rsid w:val="00AB119C"/>
    <w:rsid w:val="00AB3040"/>
    <w:rsid w:val="00AB652F"/>
    <w:rsid w:val="00AC406B"/>
    <w:rsid w:val="00AC40CF"/>
    <w:rsid w:val="00AD2709"/>
    <w:rsid w:val="00AD717B"/>
    <w:rsid w:val="00AF1730"/>
    <w:rsid w:val="00B045AA"/>
    <w:rsid w:val="00B0692D"/>
    <w:rsid w:val="00B13506"/>
    <w:rsid w:val="00B276F6"/>
    <w:rsid w:val="00B46140"/>
    <w:rsid w:val="00B71147"/>
    <w:rsid w:val="00BA4AD3"/>
    <w:rsid w:val="00BB4EC2"/>
    <w:rsid w:val="00BF7F5E"/>
    <w:rsid w:val="00C17DE9"/>
    <w:rsid w:val="00C237FA"/>
    <w:rsid w:val="00C24A95"/>
    <w:rsid w:val="00C444B7"/>
    <w:rsid w:val="00C46187"/>
    <w:rsid w:val="00C56BBF"/>
    <w:rsid w:val="00C63C98"/>
    <w:rsid w:val="00C65F2E"/>
    <w:rsid w:val="00C67E62"/>
    <w:rsid w:val="00C7348C"/>
    <w:rsid w:val="00C81BA4"/>
    <w:rsid w:val="00C956D2"/>
    <w:rsid w:val="00CA4CD4"/>
    <w:rsid w:val="00CC757D"/>
    <w:rsid w:val="00CE5A8E"/>
    <w:rsid w:val="00CF115C"/>
    <w:rsid w:val="00CF484D"/>
    <w:rsid w:val="00CF663B"/>
    <w:rsid w:val="00D06B8D"/>
    <w:rsid w:val="00D33936"/>
    <w:rsid w:val="00D45218"/>
    <w:rsid w:val="00D47E5D"/>
    <w:rsid w:val="00D63D11"/>
    <w:rsid w:val="00D65C0F"/>
    <w:rsid w:val="00D962A4"/>
    <w:rsid w:val="00DB2C80"/>
    <w:rsid w:val="00DF5AB3"/>
    <w:rsid w:val="00E033BE"/>
    <w:rsid w:val="00E83B60"/>
    <w:rsid w:val="00E912F1"/>
    <w:rsid w:val="00EA2D1D"/>
    <w:rsid w:val="00EB0EA0"/>
    <w:rsid w:val="00EC1E8B"/>
    <w:rsid w:val="00EC24BC"/>
    <w:rsid w:val="00EC2827"/>
    <w:rsid w:val="00EC539A"/>
    <w:rsid w:val="00EC76C0"/>
    <w:rsid w:val="00F34CD7"/>
    <w:rsid w:val="00F372BE"/>
    <w:rsid w:val="00F742D0"/>
    <w:rsid w:val="00F7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E88F4B"/>
  <w15:chartTrackingRefBased/>
  <w15:docId w15:val="{D5C5D475-220C-44D5-9F2D-0BB5C1D1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933849"/>
    <w:pPr>
      <w:keepNext/>
      <w:widowControl/>
      <w:spacing w:before="240" w:after="60" w:line="480" w:lineRule="auto"/>
      <w:jc w:val="left"/>
      <w:outlineLvl w:val="0"/>
    </w:pPr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78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78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78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789F"/>
    <w:rPr>
      <w:sz w:val="18"/>
      <w:szCs w:val="18"/>
    </w:rPr>
  </w:style>
  <w:style w:type="character" w:customStyle="1" w:styleId="10">
    <w:name w:val="标题 1 字符"/>
    <w:basedOn w:val="a0"/>
    <w:link w:val="1"/>
    <w:rsid w:val="00933849"/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styleId="a7">
    <w:name w:val="Hyperlink"/>
    <w:rsid w:val="007723E4"/>
    <w:rPr>
      <w:color w:val="0000FF"/>
      <w:u w:val="single"/>
    </w:rPr>
  </w:style>
  <w:style w:type="table" w:styleId="a8">
    <w:name w:val="Table Grid"/>
    <w:basedOn w:val="a1"/>
    <w:uiPriority w:val="39"/>
    <w:rsid w:val="00A92E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16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祎然</dc:creator>
  <cp:keywords/>
  <dc:description/>
  <cp:lastModifiedBy>张 祎然</cp:lastModifiedBy>
  <cp:revision>176</cp:revision>
  <dcterms:created xsi:type="dcterms:W3CDTF">2022-05-05T01:20:00Z</dcterms:created>
  <dcterms:modified xsi:type="dcterms:W3CDTF">2022-10-18T03:32:00Z</dcterms:modified>
</cp:coreProperties>
</file>