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AFA6A" w14:textId="5D44169D" w:rsidR="005B6ED2" w:rsidRDefault="005022CA">
      <w:r>
        <w:rPr>
          <w:noProof/>
        </w:rPr>
        <w:drawing>
          <wp:inline distT="0" distB="0" distL="0" distR="0" wp14:anchorId="55DD82CF" wp14:editId="144B2B9E">
            <wp:extent cx="5274310" cy="404368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F07BC" w14:textId="77777777" w:rsidR="007A179D" w:rsidRDefault="00B5213E">
      <w:pPr>
        <w:widowControl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Fig. S1</w:t>
      </w:r>
      <w:r>
        <w:rPr>
          <w:rFonts w:ascii="Times New Roman" w:hAnsi="Times New Roman" w:cs="Times New Roman"/>
        </w:rPr>
        <w:t xml:space="preserve"> Size and morphology of </w:t>
      </w:r>
      <w:proofErr w:type="spellStart"/>
      <w:r>
        <w:rPr>
          <w:rFonts w:ascii="Times New Roman" w:hAnsi="Times New Roman" w:cs="Times New Roman"/>
          <w:szCs w:val="21"/>
        </w:rPr>
        <w:t>Lipo</w:t>
      </w:r>
      <w:proofErr w:type="spellEnd"/>
      <w:r>
        <w:rPr>
          <w:rFonts w:ascii="Times New Roman" w:hAnsi="Times New Roman" w:cs="Times New Roman"/>
          <w:szCs w:val="21"/>
        </w:rPr>
        <w:t xml:space="preserve">/DOX@ICG </w:t>
      </w:r>
      <w:r>
        <w:rPr>
          <w:rFonts w:ascii="Times New Roman" w:hAnsi="Times New Roman" w:cs="Times New Roman"/>
          <w:b/>
          <w:szCs w:val="21"/>
        </w:rPr>
        <w:t>a</w:t>
      </w:r>
      <w:r>
        <w:rPr>
          <w:rFonts w:ascii="Times New Roman" w:hAnsi="Times New Roman" w:cs="Times New Roman"/>
          <w:szCs w:val="21"/>
        </w:rPr>
        <w:t xml:space="preserve"> and PDA/DOX@ICG </w:t>
      </w:r>
      <w:r>
        <w:rPr>
          <w:rFonts w:ascii="Times New Roman" w:hAnsi="Times New Roman" w:cs="Times New Roman"/>
          <w:b/>
          <w:szCs w:val="21"/>
        </w:rPr>
        <w:t>b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</w:rPr>
        <w:t xml:space="preserve">measured using a Malvern </w:t>
      </w:r>
      <w:proofErr w:type="spellStart"/>
      <w:r>
        <w:rPr>
          <w:rFonts w:ascii="Times New Roman" w:hAnsi="Times New Roman" w:cs="Times New Roman"/>
        </w:rPr>
        <w:t>Zetasizer</w:t>
      </w:r>
      <w:proofErr w:type="spellEnd"/>
      <w:r>
        <w:rPr>
          <w:rFonts w:ascii="Times New Roman" w:hAnsi="Times New Roman" w:cs="Times New Roman"/>
        </w:rPr>
        <w:t xml:space="preserve"> Nano Series instrument and TEM. Scale bar for TEM is 100 nm.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b/>
          <w:szCs w:val="21"/>
        </w:rPr>
        <w:t>c</w:t>
      </w:r>
      <w:r>
        <w:rPr>
          <w:rFonts w:ascii="Times New Roman" w:hAnsi="Times New Roman" w:cs="Times New Roman"/>
          <w:szCs w:val="21"/>
        </w:rPr>
        <w:t xml:space="preserve"> UV-vis-NIR spectra</w:t>
      </w:r>
      <w:r>
        <w:rPr>
          <w:rFonts w:ascii="Times New Roman" w:eastAsia="楷体" w:hAnsi="Times New Roman" w:cs="Times New Roman"/>
          <w:bCs/>
          <w:szCs w:val="21"/>
        </w:rPr>
        <w:t xml:space="preserve"> of different concentrations of PDA@ </w:t>
      </w:r>
      <w:proofErr w:type="spellStart"/>
      <w:r>
        <w:rPr>
          <w:rFonts w:ascii="Times New Roman" w:eastAsia="楷体" w:hAnsi="Times New Roman" w:cs="Times New Roman"/>
          <w:bCs/>
          <w:szCs w:val="21"/>
        </w:rPr>
        <w:t>Lipo</w:t>
      </w:r>
      <w:proofErr w:type="spellEnd"/>
      <w:r>
        <w:rPr>
          <w:rFonts w:ascii="Times New Roman" w:eastAsia="楷体" w:hAnsi="Times New Roman" w:cs="Times New Roman"/>
          <w:bCs/>
          <w:szCs w:val="21"/>
        </w:rPr>
        <w:t>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szCs w:val="21"/>
        </w:rPr>
        <w:t>d</w:t>
      </w:r>
      <w:r>
        <w:rPr>
          <w:rFonts w:ascii="Times New Roman" w:hAnsi="Times New Roman" w:cs="Times New Roman"/>
          <w:szCs w:val="21"/>
        </w:rPr>
        <w:t xml:space="preserve"> DOX release from PDA/DOX@ICG</w:t>
      </w:r>
      <w:r>
        <w:rPr>
          <w:rFonts w:ascii="Times New Roman" w:eastAsia="黑体" w:hAnsi="Times New Roman"/>
          <w:szCs w:val="21"/>
        </w:rPr>
        <w:t xml:space="preserve"> and </w:t>
      </w:r>
      <w:proofErr w:type="spellStart"/>
      <w:r>
        <w:rPr>
          <w:rFonts w:ascii="Times New Roman" w:hAnsi="Times New Roman" w:cs="Times New Roman"/>
          <w:szCs w:val="21"/>
        </w:rPr>
        <w:t>Lipo</w:t>
      </w:r>
      <w:proofErr w:type="spellEnd"/>
      <w:r>
        <w:rPr>
          <w:rFonts w:ascii="Times New Roman" w:hAnsi="Times New Roman" w:cs="Times New Roman"/>
          <w:szCs w:val="21"/>
        </w:rPr>
        <w:t>/DOX@ICG</w:t>
      </w:r>
      <w:r>
        <w:rPr>
          <w:rFonts w:ascii="Times New Roman" w:eastAsia="黑体" w:hAnsi="Times New Roman"/>
          <w:szCs w:val="21"/>
        </w:rPr>
        <w:t xml:space="preserve"> in different pH release media (pH = 7.4, 5.0) with or without laser irradiation (2.0 W, 5 min) at 0.5 h </w:t>
      </w:r>
      <w:r>
        <w:rPr>
          <w:rFonts w:ascii="Times New Roman" w:eastAsia="黑体" w:hAnsi="Times New Roman" w:cs="Times New Roman"/>
          <w:szCs w:val="21"/>
        </w:rPr>
        <w:t>(</w:t>
      </w:r>
      <w:r>
        <w:rPr>
          <w:rFonts w:ascii="Times New Roman" w:hAnsi="Times New Roman" w:cs="Times New Roman"/>
        </w:rPr>
        <w:t>n = 3 per group)</w:t>
      </w:r>
      <w:r>
        <w:rPr>
          <w:rFonts w:ascii="Times New Roman" w:eastAsia="黑体" w:hAnsi="Times New Roman"/>
          <w:szCs w:val="21"/>
        </w:rPr>
        <w:t>.</w:t>
      </w:r>
      <w:r>
        <w:rPr>
          <w:rFonts w:ascii="Times New Roman" w:hAnsi="Times New Roman" w:cs="Times New Roman"/>
          <w:b/>
          <w:szCs w:val="21"/>
        </w:rPr>
        <w:t xml:space="preserve"> </w:t>
      </w:r>
      <w:r>
        <w:rPr>
          <w:rFonts w:ascii="Times New Roman" w:hAnsi="Times New Roman" w:cs="Times New Roman"/>
        </w:rPr>
        <w:br w:type="page"/>
      </w:r>
    </w:p>
    <w:p w14:paraId="2B6874AA" w14:textId="07CB3916" w:rsidR="007A179D" w:rsidRDefault="007A179D"/>
    <w:p w14:paraId="2AD2733D" w14:textId="768AD02E" w:rsidR="005B6ED2" w:rsidRDefault="005022CA">
      <w:r>
        <w:rPr>
          <w:noProof/>
        </w:rPr>
        <w:drawing>
          <wp:inline distT="0" distB="0" distL="0" distR="0" wp14:anchorId="46616939" wp14:editId="4777FA60">
            <wp:extent cx="5274310" cy="395414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06E87" w14:textId="77777777" w:rsidR="007A179D" w:rsidRDefault="00B5213E">
      <w:pPr>
        <w:widowControl/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b/>
          <w:szCs w:val="21"/>
        </w:rPr>
        <w:t xml:space="preserve">Fig. </w:t>
      </w:r>
      <w:r>
        <w:rPr>
          <w:rFonts w:ascii="Times New Roman" w:hAnsi="Times New Roman" w:cs="Times New Roman"/>
          <w:b/>
          <w:szCs w:val="21"/>
        </w:rPr>
        <w:t>S2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b/>
          <w:szCs w:val="21"/>
        </w:rPr>
        <w:t>a</w:t>
      </w:r>
      <w:r>
        <w:rPr>
          <w:rFonts w:ascii="Times New Roman" w:hAnsi="Times New Roman" w:cs="Times New Roman"/>
          <w:szCs w:val="21"/>
        </w:rPr>
        <w:t xml:space="preserve"> </w:t>
      </w:r>
      <w:proofErr w:type="gramStart"/>
      <w:r>
        <w:rPr>
          <w:rFonts w:ascii="Times New Roman" w:hAnsi="Times New Roman" w:cs="Times New Roman"/>
          <w:szCs w:val="21"/>
        </w:rPr>
        <w:t>The</w:t>
      </w:r>
      <w:proofErr w:type="gramEnd"/>
      <w:r>
        <w:rPr>
          <w:rFonts w:ascii="Times New Roman" w:hAnsi="Times New Roman" w:cs="Times New Roman"/>
          <w:szCs w:val="21"/>
        </w:rPr>
        <w:t xml:space="preserve"> change of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p</w:t>
      </w:r>
      <w:r>
        <w:rPr>
          <w:rFonts w:ascii="Times New Roman" w:hAnsi="Times New Roman" w:cs="Times New Roman" w:hint="eastAsia"/>
          <w:szCs w:val="21"/>
        </w:rPr>
        <w:t>a</w:t>
      </w:r>
      <w:r>
        <w:rPr>
          <w:rFonts w:ascii="Times New Roman" w:hAnsi="Times New Roman" w:cs="Times New Roman"/>
          <w:szCs w:val="21"/>
        </w:rPr>
        <w:t xml:space="preserve">rticle size of PDA/DOX@ICG and </w:t>
      </w:r>
      <w:proofErr w:type="spellStart"/>
      <w:r>
        <w:rPr>
          <w:rFonts w:ascii="Times New Roman" w:hAnsi="Times New Roman" w:cs="Times New Roman"/>
          <w:szCs w:val="21"/>
        </w:rPr>
        <w:t>Lipo</w:t>
      </w:r>
      <w:proofErr w:type="spellEnd"/>
      <w:r>
        <w:rPr>
          <w:rFonts w:ascii="Times New Roman" w:hAnsi="Times New Roman" w:cs="Times New Roman"/>
          <w:szCs w:val="21"/>
        </w:rPr>
        <w:t xml:space="preserve">/DOX@ICG in aqueous solution and FBS. </w:t>
      </w:r>
      <w:r>
        <w:rPr>
          <w:rFonts w:ascii="Times New Roman" w:hAnsi="Times New Roman" w:cs="Times New Roman"/>
          <w:b/>
          <w:szCs w:val="21"/>
        </w:rPr>
        <w:t>b</w:t>
      </w:r>
      <w:r>
        <w:rPr>
          <w:rFonts w:ascii="Times New Roman" w:hAnsi="Times New Roman" w:cs="Times New Roman"/>
          <w:szCs w:val="21"/>
        </w:rPr>
        <w:t xml:space="preserve"> The appearance comparison of PDA/DOX@ICG and </w:t>
      </w:r>
      <w:proofErr w:type="spellStart"/>
      <w:r>
        <w:rPr>
          <w:rFonts w:ascii="Times New Roman" w:hAnsi="Times New Roman" w:cs="Times New Roman"/>
          <w:szCs w:val="21"/>
        </w:rPr>
        <w:t>Lipo</w:t>
      </w:r>
      <w:proofErr w:type="spellEnd"/>
      <w:r>
        <w:rPr>
          <w:rFonts w:ascii="Times New Roman" w:hAnsi="Times New Roman" w:cs="Times New Roman"/>
          <w:szCs w:val="21"/>
        </w:rPr>
        <w:t xml:space="preserve">/DOX@ICG before and after storage. </w:t>
      </w:r>
      <w:r>
        <w:rPr>
          <w:rFonts w:ascii="Times New Roman" w:hAnsi="Times New Roman" w:cs="Times New Roman"/>
          <w:b/>
          <w:szCs w:val="21"/>
        </w:rPr>
        <w:t>c</w:t>
      </w:r>
      <w:r>
        <w:rPr>
          <w:rFonts w:ascii="Times New Roman" w:hAnsi="Times New Roman" w:cs="Times New Roman"/>
          <w:szCs w:val="21"/>
        </w:rPr>
        <w:t xml:space="preserve"> The content change of PDA/DOX@ICG and </w:t>
      </w:r>
      <w:proofErr w:type="spellStart"/>
      <w:r>
        <w:rPr>
          <w:rFonts w:ascii="Times New Roman" w:hAnsi="Times New Roman" w:cs="Times New Roman"/>
          <w:szCs w:val="21"/>
        </w:rPr>
        <w:t>Lipo</w:t>
      </w:r>
      <w:proofErr w:type="spellEnd"/>
      <w:r>
        <w:rPr>
          <w:rFonts w:ascii="Times New Roman" w:hAnsi="Times New Roman" w:cs="Times New Roman"/>
          <w:szCs w:val="21"/>
        </w:rPr>
        <w:t>/DOX@ICG in water and FBS.</w:t>
      </w:r>
    </w:p>
    <w:p w14:paraId="65AD29E6" w14:textId="77777777" w:rsidR="007A179D" w:rsidRDefault="00B5213E">
      <w:pPr>
        <w:widowControl/>
        <w:jc w:val="left"/>
      </w:pPr>
      <w:r>
        <w:br w:type="page"/>
      </w:r>
    </w:p>
    <w:p w14:paraId="4A38310E" w14:textId="21C35296" w:rsidR="007A179D" w:rsidRDefault="005022CA" w:rsidP="00D504D3">
      <w:r>
        <w:rPr>
          <w:noProof/>
        </w:rPr>
        <w:lastRenderedPageBreak/>
        <w:drawing>
          <wp:inline distT="0" distB="0" distL="0" distR="0" wp14:anchorId="59C8600D" wp14:editId="2B5AC9EF">
            <wp:extent cx="5274310" cy="204216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EB5F5" w14:textId="77777777" w:rsidR="007A179D" w:rsidRDefault="00B5213E">
      <w:pPr>
        <w:widowControl/>
        <w:spacing w:line="360" w:lineRule="auto"/>
      </w:pPr>
      <w:r>
        <w:rPr>
          <w:rFonts w:ascii="Times New Roman" w:hAnsi="Times New Roman" w:cs="Times New Roman" w:hint="eastAsia"/>
          <w:b/>
          <w:szCs w:val="21"/>
        </w:rPr>
        <w:t xml:space="preserve">Fig. </w:t>
      </w:r>
      <w:r>
        <w:rPr>
          <w:rFonts w:ascii="Times New Roman" w:hAnsi="Times New Roman" w:cs="Times New Roman"/>
          <w:b/>
          <w:szCs w:val="21"/>
        </w:rPr>
        <w:t>S3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i/>
          <w:szCs w:val="21"/>
        </w:rPr>
        <w:t>In vitro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  <w:vertAlign w:val="superscript"/>
        </w:rPr>
        <w:t>1</w:t>
      </w:r>
      <w:r>
        <w:rPr>
          <w:rFonts w:ascii="Times New Roman" w:hAnsi="Times New Roman" w:cs="Times New Roman"/>
          <w:szCs w:val="21"/>
        </w:rPr>
        <w:t>O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 xml:space="preserve"> detection of black DPBF </w:t>
      </w:r>
      <w:r>
        <w:rPr>
          <w:rFonts w:ascii="Times New Roman" w:hAnsi="Times New Roman" w:cs="Times New Roman"/>
          <w:b/>
          <w:szCs w:val="21"/>
        </w:rPr>
        <w:t>a</w:t>
      </w:r>
      <w:r>
        <w:rPr>
          <w:rFonts w:ascii="Times New Roman" w:hAnsi="Times New Roman" w:cs="Times New Roman"/>
          <w:szCs w:val="21"/>
        </w:rPr>
        <w:t xml:space="preserve"> and free ICG </w:t>
      </w:r>
      <w:r>
        <w:rPr>
          <w:rFonts w:ascii="Times New Roman" w:hAnsi="Times New Roman" w:cs="Times New Roman"/>
          <w:b/>
          <w:szCs w:val="21"/>
        </w:rPr>
        <w:t>b</w:t>
      </w:r>
      <w:r>
        <w:rPr>
          <w:rFonts w:ascii="Times New Roman" w:hAnsi="Times New Roman" w:cs="Times New Roman"/>
          <w:szCs w:val="21"/>
        </w:rPr>
        <w:t xml:space="preserve"> (containing 10 </w:t>
      </w:r>
      <w:proofErr w:type="spellStart"/>
      <w:r>
        <w:rPr>
          <w:rFonts w:ascii="Times New Roman" w:hAnsi="Times New Roman" w:cs="Times New Roman"/>
          <w:szCs w:val="21"/>
        </w:rPr>
        <w:t>μg</w:t>
      </w:r>
      <w:proofErr w:type="spellEnd"/>
      <w:r>
        <w:rPr>
          <w:rFonts w:ascii="Times New Roman" w:hAnsi="Times New Roman" w:cs="Times New Roman"/>
          <w:szCs w:val="21"/>
        </w:rPr>
        <w:t xml:space="preserve">/mL ICG) using </w:t>
      </w:r>
      <w:r>
        <w:rPr>
          <w:rFonts w:ascii="Times New Roman" w:hAnsi="Times New Roman" w:cs="Times New Roman"/>
          <w:szCs w:val="21"/>
          <w:vertAlign w:val="superscript"/>
        </w:rPr>
        <w:t>1</w:t>
      </w:r>
      <w:r>
        <w:rPr>
          <w:rFonts w:ascii="Times New Roman" w:hAnsi="Times New Roman" w:cs="Times New Roman"/>
          <w:szCs w:val="21"/>
        </w:rPr>
        <w:t>O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 xml:space="preserve"> probe DPBF, whose attenuation rate at 417 nm is directly proportional to the generation rate of </w:t>
      </w:r>
      <w:r>
        <w:rPr>
          <w:rFonts w:ascii="Times New Roman" w:hAnsi="Times New Roman" w:cs="Times New Roman"/>
          <w:szCs w:val="21"/>
          <w:vertAlign w:val="superscript"/>
        </w:rPr>
        <w:t>1</w:t>
      </w:r>
      <w:r>
        <w:rPr>
          <w:rFonts w:ascii="Times New Roman" w:hAnsi="Times New Roman" w:cs="Times New Roman"/>
          <w:szCs w:val="21"/>
        </w:rPr>
        <w:t>O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 xml:space="preserve"> under 808 nm laser radiation (1.0 W/cm</w:t>
      </w:r>
      <w:r>
        <w:rPr>
          <w:rFonts w:ascii="Times New Roman" w:hAnsi="Times New Roman" w:cs="Times New Roman"/>
          <w:szCs w:val="21"/>
          <w:vertAlign w:val="superscript"/>
        </w:rPr>
        <w:t>2</w:t>
      </w:r>
      <w:r>
        <w:rPr>
          <w:rFonts w:ascii="Times New Roman" w:hAnsi="Times New Roman" w:cs="Times New Roman"/>
          <w:szCs w:val="21"/>
        </w:rPr>
        <w:t>, 10 min)</w:t>
      </w:r>
      <w:r>
        <w:rPr>
          <w:rFonts w:ascii="Times New Roman" w:hAnsi="Times New Roman" w:cs="Times New Roman"/>
          <w:szCs w:val="21"/>
          <w:vertAlign w:val="subscript"/>
        </w:rPr>
        <w:t>.</w:t>
      </w:r>
      <w:r>
        <w:rPr>
          <w:rFonts w:ascii="Times New Roman" w:hAnsi="Times New Roman" w:cs="Times New Roman"/>
          <w:szCs w:val="21"/>
        </w:rPr>
        <w:t xml:space="preserve"> </w:t>
      </w:r>
    </w:p>
    <w:p w14:paraId="775769F7" w14:textId="77777777" w:rsidR="007A179D" w:rsidRDefault="00B5213E">
      <w:pPr>
        <w:widowControl/>
        <w:spacing w:line="360" w:lineRule="auto"/>
        <w:rPr>
          <w:rFonts w:ascii="Times New Roman" w:hAnsi="Times New Roman" w:cs="Times New Roman"/>
          <w:szCs w:val="21"/>
        </w:rPr>
      </w:pPr>
      <w:r>
        <w:br w:type="page"/>
      </w:r>
    </w:p>
    <w:p w14:paraId="6F89337F" w14:textId="0C4CFE0E" w:rsidR="007A179D" w:rsidRDefault="007A179D"/>
    <w:p w14:paraId="0669D212" w14:textId="271F84B1" w:rsidR="00B36773" w:rsidRDefault="005022CA">
      <w:pPr>
        <w:widowControl/>
        <w:spacing w:line="360" w:lineRule="auto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noProof/>
          <w:szCs w:val="21"/>
        </w:rPr>
        <w:drawing>
          <wp:inline distT="0" distB="0" distL="0" distR="0" wp14:anchorId="7F32412E" wp14:editId="10170DA0">
            <wp:extent cx="5274310" cy="216344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97842" w14:textId="54E8EA1A" w:rsidR="007A179D" w:rsidRDefault="00B5213E">
      <w:pPr>
        <w:widowControl/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szCs w:val="21"/>
        </w:rPr>
        <w:t>Fig. S4</w:t>
      </w:r>
      <w:r>
        <w:rPr>
          <w:rFonts w:ascii="Times New Roman" w:hAnsi="Times New Roman" w:cs="Times New Roman"/>
          <w:szCs w:val="21"/>
        </w:rPr>
        <w:t xml:space="preserve"> MTT assays of blank carrier </w:t>
      </w:r>
      <w:r>
        <w:rPr>
          <w:rFonts w:ascii="Times New Roman" w:eastAsia="楷体" w:hAnsi="Times New Roman" w:cs="Times New Roman"/>
          <w:bCs/>
          <w:szCs w:val="21"/>
        </w:rPr>
        <w:t xml:space="preserve">PDA </w:t>
      </w:r>
      <w:r>
        <w:rPr>
          <w:rFonts w:ascii="Times New Roman" w:eastAsia="楷体" w:hAnsi="Times New Roman" w:cs="Times New Roman"/>
          <w:b/>
          <w:bCs/>
          <w:szCs w:val="21"/>
        </w:rPr>
        <w:t xml:space="preserve">a </w:t>
      </w:r>
      <w:r>
        <w:rPr>
          <w:rFonts w:ascii="Times New Roman" w:eastAsia="楷体" w:hAnsi="Times New Roman" w:cs="Times New Roman"/>
          <w:bCs/>
          <w:szCs w:val="21"/>
        </w:rPr>
        <w:t xml:space="preserve">and </w:t>
      </w:r>
      <w:proofErr w:type="spellStart"/>
      <w:r>
        <w:rPr>
          <w:rFonts w:ascii="Times New Roman" w:eastAsia="楷体" w:hAnsi="Times New Roman" w:cs="Times New Roman"/>
          <w:bCs/>
          <w:szCs w:val="21"/>
        </w:rPr>
        <w:t>Lipo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b/>
          <w:szCs w:val="21"/>
        </w:rPr>
        <w:t>b</w:t>
      </w:r>
      <w:r>
        <w:rPr>
          <w:rFonts w:ascii="Times New Roman" w:hAnsi="Times New Roman" w:cs="Times New Roman"/>
          <w:szCs w:val="21"/>
        </w:rPr>
        <w:t xml:space="preserve"> over 24 h in MDA-MB-231 cells with/without irradiation (1.0 W/cm</w:t>
      </w:r>
      <w:r>
        <w:rPr>
          <w:rFonts w:ascii="Times New Roman" w:hAnsi="Times New Roman" w:cs="Times New Roman"/>
          <w:szCs w:val="21"/>
          <w:vertAlign w:val="superscript"/>
        </w:rPr>
        <w:t>2</w:t>
      </w:r>
      <w:r>
        <w:rPr>
          <w:rFonts w:ascii="Times New Roman" w:hAnsi="Times New Roman" w:cs="Times New Roman"/>
          <w:szCs w:val="21"/>
        </w:rPr>
        <w:t>, 2 min).</w:t>
      </w:r>
    </w:p>
    <w:p w14:paraId="1DD77630" w14:textId="77777777" w:rsidR="007A179D" w:rsidRDefault="00B5213E">
      <w:pPr>
        <w:widowControl/>
        <w:jc w:val="left"/>
      </w:pPr>
      <w:r>
        <w:br w:type="page"/>
      </w:r>
    </w:p>
    <w:p w14:paraId="7D29057A" w14:textId="2F36F79D" w:rsidR="00B36773" w:rsidRDefault="005022CA">
      <w:pPr>
        <w:widowControl/>
        <w:jc w:val="left"/>
        <w:rPr>
          <w:rFonts w:ascii="Times New Roman" w:hAnsi="Times New Roman"/>
          <w:b/>
          <w:szCs w:val="21"/>
        </w:rPr>
      </w:pPr>
      <w:r>
        <w:rPr>
          <w:rFonts w:ascii="Times New Roman" w:hAnsi="Times New Roman"/>
          <w:b/>
          <w:noProof/>
          <w:szCs w:val="21"/>
        </w:rPr>
        <w:lastRenderedPageBreak/>
        <w:drawing>
          <wp:inline distT="0" distB="0" distL="0" distR="0" wp14:anchorId="6AC60492" wp14:editId="29C037CA">
            <wp:extent cx="4678680" cy="7918704"/>
            <wp:effectExtent l="0" t="0" r="762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791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DCCCD" w14:textId="3AE1A2A2" w:rsidR="007A179D" w:rsidRDefault="00B5213E">
      <w:pPr>
        <w:widowControl/>
        <w:jc w:val="left"/>
      </w:pPr>
      <w:r>
        <w:rPr>
          <w:rFonts w:ascii="Times New Roman" w:hAnsi="Times New Roman"/>
          <w:b/>
          <w:szCs w:val="21"/>
        </w:rPr>
        <w:t>Fig</w:t>
      </w:r>
      <w:r>
        <w:rPr>
          <w:rFonts w:ascii="Times New Roman" w:hAnsi="Times New Roman" w:hint="eastAsia"/>
          <w:b/>
          <w:szCs w:val="21"/>
        </w:rPr>
        <w:t>.</w:t>
      </w:r>
      <w:r>
        <w:rPr>
          <w:rFonts w:ascii="Times New Roman" w:hAnsi="Times New Roman"/>
          <w:b/>
          <w:szCs w:val="21"/>
        </w:rPr>
        <w:t xml:space="preserve"> S5</w:t>
      </w:r>
      <w:r>
        <w:rPr>
          <w:rFonts w:ascii="Times New Roman" w:hAnsi="Times New Roman"/>
          <w:szCs w:val="21"/>
        </w:rPr>
        <w:t xml:space="preserve"> The pictures of tumor changes after different treatments.</w:t>
      </w:r>
      <w:r>
        <w:t xml:space="preserve"> </w:t>
      </w:r>
    </w:p>
    <w:p w14:paraId="7106CB9B" w14:textId="77777777" w:rsidR="007A179D" w:rsidRDefault="00B5213E">
      <w:pPr>
        <w:widowControl/>
        <w:jc w:val="left"/>
      </w:pPr>
      <w:r>
        <w:br w:type="page"/>
      </w:r>
    </w:p>
    <w:p w14:paraId="2CBDF252" w14:textId="0B9D2875" w:rsidR="007A179D" w:rsidRDefault="005022CA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2725C69B" wp14:editId="34E0BD88">
            <wp:extent cx="5274310" cy="241554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5F4C1" w14:textId="77777777" w:rsidR="007A179D" w:rsidRDefault="00B5213E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Fig. S6</w:t>
      </w:r>
      <w:r>
        <w:rPr>
          <w:rFonts w:ascii="Times New Roman" w:hAnsi="Times New Roman" w:cs="Times New Roman"/>
        </w:rPr>
        <w:t xml:space="preserve"> Representative histological images of liver, spleen, lung and kidney samples from the treated mice. (n = 5 per group).  </w:t>
      </w:r>
    </w:p>
    <w:p w14:paraId="44E57B26" w14:textId="77777777" w:rsidR="00251491" w:rsidRPr="003735C7" w:rsidRDefault="00251491" w:rsidP="00251491">
      <w:pPr>
        <w:pStyle w:val="RSCB04AHeadingSection"/>
        <w:rPr>
          <w:rFonts w:ascii="Times New Roman" w:hAnsi="Times New Roman" w:cs="Times New Roman"/>
          <w:sz w:val="30"/>
          <w:szCs w:val="30"/>
        </w:rPr>
      </w:pPr>
      <w:r w:rsidRPr="003735C7">
        <w:rPr>
          <w:rFonts w:ascii="Times New Roman" w:hAnsi="Times New Roman" w:cs="Times New Roman"/>
          <w:sz w:val="30"/>
          <w:szCs w:val="30"/>
        </w:rPr>
        <w:t>Conflicts of interest</w:t>
      </w:r>
    </w:p>
    <w:p w14:paraId="158B5619" w14:textId="4C6C267D" w:rsidR="007A179D" w:rsidRPr="009445D2" w:rsidRDefault="00251491" w:rsidP="00251491">
      <w:pPr>
        <w:rPr>
          <w:rFonts w:ascii="Times New Roman" w:hAnsi="Times New Roman" w:cs="Times New Roman"/>
        </w:rPr>
      </w:pPr>
      <w:r w:rsidRPr="009445D2">
        <w:rPr>
          <w:rFonts w:ascii="Times New Roman" w:hAnsi="Times New Roman" w:cs="Times New Roman"/>
        </w:rPr>
        <w:t>There are no conflicts to declare</w:t>
      </w:r>
      <w:r w:rsidR="00CF7DB1">
        <w:rPr>
          <w:rFonts w:ascii="Times New Roman" w:hAnsi="Times New Roman" w:cs="Times New Roman"/>
        </w:rPr>
        <w:t>.</w:t>
      </w:r>
    </w:p>
    <w:sectPr w:rsidR="007A179D" w:rsidRPr="009445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3C8EC9" w14:textId="77777777" w:rsidR="00A518A2" w:rsidRDefault="00A518A2" w:rsidP="00251491">
      <w:r>
        <w:separator/>
      </w:r>
    </w:p>
  </w:endnote>
  <w:endnote w:type="continuationSeparator" w:id="0">
    <w:p w14:paraId="3CE81A0D" w14:textId="77777777" w:rsidR="00A518A2" w:rsidRDefault="00A518A2" w:rsidP="00251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F5FF5F" w14:textId="77777777" w:rsidR="00A518A2" w:rsidRDefault="00A518A2" w:rsidP="00251491">
      <w:r>
        <w:separator/>
      </w:r>
    </w:p>
  </w:footnote>
  <w:footnote w:type="continuationSeparator" w:id="0">
    <w:p w14:paraId="331694F5" w14:textId="77777777" w:rsidR="00A518A2" w:rsidRDefault="00A518A2" w:rsidP="002514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263"/>
    <w:rsid w:val="000B7768"/>
    <w:rsid w:val="000D2F75"/>
    <w:rsid w:val="001215C4"/>
    <w:rsid w:val="00146676"/>
    <w:rsid w:val="001639F9"/>
    <w:rsid w:val="001E123A"/>
    <w:rsid w:val="001F42D3"/>
    <w:rsid w:val="00251491"/>
    <w:rsid w:val="00253C29"/>
    <w:rsid w:val="002643F2"/>
    <w:rsid w:val="0028287B"/>
    <w:rsid w:val="0029429A"/>
    <w:rsid w:val="00297950"/>
    <w:rsid w:val="0032268A"/>
    <w:rsid w:val="00363B9C"/>
    <w:rsid w:val="00372376"/>
    <w:rsid w:val="0038408E"/>
    <w:rsid w:val="004224B1"/>
    <w:rsid w:val="0044723E"/>
    <w:rsid w:val="004B501A"/>
    <w:rsid w:val="005022CA"/>
    <w:rsid w:val="005218EE"/>
    <w:rsid w:val="00575327"/>
    <w:rsid w:val="005B6ED2"/>
    <w:rsid w:val="005F3DD1"/>
    <w:rsid w:val="00675094"/>
    <w:rsid w:val="0067656D"/>
    <w:rsid w:val="006F67F0"/>
    <w:rsid w:val="00700D35"/>
    <w:rsid w:val="00706746"/>
    <w:rsid w:val="00725383"/>
    <w:rsid w:val="00742ED7"/>
    <w:rsid w:val="007751A6"/>
    <w:rsid w:val="007A179D"/>
    <w:rsid w:val="007E6C36"/>
    <w:rsid w:val="00835130"/>
    <w:rsid w:val="00836586"/>
    <w:rsid w:val="00836F25"/>
    <w:rsid w:val="00882263"/>
    <w:rsid w:val="00907C60"/>
    <w:rsid w:val="009445D2"/>
    <w:rsid w:val="0094503C"/>
    <w:rsid w:val="00983E4F"/>
    <w:rsid w:val="00A34A1E"/>
    <w:rsid w:val="00A518A2"/>
    <w:rsid w:val="00A51EFC"/>
    <w:rsid w:val="00AE3D08"/>
    <w:rsid w:val="00B36773"/>
    <w:rsid w:val="00B5213E"/>
    <w:rsid w:val="00B62DD0"/>
    <w:rsid w:val="00BB0C9D"/>
    <w:rsid w:val="00BF73DD"/>
    <w:rsid w:val="00C41623"/>
    <w:rsid w:val="00CC54F3"/>
    <w:rsid w:val="00CF7DB1"/>
    <w:rsid w:val="00D504D3"/>
    <w:rsid w:val="00D53E33"/>
    <w:rsid w:val="00ED58A9"/>
    <w:rsid w:val="00EF08BE"/>
    <w:rsid w:val="00F62055"/>
    <w:rsid w:val="44584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41960D3"/>
  <w15:docId w15:val="{90E407AE-DE9F-4904-9B45-2EE963057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customStyle="1" w:styleId="RSCB04AHeadingSection">
    <w:name w:val="RSC B04 A Heading (Section)"/>
    <w:basedOn w:val="a"/>
    <w:link w:val="RSCB04AHeadingSectionChar"/>
    <w:qFormat/>
    <w:rsid w:val="00251491"/>
    <w:pPr>
      <w:widowControl/>
      <w:spacing w:before="400" w:after="80"/>
      <w:jc w:val="left"/>
    </w:pPr>
    <w:rPr>
      <w:b/>
      <w:kern w:val="0"/>
      <w:sz w:val="24"/>
      <w:lang w:val="en-GB" w:eastAsia="en-US"/>
    </w:rPr>
  </w:style>
  <w:style w:type="character" w:customStyle="1" w:styleId="RSCB04AHeadingSectionChar">
    <w:name w:val="RSC B04 A Heading (Section) Char"/>
    <w:basedOn w:val="a0"/>
    <w:link w:val="RSCB04AHeadingSection"/>
    <w:rsid w:val="00251491"/>
    <w:rPr>
      <w:b/>
      <w:sz w:val="24"/>
      <w:szCs w:val="22"/>
      <w:lang w:val="en-GB" w:eastAsia="en-US"/>
    </w:rPr>
  </w:style>
  <w:style w:type="paragraph" w:styleId="a7">
    <w:name w:val="Revision"/>
    <w:hidden/>
    <w:uiPriority w:val="99"/>
    <w:semiHidden/>
    <w:rsid w:val="00CF7DB1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79BA02-D7AB-490D-BF77-7B0AF8C8B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6</Pages>
  <Words>194</Words>
  <Characters>1110</Characters>
  <Application>Microsoft Office Word</Application>
  <DocSecurity>0</DocSecurity>
  <Lines>9</Lines>
  <Paragraphs>2</Paragraphs>
  <ScaleCrop>false</ScaleCrop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胡 安娜</cp:lastModifiedBy>
  <cp:revision>63</cp:revision>
  <dcterms:created xsi:type="dcterms:W3CDTF">2022-04-07T07:02:00Z</dcterms:created>
  <dcterms:modified xsi:type="dcterms:W3CDTF">2022-09-27T07:13:00Z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mondata">
    <vt:lpwstr>eyJoZGlkIjoiYjY0MDU1ZGE0ZGI5ZTVlZjZlMGVmZjM4NjAxMDM4N2UifQ==</vt:lpwstr>
  </property>
  <property fmtid="{D5CDD505-2E9C-101B-9397-08002B2CF9AE}" pid="3" name="KSOProductBuildVer">
    <vt:lpwstr>2052-11.1.0.11636</vt:lpwstr>
  </property>
  <property fmtid="{D5CDD505-2E9C-101B-9397-08002B2CF9AE}" pid="4" name="ICV">
    <vt:lpwstr>0EE3AF1294524E71B8F72DD5DAEBE9C9</vt:lpwstr>
  </property>
</Properties>
</file>