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924A" w14:textId="77777777" w:rsidR="00B52F2B" w:rsidRDefault="00B52F2B" w:rsidP="00E875E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Tables</w:t>
      </w:r>
      <w:bookmarkStart w:id="0" w:name="_GoBack"/>
      <w:bookmarkEnd w:id="0"/>
    </w:p>
    <w:p w14:paraId="4DCEFA5D" w14:textId="77777777" w:rsidR="00B52F2B" w:rsidRDefault="00B52F2B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02D59C3" w14:textId="74CBE9A3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34793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2D4C17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A34793">
        <w:rPr>
          <w:rFonts w:asciiTheme="majorBidi" w:hAnsiTheme="majorBidi" w:cstheme="majorBidi"/>
          <w:b/>
          <w:bCs/>
          <w:sz w:val="20"/>
          <w:szCs w:val="20"/>
        </w:rPr>
        <w:t>: Comparison of BCVA, UCVA</w:t>
      </w:r>
      <w:r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A34793">
        <w:rPr>
          <w:rFonts w:asciiTheme="majorBidi" w:hAnsiTheme="majorBidi" w:cstheme="majorBidi"/>
          <w:b/>
          <w:bCs/>
          <w:sz w:val="20"/>
          <w:szCs w:val="20"/>
        </w:rPr>
        <w:t xml:space="preserve"> and SE across study follow-up periods (n=300) (Supplementary material)</w:t>
      </w:r>
    </w:p>
    <w:tbl>
      <w:tblPr>
        <w:tblStyle w:val="PlainTable21"/>
        <w:tblW w:w="9608" w:type="dxa"/>
        <w:tblLook w:val="04A0" w:firstRow="1" w:lastRow="0" w:firstColumn="1" w:lastColumn="0" w:noHBand="0" w:noVBand="1"/>
      </w:tblPr>
      <w:tblGrid>
        <w:gridCol w:w="1570"/>
        <w:gridCol w:w="1784"/>
        <w:gridCol w:w="1980"/>
        <w:gridCol w:w="2280"/>
        <w:gridCol w:w="997"/>
        <w:gridCol w:w="997"/>
      </w:tblGrid>
      <w:tr w:rsidR="00E875E9" w:rsidRPr="00A34793" w14:paraId="24A517F9" w14:textId="77777777" w:rsidTr="003C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66D93088" w14:textId="77777777" w:rsidR="00E875E9" w:rsidRPr="00A34793" w:rsidRDefault="00E875E9" w:rsidP="003C59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27AF12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Baseline</w:t>
            </w:r>
          </w:p>
          <w:p w14:paraId="4E740959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Mean (SD)</w:t>
            </w:r>
          </w:p>
        </w:tc>
        <w:tc>
          <w:tcPr>
            <w:tcW w:w="1980" w:type="dxa"/>
          </w:tcPr>
          <w:p w14:paraId="549783EE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First Follow-up</w:t>
            </w:r>
          </w:p>
          <w:p w14:paraId="53AD312E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Mean (SD)</w:t>
            </w:r>
          </w:p>
        </w:tc>
        <w:tc>
          <w:tcPr>
            <w:tcW w:w="2280" w:type="dxa"/>
          </w:tcPr>
          <w:p w14:paraId="364484E2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Second Follow-up</w:t>
            </w:r>
          </w:p>
          <w:p w14:paraId="7DAA9D67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Mean (SD)</w:t>
            </w:r>
          </w:p>
        </w:tc>
        <w:tc>
          <w:tcPr>
            <w:tcW w:w="997" w:type="dxa"/>
          </w:tcPr>
          <w:p w14:paraId="15656751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  <w:r w:rsidRPr="00A3479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7" w:type="dxa"/>
          </w:tcPr>
          <w:p w14:paraId="6E393B4E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  <w:r w:rsidRPr="00A3479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</w:tr>
      <w:tr w:rsidR="00E875E9" w:rsidRPr="00A34793" w14:paraId="15734F8B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6C957004" w14:textId="77777777" w:rsidR="00E875E9" w:rsidRPr="00A34793" w:rsidRDefault="00E875E9" w:rsidP="003C590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BCVA</w:t>
            </w:r>
          </w:p>
        </w:tc>
        <w:tc>
          <w:tcPr>
            <w:tcW w:w="1784" w:type="dxa"/>
          </w:tcPr>
          <w:p w14:paraId="3BF72B03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0.01 (0.03)</w:t>
            </w:r>
          </w:p>
        </w:tc>
        <w:tc>
          <w:tcPr>
            <w:tcW w:w="1980" w:type="dxa"/>
          </w:tcPr>
          <w:p w14:paraId="1439D8C0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0.01 (0.02)</w:t>
            </w:r>
          </w:p>
        </w:tc>
        <w:tc>
          <w:tcPr>
            <w:tcW w:w="2280" w:type="dxa"/>
          </w:tcPr>
          <w:p w14:paraId="0A3CFC3E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0.01 (0.03)</w:t>
            </w:r>
          </w:p>
        </w:tc>
        <w:tc>
          <w:tcPr>
            <w:tcW w:w="997" w:type="dxa"/>
          </w:tcPr>
          <w:p w14:paraId="60A59CBB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0.052</w:t>
            </w:r>
          </w:p>
        </w:tc>
        <w:tc>
          <w:tcPr>
            <w:tcW w:w="997" w:type="dxa"/>
          </w:tcPr>
          <w:p w14:paraId="4C7A9357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0.967</w:t>
            </w:r>
          </w:p>
        </w:tc>
      </w:tr>
      <w:tr w:rsidR="00E875E9" w:rsidRPr="00A34793" w14:paraId="1B8873EB" w14:textId="77777777" w:rsidTr="003C590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03BF404C" w14:textId="77777777" w:rsidR="00E875E9" w:rsidRPr="00A34793" w:rsidRDefault="00E875E9" w:rsidP="003C59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UCVA</w:t>
            </w:r>
          </w:p>
        </w:tc>
        <w:tc>
          <w:tcPr>
            <w:tcW w:w="1784" w:type="dxa"/>
          </w:tcPr>
          <w:p w14:paraId="5B124AF2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0.57 (0.37)</w:t>
            </w:r>
          </w:p>
        </w:tc>
        <w:tc>
          <w:tcPr>
            <w:tcW w:w="1980" w:type="dxa"/>
          </w:tcPr>
          <w:p w14:paraId="67D20D9D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0.64 (0.36)</w:t>
            </w:r>
          </w:p>
        </w:tc>
        <w:tc>
          <w:tcPr>
            <w:tcW w:w="2280" w:type="dxa"/>
          </w:tcPr>
          <w:p w14:paraId="006128DD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0.70 (0.36)</w:t>
            </w:r>
          </w:p>
        </w:tc>
        <w:tc>
          <w:tcPr>
            <w:tcW w:w="997" w:type="dxa"/>
          </w:tcPr>
          <w:p w14:paraId="2A695E2F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997" w:type="dxa"/>
          </w:tcPr>
          <w:p w14:paraId="274EF7E2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  <w:tr w:rsidR="00E875E9" w:rsidRPr="00A34793" w14:paraId="18E5C22E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</w:tcPr>
          <w:p w14:paraId="5CD3B78A" w14:textId="77777777" w:rsidR="00E875E9" w:rsidRPr="00A34793" w:rsidRDefault="00E875E9" w:rsidP="003C59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SE (D)</w:t>
            </w:r>
          </w:p>
        </w:tc>
        <w:tc>
          <w:tcPr>
            <w:tcW w:w="1784" w:type="dxa"/>
          </w:tcPr>
          <w:p w14:paraId="413519AD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-2.62 (0.78)</w:t>
            </w:r>
          </w:p>
        </w:tc>
        <w:tc>
          <w:tcPr>
            <w:tcW w:w="1980" w:type="dxa"/>
          </w:tcPr>
          <w:p w14:paraId="2D26D4F2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-2.91 (0.68)</w:t>
            </w:r>
          </w:p>
        </w:tc>
        <w:tc>
          <w:tcPr>
            <w:tcW w:w="2280" w:type="dxa"/>
          </w:tcPr>
          <w:p w14:paraId="45C40C40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-3.35 (0.34)</w:t>
            </w:r>
          </w:p>
        </w:tc>
        <w:tc>
          <w:tcPr>
            <w:tcW w:w="997" w:type="dxa"/>
          </w:tcPr>
          <w:p w14:paraId="0D16BFE8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997" w:type="dxa"/>
          </w:tcPr>
          <w:p w14:paraId="3CCCD3CA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</w:tbl>
    <w:p w14:paraId="4157115D" w14:textId="77777777" w:rsidR="00E875E9" w:rsidRPr="00A34793" w:rsidRDefault="00E875E9" w:rsidP="00E875E9">
      <w:pPr>
        <w:rPr>
          <w:rFonts w:asciiTheme="majorBidi" w:hAnsiTheme="majorBidi" w:cstheme="majorBidi"/>
          <w:i/>
          <w:iCs/>
          <w:sz w:val="16"/>
          <w:szCs w:val="16"/>
        </w:rPr>
      </w:pPr>
      <w:r w:rsidRPr="00A34793">
        <w:rPr>
          <w:rFonts w:asciiTheme="majorBidi" w:hAnsiTheme="majorBidi" w:cstheme="majorBidi"/>
          <w:i/>
          <w:iCs/>
          <w:sz w:val="16"/>
          <w:szCs w:val="16"/>
        </w:rPr>
        <w:t>* Comparing Baseline and First Follow-up</w:t>
      </w:r>
    </w:p>
    <w:p w14:paraId="4441EE88" w14:textId="77777777" w:rsidR="00E875E9" w:rsidRPr="00A34793" w:rsidRDefault="00E875E9" w:rsidP="00E875E9">
      <w:pPr>
        <w:rPr>
          <w:rFonts w:asciiTheme="majorBidi" w:hAnsiTheme="majorBidi" w:cstheme="majorBidi"/>
          <w:i/>
          <w:iCs/>
          <w:sz w:val="16"/>
          <w:szCs w:val="16"/>
        </w:rPr>
      </w:pPr>
      <w:r w:rsidRPr="00A34793">
        <w:rPr>
          <w:rFonts w:asciiTheme="majorBidi" w:hAnsiTheme="majorBidi" w:cstheme="majorBidi"/>
          <w:i/>
          <w:iCs/>
          <w:sz w:val="16"/>
          <w:szCs w:val="16"/>
        </w:rPr>
        <w:t>** Comparing First and Second Follow-up</w:t>
      </w:r>
    </w:p>
    <w:p w14:paraId="3068B7C4" w14:textId="77777777" w:rsidR="00E875E9" w:rsidRPr="00A34793" w:rsidRDefault="00E875E9" w:rsidP="00E875E9">
      <w:pPr>
        <w:rPr>
          <w:rFonts w:asciiTheme="majorBidi" w:hAnsiTheme="majorBidi" w:cstheme="majorBidi"/>
          <w:i/>
          <w:iCs/>
          <w:sz w:val="20"/>
          <w:szCs w:val="20"/>
        </w:rPr>
      </w:pPr>
      <w:r w:rsidRPr="00A34793">
        <w:rPr>
          <w:rFonts w:asciiTheme="majorBidi" w:hAnsiTheme="majorBidi" w:cstheme="majorBidi"/>
          <w:i/>
          <w:iCs/>
          <w:sz w:val="16"/>
          <w:szCs w:val="16"/>
        </w:rPr>
        <w:t>BCVA, best-corrected visual acuity; UCVA, uncorrected visual acuity; SE, spherical equivalence; SD, standard deviation; D, diopters</w:t>
      </w:r>
    </w:p>
    <w:p w14:paraId="3C5EA44F" w14:textId="77777777" w:rsidR="00E875E9" w:rsidRPr="00A34793" w:rsidRDefault="00E875E9" w:rsidP="00E875E9">
      <w:pPr>
        <w:spacing w:line="480" w:lineRule="auto"/>
        <w:rPr>
          <w:rFonts w:asciiTheme="majorBidi" w:hAnsiTheme="majorBidi" w:cstheme="majorBidi"/>
        </w:rPr>
      </w:pPr>
    </w:p>
    <w:p w14:paraId="15D236D4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C8E2B79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5268D3C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3050D31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3D7D4D7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A0CECE2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CE87D75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E21C5CC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0AE0A36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FCA9110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92BC551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F3D783C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43A7E65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30FD868" w14:textId="7777777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1EE0750" w14:textId="1BA17E17" w:rsidR="00E875E9" w:rsidRPr="00A34793" w:rsidRDefault="00E875E9" w:rsidP="00E875E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34793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2D4C17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A34793">
        <w:rPr>
          <w:rFonts w:asciiTheme="majorBidi" w:hAnsiTheme="majorBidi" w:cstheme="majorBidi"/>
          <w:b/>
          <w:bCs/>
          <w:sz w:val="20"/>
          <w:szCs w:val="20"/>
        </w:rPr>
        <w:t>: Event rates of spherical equivalent progression for baseline characteristics (Supplementary material)</w:t>
      </w:r>
    </w:p>
    <w:tbl>
      <w:tblPr>
        <w:tblStyle w:val="PlainTable21"/>
        <w:tblW w:w="9731" w:type="dxa"/>
        <w:tblLook w:val="04A0" w:firstRow="1" w:lastRow="0" w:firstColumn="1" w:lastColumn="0" w:noHBand="0" w:noVBand="1"/>
      </w:tblPr>
      <w:tblGrid>
        <w:gridCol w:w="2875"/>
        <w:gridCol w:w="1710"/>
        <w:gridCol w:w="3062"/>
        <w:gridCol w:w="2084"/>
      </w:tblGrid>
      <w:tr w:rsidR="00E875E9" w:rsidRPr="00A34793" w14:paraId="7E0B04D4" w14:textId="77777777" w:rsidTr="003C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hideMark/>
          </w:tcPr>
          <w:p w14:paraId="539B79BA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C</w:t>
            </w:r>
            <w:r w:rsidRPr="00A34793">
              <w:rPr>
                <w:rFonts w:asciiTheme="majorBidi" w:hAnsiTheme="majorBidi" w:cstheme="majorBidi"/>
                <w:sz w:val="20"/>
                <w:szCs w:val="20"/>
              </w:rPr>
              <w:t>haracteristic</w:t>
            </w:r>
          </w:p>
        </w:tc>
        <w:tc>
          <w:tcPr>
            <w:tcW w:w="1710" w:type="dxa"/>
            <w:noWrap/>
          </w:tcPr>
          <w:p w14:paraId="0E99C38B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BEF5F59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(%) *</w:t>
            </w:r>
          </w:p>
        </w:tc>
        <w:tc>
          <w:tcPr>
            <w:tcW w:w="2084" w:type="dxa"/>
            <w:noWrap/>
          </w:tcPr>
          <w:p w14:paraId="6929A77B" w14:textId="77777777" w:rsidR="00E875E9" w:rsidRPr="00A34793" w:rsidRDefault="00E875E9" w:rsidP="003C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p-value</w:t>
            </w:r>
          </w:p>
        </w:tc>
      </w:tr>
      <w:tr w:rsidR="00E875E9" w:rsidRPr="00A34793" w14:paraId="7AFC7FA6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07C52F7B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 Group</w:t>
            </w:r>
          </w:p>
        </w:tc>
        <w:tc>
          <w:tcPr>
            <w:tcW w:w="1710" w:type="dxa"/>
            <w:noWrap/>
          </w:tcPr>
          <w:p w14:paraId="32BB3BE7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6–9 years</w:t>
            </w:r>
          </w:p>
        </w:tc>
        <w:tc>
          <w:tcPr>
            <w:tcW w:w="3062" w:type="dxa"/>
          </w:tcPr>
          <w:p w14:paraId="53F5EBED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 (85)</w:t>
            </w:r>
          </w:p>
        </w:tc>
        <w:tc>
          <w:tcPr>
            <w:tcW w:w="2084" w:type="dxa"/>
            <w:vMerge w:val="restart"/>
            <w:noWrap/>
          </w:tcPr>
          <w:p w14:paraId="1C68C93A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0.031</w:t>
            </w:r>
          </w:p>
        </w:tc>
      </w:tr>
      <w:tr w:rsidR="00E875E9" w:rsidRPr="00A34793" w14:paraId="50D7E537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43B9EB61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4E87CD9E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10–14 years</w:t>
            </w:r>
          </w:p>
        </w:tc>
        <w:tc>
          <w:tcPr>
            <w:tcW w:w="3062" w:type="dxa"/>
          </w:tcPr>
          <w:p w14:paraId="4AE7F705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151 (69)</w:t>
            </w:r>
          </w:p>
        </w:tc>
        <w:tc>
          <w:tcPr>
            <w:tcW w:w="2084" w:type="dxa"/>
            <w:vMerge/>
            <w:noWrap/>
          </w:tcPr>
          <w:p w14:paraId="3FFC65BD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6A02F004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05815BDB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noWrap/>
          </w:tcPr>
          <w:p w14:paraId="4EAD911D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062" w:type="dxa"/>
          </w:tcPr>
          <w:p w14:paraId="73A4D3FB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 (69)</w:t>
            </w:r>
          </w:p>
        </w:tc>
        <w:tc>
          <w:tcPr>
            <w:tcW w:w="2084" w:type="dxa"/>
            <w:vMerge w:val="restart"/>
            <w:noWrap/>
          </w:tcPr>
          <w:p w14:paraId="15654B35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0.104</w:t>
            </w:r>
          </w:p>
        </w:tc>
      </w:tr>
      <w:tr w:rsidR="00E875E9" w:rsidRPr="00A34793" w14:paraId="46E2F9C8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0DBEB966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68DB3FC4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062" w:type="dxa"/>
          </w:tcPr>
          <w:p w14:paraId="3E2A2782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 (76)</w:t>
            </w:r>
          </w:p>
        </w:tc>
        <w:tc>
          <w:tcPr>
            <w:tcW w:w="2084" w:type="dxa"/>
            <w:vMerge/>
            <w:noWrap/>
          </w:tcPr>
          <w:p w14:paraId="723A6FE1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242BE748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0C954EFE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Educational screen usage</w:t>
            </w:r>
          </w:p>
        </w:tc>
        <w:tc>
          <w:tcPr>
            <w:tcW w:w="1710" w:type="dxa"/>
            <w:noWrap/>
          </w:tcPr>
          <w:p w14:paraId="570417E0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3062" w:type="dxa"/>
          </w:tcPr>
          <w:p w14:paraId="5314CFA7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(57)</w:t>
            </w:r>
          </w:p>
        </w:tc>
        <w:tc>
          <w:tcPr>
            <w:tcW w:w="2084" w:type="dxa"/>
            <w:vMerge w:val="restart"/>
            <w:noWrap/>
          </w:tcPr>
          <w:p w14:paraId="606F2D5B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0.086</w:t>
            </w:r>
          </w:p>
        </w:tc>
      </w:tr>
      <w:tr w:rsidR="00E875E9" w:rsidRPr="00A34793" w14:paraId="7006853A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43548C39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1D944319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3062" w:type="dxa"/>
          </w:tcPr>
          <w:p w14:paraId="5BDEC822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 (71)</w:t>
            </w:r>
          </w:p>
        </w:tc>
        <w:tc>
          <w:tcPr>
            <w:tcW w:w="2084" w:type="dxa"/>
            <w:vMerge/>
            <w:noWrap/>
          </w:tcPr>
          <w:p w14:paraId="0CB0A715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430C51E0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4531EF8A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27BF6982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3062" w:type="dxa"/>
          </w:tcPr>
          <w:p w14:paraId="753F7B09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 (84)</w:t>
            </w:r>
          </w:p>
        </w:tc>
        <w:tc>
          <w:tcPr>
            <w:tcW w:w="2084" w:type="dxa"/>
            <w:vMerge/>
            <w:noWrap/>
          </w:tcPr>
          <w:p w14:paraId="1F600E2B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68827AC8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4AADD870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Recreational screen usage</w:t>
            </w:r>
          </w:p>
        </w:tc>
        <w:tc>
          <w:tcPr>
            <w:tcW w:w="1710" w:type="dxa"/>
            <w:noWrap/>
          </w:tcPr>
          <w:p w14:paraId="0A552745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3062" w:type="dxa"/>
          </w:tcPr>
          <w:p w14:paraId="7FD028BA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(51)</w:t>
            </w:r>
          </w:p>
        </w:tc>
        <w:tc>
          <w:tcPr>
            <w:tcW w:w="2084" w:type="dxa"/>
            <w:vMerge w:val="restart"/>
            <w:noWrap/>
          </w:tcPr>
          <w:p w14:paraId="6FB75D48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</w:t>
            </w:r>
          </w:p>
        </w:tc>
      </w:tr>
      <w:tr w:rsidR="00E875E9" w:rsidRPr="00A34793" w14:paraId="2725E304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70AD2C96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3E945FD7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3062" w:type="dxa"/>
          </w:tcPr>
          <w:p w14:paraId="5D2DA3EE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 (68)</w:t>
            </w:r>
          </w:p>
        </w:tc>
        <w:tc>
          <w:tcPr>
            <w:tcW w:w="2084" w:type="dxa"/>
            <w:vMerge/>
            <w:noWrap/>
          </w:tcPr>
          <w:p w14:paraId="3AF6BFB9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5D2C75A3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7382DCE1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7E608810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3062" w:type="dxa"/>
          </w:tcPr>
          <w:p w14:paraId="5850D668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 (95)</w:t>
            </w:r>
          </w:p>
        </w:tc>
        <w:tc>
          <w:tcPr>
            <w:tcW w:w="2084" w:type="dxa"/>
            <w:vMerge/>
            <w:noWrap/>
          </w:tcPr>
          <w:p w14:paraId="303E32B7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0014B748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0DA9E248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Device</w:t>
            </w:r>
          </w:p>
        </w:tc>
        <w:tc>
          <w:tcPr>
            <w:tcW w:w="1710" w:type="dxa"/>
            <w:noWrap/>
          </w:tcPr>
          <w:p w14:paraId="495AA57E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3062" w:type="dxa"/>
          </w:tcPr>
          <w:p w14:paraId="358BBB99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(65)</w:t>
            </w:r>
          </w:p>
        </w:tc>
        <w:tc>
          <w:tcPr>
            <w:tcW w:w="2084" w:type="dxa"/>
            <w:vMerge w:val="restart"/>
            <w:noWrap/>
          </w:tcPr>
          <w:p w14:paraId="4CA8BAD7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0.982</w:t>
            </w:r>
          </w:p>
        </w:tc>
      </w:tr>
      <w:tr w:rsidR="00E875E9" w:rsidRPr="00A34793" w14:paraId="56782A01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35C7EB39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5197A7AC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Computer</w:t>
            </w:r>
          </w:p>
        </w:tc>
        <w:tc>
          <w:tcPr>
            <w:tcW w:w="3062" w:type="dxa"/>
          </w:tcPr>
          <w:p w14:paraId="42086147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(57)</w:t>
            </w:r>
          </w:p>
        </w:tc>
        <w:tc>
          <w:tcPr>
            <w:tcW w:w="2084" w:type="dxa"/>
            <w:vMerge/>
            <w:noWrap/>
          </w:tcPr>
          <w:p w14:paraId="5688BAEE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314DE2AF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5AF057A1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515EB193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3062" w:type="dxa"/>
          </w:tcPr>
          <w:p w14:paraId="38CF386F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(74)</w:t>
            </w:r>
          </w:p>
        </w:tc>
        <w:tc>
          <w:tcPr>
            <w:tcW w:w="2084" w:type="dxa"/>
            <w:vMerge/>
            <w:noWrap/>
          </w:tcPr>
          <w:p w14:paraId="00B4C09C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19CA0F33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13FE2E64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19467701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3062" w:type="dxa"/>
          </w:tcPr>
          <w:p w14:paraId="3F5013D4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 (76)</w:t>
            </w:r>
          </w:p>
        </w:tc>
        <w:tc>
          <w:tcPr>
            <w:tcW w:w="2084" w:type="dxa"/>
            <w:vMerge/>
            <w:noWrap/>
          </w:tcPr>
          <w:p w14:paraId="7E157F85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875E9" w:rsidRPr="00A34793" w14:paraId="67DC92F7" w14:textId="77777777" w:rsidTr="003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noWrap/>
            <w:hideMark/>
          </w:tcPr>
          <w:p w14:paraId="77B5D0FF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Outdoor time</w:t>
            </w:r>
          </w:p>
        </w:tc>
        <w:tc>
          <w:tcPr>
            <w:tcW w:w="1710" w:type="dxa"/>
            <w:noWrap/>
          </w:tcPr>
          <w:p w14:paraId="151FACB1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Insufficient</w:t>
            </w:r>
          </w:p>
        </w:tc>
        <w:tc>
          <w:tcPr>
            <w:tcW w:w="3062" w:type="dxa"/>
          </w:tcPr>
          <w:p w14:paraId="7B30C50F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209 (79)</w:t>
            </w:r>
          </w:p>
        </w:tc>
        <w:tc>
          <w:tcPr>
            <w:tcW w:w="2084" w:type="dxa"/>
            <w:vMerge w:val="restart"/>
            <w:noWrap/>
          </w:tcPr>
          <w:p w14:paraId="1904CA96" w14:textId="77777777" w:rsidR="00E875E9" w:rsidRPr="00A34793" w:rsidRDefault="00E875E9" w:rsidP="003C5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</w:tr>
      <w:tr w:rsidR="00E875E9" w:rsidRPr="00A34793" w14:paraId="20D1D1EF" w14:textId="77777777" w:rsidTr="003C5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noWrap/>
          </w:tcPr>
          <w:p w14:paraId="13FEE998" w14:textId="77777777" w:rsidR="00E875E9" w:rsidRPr="00A34793" w:rsidRDefault="00E875E9" w:rsidP="003C590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35543A38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Sufficient</w:t>
            </w:r>
          </w:p>
        </w:tc>
        <w:tc>
          <w:tcPr>
            <w:tcW w:w="3062" w:type="dxa"/>
          </w:tcPr>
          <w:p w14:paraId="7B4A538D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3479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 (33)</w:t>
            </w:r>
          </w:p>
        </w:tc>
        <w:tc>
          <w:tcPr>
            <w:tcW w:w="2084" w:type="dxa"/>
            <w:vMerge/>
            <w:noWrap/>
          </w:tcPr>
          <w:p w14:paraId="6D7446ED" w14:textId="77777777" w:rsidR="00E875E9" w:rsidRPr="00A34793" w:rsidRDefault="00E875E9" w:rsidP="003C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2C6F7D97" w14:textId="77777777" w:rsidR="00E875E9" w:rsidRPr="00A34793" w:rsidRDefault="00E875E9" w:rsidP="00E875E9">
      <w:pPr>
        <w:rPr>
          <w:rFonts w:asciiTheme="majorBidi" w:hAnsiTheme="majorBidi" w:cstheme="majorBidi"/>
          <w:i/>
          <w:iCs/>
          <w:sz w:val="20"/>
          <w:szCs w:val="20"/>
        </w:rPr>
      </w:pPr>
      <w:r w:rsidRPr="00A34793">
        <w:rPr>
          <w:rFonts w:asciiTheme="majorBidi" w:hAnsiTheme="majorBidi" w:cstheme="majorBidi"/>
          <w:sz w:val="20"/>
          <w:szCs w:val="20"/>
        </w:rPr>
        <w:t>*</w:t>
      </w:r>
      <w:r w:rsidRPr="00A34793">
        <w:rPr>
          <w:rFonts w:asciiTheme="majorBidi" w:hAnsiTheme="majorBidi" w:cstheme="majorBidi"/>
          <w:i/>
          <w:iCs/>
          <w:sz w:val="20"/>
          <w:szCs w:val="20"/>
        </w:rPr>
        <w:t>Percentages were calculated based on the number of patients in each baseline characteristic subgroup.</w:t>
      </w:r>
    </w:p>
    <w:p w14:paraId="4183610E" w14:textId="77777777" w:rsidR="00D86F32" w:rsidRDefault="00B52F2B"/>
    <w:sectPr w:rsidR="00D86F32" w:rsidSect="002D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9"/>
    <w:rsid w:val="00004D7B"/>
    <w:rsid w:val="00023FC7"/>
    <w:rsid w:val="000426F6"/>
    <w:rsid w:val="00080D47"/>
    <w:rsid w:val="000B6A40"/>
    <w:rsid w:val="000D2D19"/>
    <w:rsid w:val="000E0990"/>
    <w:rsid w:val="0017072F"/>
    <w:rsid w:val="001B6341"/>
    <w:rsid w:val="001F1E31"/>
    <w:rsid w:val="001F2121"/>
    <w:rsid w:val="00230C80"/>
    <w:rsid w:val="00253DB6"/>
    <w:rsid w:val="0026712E"/>
    <w:rsid w:val="002805C7"/>
    <w:rsid w:val="002B302F"/>
    <w:rsid w:val="002D1102"/>
    <w:rsid w:val="002D4C17"/>
    <w:rsid w:val="002F346E"/>
    <w:rsid w:val="002F41AE"/>
    <w:rsid w:val="00326382"/>
    <w:rsid w:val="00370A94"/>
    <w:rsid w:val="003B3A03"/>
    <w:rsid w:val="003F63AF"/>
    <w:rsid w:val="00405390"/>
    <w:rsid w:val="00432D1A"/>
    <w:rsid w:val="00435138"/>
    <w:rsid w:val="00442B7A"/>
    <w:rsid w:val="004550F8"/>
    <w:rsid w:val="00472F35"/>
    <w:rsid w:val="00474201"/>
    <w:rsid w:val="00495D76"/>
    <w:rsid w:val="004A0BAE"/>
    <w:rsid w:val="004C20A4"/>
    <w:rsid w:val="004D035E"/>
    <w:rsid w:val="004E0412"/>
    <w:rsid w:val="004E420F"/>
    <w:rsid w:val="005963F6"/>
    <w:rsid w:val="00600E16"/>
    <w:rsid w:val="00634D87"/>
    <w:rsid w:val="00656A4B"/>
    <w:rsid w:val="006A1D4A"/>
    <w:rsid w:val="006F2D9B"/>
    <w:rsid w:val="007656DF"/>
    <w:rsid w:val="007D40BD"/>
    <w:rsid w:val="00813C11"/>
    <w:rsid w:val="008147D8"/>
    <w:rsid w:val="00820EDC"/>
    <w:rsid w:val="0082568B"/>
    <w:rsid w:val="00825DC7"/>
    <w:rsid w:val="008335B8"/>
    <w:rsid w:val="00835F90"/>
    <w:rsid w:val="00840381"/>
    <w:rsid w:val="00844251"/>
    <w:rsid w:val="008516E8"/>
    <w:rsid w:val="008C2E5F"/>
    <w:rsid w:val="00920282"/>
    <w:rsid w:val="009211E1"/>
    <w:rsid w:val="0095047A"/>
    <w:rsid w:val="009758FF"/>
    <w:rsid w:val="009A690A"/>
    <w:rsid w:val="00A02FF0"/>
    <w:rsid w:val="00A27C7C"/>
    <w:rsid w:val="00A36D91"/>
    <w:rsid w:val="00A75D55"/>
    <w:rsid w:val="00A9260E"/>
    <w:rsid w:val="00AB08A0"/>
    <w:rsid w:val="00B0531D"/>
    <w:rsid w:val="00B231BB"/>
    <w:rsid w:val="00B30448"/>
    <w:rsid w:val="00B45C2B"/>
    <w:rsid w:val="00B52F2B"/>
    <w:rsid w:val="00B66427"/>
    <w:rsid w:val="00BB2A08"/>
    <w:rsid w:val="00BD5E71"/>
    <w:rsid w:val="00C2068D"/>
    <w:rsid w:val="00CA2D13"/>
    <w:rsid w:val="00CC29C9"/>
    <w:rsid w:val="00CE542B"/>
    <w:rsid w:val="00CF1862"/>
    <w:rsid w:val="00D26B94"/>
    <w:rsid w:val="00D64AE4"/>
    <w:rsid w:val="00D76D09"/>
    <w:rsid w:val="00D807D1"/>
    <w:rsid w:val="00DE6711"/>
    <w:rsid w:val="00DE6B09"/>
    <w:rsid w:val="00E875E9"/>
    <w:rsid w:val="00EB6BD7"/>
    <w:rsid w:val="00EC2389"/>
    <w:rsid w:val="00EC3125"/>
    <w:rsid w:val="00EE579F"/>
    <w:rsid w:val="00EF7C39"/>
    <w:rsid w:val="00F00260"/>
    <w:rsid w:val="00F82C04"/>
    <w:rsid w:val="00FA5E4F"/>
    <w:rsid w:val="00FA5E85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77A5B"/>
  <w15:chartTrackingRefBased/>
  <w15:docId w15:val="{8B2A2C01-79DC-2C4F-B790-26433DA9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5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E87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 alfreihi</dc:creator>
  <cp:keywords/>
  <dc:description/>
  <cp:lastModifiedBy>shatha alfreihi</cp:lastModifiedBy>
  <cp:revision>3</cp:revision>
  <dcterms:created xsi:type="dcterms:W3CDTF">2022-05-31T14:41:00Z</dcterms:created>
  <dcterms:modified xsi:type="dcterms:W3CDTF">2022-06-01T09:08:00Z</dcterms:modified>
</cp:coreProperties>
</file>