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96" w:rsidRDefault="00F82496" w:rsidP="00320952">
      <w:pPr>
        <w:rPr>
          <w:rFonts w:ascii="Arial" w:hAnsi="Arial" w:cs="Arial"/>
          <w:b/>
          <w:bCs/>
          <w:szCs w:val="20"/>
          <w:lang w:val="en-US"/>
        </w:rPr>
      </w:pPr>
      <w:r w:rsidRPr="00F82496">
        <w:rPr>
          <w:rFonts w:ascii="Arial" w:hAnsi="Arial" w:cs="Arial"/>
          <w:b/>
          <w:bCs/>
          <w:szCs w:val="20"/>
          <w:lang w:val="en-US"/>
        </w:rPr>
        <w:t xml:space="preserve">Supplementary </w:t>
      </w:r>
      <w:r w:rsidR="00320952" w:rsidRPr="00F82496">
        <w:rPr>
          <w:rFonts w:ascii="Arial" w:hAnsi="Arial" w:cs="Arial"/>
          <w:b/>
          <w:bCs/>
          <w:szCs w:val="20"/>
          <w:lang w:val="en-US"/>
        </w:rPr>
        <w:t>Table</w:t>
      </w:r>
      <w:r>
        <w:rPr>
          <w:rFonts w:ascii="Arial" w:hAnsi="Arial" w:cs="Arial"/>
          <w:b/>
          <w:bCs/>
          <w:szCs w:val="20"/>
          <w:lang w:val="en-US"/>
        </w:rPr>
        <w:t>s</w:t>
      </w:r>
    </w:p>
    <w:p w:rsidR="00320952" w:rsidRPr="00F82496" w:rsidRDefault="00F82496" w:rsidP="0032095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F82496">
        <w:rPr>
          <w:rFonts w:ascii="Arial" w:hAnsi="Arial" w:cs="Arial"/>
          <w:b/>
          <w:bCs/>
          <w:sz w:val="20"/>
          <w:szCs w:val="20"/>
          <w:lang w:val="en-US"/>
        </w:rPr>
        <w:t>Supplementary Table</w:t>
      </w:r>
      <w:r w:rsidR="00320952" w:rsidRPr="00F82496">
        <w:rPr>
          <w:rFonts w:ascii="Arial" w:hAnsi="Arial" w:cs="Arial"/>
          <w:b/>
          <w:bCs/>
          <w:sz w:val="20"/>
          <w:szCs w:val="20"/>
          <w:lang w:val="en-US"/>
        </w:rPr>
        <w:t xml:space="preserve"> 1: Characteristics of AMI cases</w:t>
      </w:r>
    </w:p>
    <w:tbl>
      <w:tblPr>
        <w:tblStyle w:val="C-Table"/>
        <w:tblW w:w="9348" w:type="dxa"/>
        <w:tblLayout w:type="fixed"/>
        <w:tblLook w:val="0000" w:firstRow="0" w:lastRow="0" w:firstColumn="0" w:lastColumn="0" w:noHBand="0" w:noVBand="0"/>
      </w:tblPr>
      <w:tblGrid>
        <w:gridCol w:w="7479"/>
        <w:gridCol w:w="1869"/>
      </w:tblGrid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keepNext/>
              <w:adjustRightInd w:val="0"/>
              <w:spacing w:before="32" w:after="3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>Characteristics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>N (%)</w:t>
            </w:r>
          </w:p>
        </w:tc>
      </w:tr>
      <w:tr w:rsidR="00320952" w:rsidRPr="00F82496" w:rsidTr="00320952">
        <w:tc>
          <w:tcPr>
            <w:tcW w:w="9348" w:type="dxa"/>
            <w:gridSpan w:val="2"/>
          </w:tcPr>
          <w:p w:rsidR="00320952" w:rsidRPr="00F82496" w:rsidRDefault="00320952" w:rsidP="00F82496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>Demographics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Age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at index date,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75 [67-82]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Sex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Female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125 (50.0%)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Highest attained level of education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F82496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Basic secondary degree/secondary degree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35 (14.0%)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F82496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Higher Education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24 (9.6%)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F82496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Missing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191 (76.4%)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Number of Hospital visits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 w:rsidR="00F82496"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 [1-2]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Days spent in Hospital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 w:rsidR="00F82496"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[0-2]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Number of different ATC</w:t>
            </w:r>
            <w:r w:rsidR="00F82496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codes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 w:rsidR="00F82496"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 [3-12]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Obesity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(ICD-10 code</w:t>
            </w:r>
            <w:r w:rsidR="00F82496">
              <w:rPr>
                <w:rFonts w:ascii="Arial" w:hAnsi="Arial" w:cs="Arial"/>
                <w:color w:val="000000"/>
                <w:sz w:val="20"/>
              </w:rPr>
              <w:t xml:space="preserve"> in 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60 (24.0%)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Smoking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(ICD-10 code/dispensing indicating smoking </w:t>
            </w:r>
            <w:r w:rsidR="00F82496" w:rsidRPr="00F82496">
              <w:rPr>
                <w:rFonts w:ascii="Arial" w:hAnsi="Arial" w:cs="Arial"/>
                <w:color w:val="000000"/>
                <w:sz w:val="20"/>
              </w:rPr>
              <w:t>behaviour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 w:rsidR="00F82496">
              <w:rPr>
                <w:rFonts w:ascii="Arial" w:hAnsi="Arial" w:cs="Arial"/>
                <w:color w:val="000000"/>
                <w:sz w:val="20"/>
              </w:rPr>
              <w:t xml:space="preserve">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42 (16.8%)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Alcohol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(ICD-10 code indicating alcohol abuse in </w:t>
            </w:r>
            <w:r w:rsidR="00F82496">
              <w:rPr>
                <w:rFonts w:ascii="Arial" w:hAnsi="Arial" w:cs="Arial"/>
                <w:color w:val="000000"/>
                <w:sz w:val="20"/>
              </w:rPr>
              <w:t xml:space="preserve">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 (6.4%)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proofErr w:type="spellStart"/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Charlson</w:t>
            </w:r>
            <w:proofErr w:type="spellEnd"/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 Comorbidity Index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</w:t>
            </w:r>
            <w:r w:rsidR="00F82496"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year)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 [1-5]</w:t>
            </w:r>
          </w:p>
        </w:tc>
      </w:tr>
      <w:tr w:rsidR="00320952" w:rsidRPr="00F82496" w:rsidTr="00320952">
        <w:tc>
          <w:tcPr>
            <w:tcW w:w="9348" w:type="dxa"/>
            <w:gridSpan w:val="2"/>
          </w:tcPr>
          <w:p w:rsidR="00320952" w:rsidRPr="00F82496" w:rsidRDefault="00320952" w:rsidP="00F82496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Cardiovascular comorbidities/risk factors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(at least one recorded diagnosis)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Transient ischemic attack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20 (8.0%)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Heart failure 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95 (38.0%)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Arrhythmia 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110 (44.0%)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Established cardiovascular disease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175 (70.0%)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Stroke 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40 (16.0%)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Coronary/other arterial re-vascularisation procedures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48 (19.2%)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Peripheral arterial or vascular disease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74 (29.6%)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Hypercholesterolaemia, </w:t>
            </w:r>
            <w:r w:rsidR="00765ECA" w:rsidRPr="00F82496">
              <w:rPr>
                <w:rFonts w:ascii="Arial" w:hAnsi="Arial" w:cs="Arial"/>
                <w:color w:val="000000"/>
                <w:sz w:val="20"/>
              </w:rPr>
              <w:t>dyslipidaemia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or </w:t>
            </w:r>
            <w:r w:rsidR="00765ECA" w:rsidRPr="00F82496">
              <w:rPr>
                <w:rFonts w:ascii="Arial" w:hAnsi="Arial" w:cs="Arial"/>
                <w:color w:val="000000"/>
                <w:sz w:val="20"/>
              </w:rPr>
              <w:t>hyperlipidaemia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178 (71.2%)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Hypertension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217 (86.8%)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Type 2 diabetes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108 (43.2%)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Type 1 diabetes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36 (14.4%)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Secondary diabetes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89 (35.6%)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Ischemic heart disease (excl. </w:t>
            </w:r>
            <w:r w:rsidR="00F82496">
              <w:rPr>
                <w:rFonts w:ascii="Arial" w:hAnsi="Arial" w:cs="Arial"/>
                <w:color w:val="000000"/>
                <w:sz w:val="20"/>
              </w:rPr>
              <w:t>A</w:t>
            </w:r>
            <w:r w:rsidRPr="00F82496">
              <w:rPr>
                <w:rFonts w:ascii="Arial" w:hAnsi="Arial" w:cs="Arial"/>
                <w:color w:val="000000"/>
                <w:sz w:val="20"/>
              </w:rPr>
              <w:t>MI)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161 (64.4%)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Cerebrovascular disease (excl. stroke)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23 (9.2%)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Thromboembolism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17 (6.8%)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Liver failure/disease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(0%)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Chronic kidney disease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50 (20.0%)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Rheumatoid arthritis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25 (10.0%)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Eating disorder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 (3.6%)</w:t>
            </w:r>
          </w:p>
        </w:tc>
      </w:tr>
      <w:tr w:rsidR="00320952" w:rsidRPr="00F82496" w:rsidTr="00320952">
        <w:tc>
          <w:tcPr>
            <w:tcW w:w="9348" w:type="dxa"/>
            <w:gridSpan w:val="2"/>
          </w:tcPr>
          <w:p w:rsidR="00320952" w:rsidRPr="00F82496" w:rsidRDefault="00320952" w:rsidP="00F82496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Other comorbidities/risk factors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(at least one recorded diagnosis)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Cancer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59 (23.6%)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Asthma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40 (16.0%)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Chronic obstructive pulmonary disease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64 (25.6%)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Surgery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96 (38.4%)</w:t>
            </w:r>
          </w:p>
        </w:tc>
      </w:tr>
      <w:tr w:rsidR="00320952" w:rsidRPr="00F82496" w:rsidTr="00320952">
        <w:tc>
          <w:tcPr>
            <w:tcW w:w="9348" w:type="dxa"/>
            <w:gridSpan w:val="2"/>
          </w:tcPr>
          <w:p w:rsidR="00320952" w:rsidRPr="00F82496" w:rsidRDefault="00320952" w:rsidP="00F82496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Drug dispensings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(at least one dispensing </w:t>
            </w:r>
            <w:r w:rsidR="00F82496">
              <w:rPr>
                <w:rFonts w:ascii="Arial" w:hAnsi="Arial" w:cs="Arial"/>
                <w:color w:val="000000"/>
                <w:sz w:val="20"/>
              </w:rPr>
              <w:t>during previous year)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lastRenderedPageBreak/>
              <w:t>Alpha blockers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 (3.6%)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Beta blockers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123 (49.2%)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ACE-Inhibitors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93 (37.2%)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Angiotensin-II receptor blockers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80 (32.0%)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Calcium channel blockers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71 (28.4%)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Antiarrhythmics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 (1.2%)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Diuretics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86 (34.4%)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Anti-diabetes therapies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52 (20.8%)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Insulin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 (8.4%)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Lipid lowering drugs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99 (39.6%)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Low-dose aspirin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44 (17.6%)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Clopidogrel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14 (5.6%)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Other platelet-aggregation inhibitors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 (1.2%)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Vitamin K antagonists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18 (7.2%)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Heparins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11 (4.4%)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Direct thrombin inhibitors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 (0.8%)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Direct factor </w:t>
            </w:r>
            <w:proofErr w:type="spellStart"/>
            <w:r w:rsidRPr="00F82496">
              <w:rPr>
                <w:rFonts w:ascii="Arial" w:hAnsi="Arial" w:cs="Arial"/>
                <w:color w:val="000000"/>
                <w:sz w:val="20"/>
              </w:rPr>
              <w:t>Xa</w:t>
            </w:r>
            <w:proofErr w:type="spellEnd"/>
            <w:r w:rsidRPr="00F82496">
              <w:rPr>
                <w:rFonts w:ascii="Arial" w:hAnsi="Arial" w:cs="Arial"/>
                <w:color w:val="000000"/>
                <w:sz w:val="20"/>
              </w:rPr>
              <w:t xml:space="preserve"> inhibitors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14 (5.6%)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Systemic glucocorticoids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36 (14.4%)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Aromatase inhibitors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(0%)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Opioids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32 (12.8%)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Inhaled respiratory glucocorticoids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25 (10.0%)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Anti-neoplastic agents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 (1.6%)</w:t>
            </w:r>
          </w:p>
        </w:tc>
      </w:tr>
      <w:tr w:rsidR="00320952" w:rsidRPr="00F82496" w:rsidTr="00F82496">
        <w:tc>
          <w:tcPr>
            <w:tcW w:w="7479" w:type="dxa"/>
          </w:tcPr>
          <w:p w:rsidR="00320952" w:rsidRPr="00F82496" w:rsidRDefault="00320952" w:rsidP="00320952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Immunosuppressants</w:t>
            </w:r>
          </w:p>
        </w:tc>
        <w:tc>
          <w:tcPr>
            <w:tcW w:w="1869" w:type="dxa"/>
          </w:tcPr>
          <w:p w:rsidR="00320952" w:rsidRPr="00F82496" w:rsidRDefault="00320952" w:rsidP="00F82496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 (4.0%)</w:t>
            </w:r>
          </w:p>
        </w:tc>
      </w:tr>
    </w:tbl>
    <w:p w:rsidR="00320952" w:rsidRDefault="00320952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82496">
        <w:rPr>
          <w:rFonts w:ascii="Arial" w:hAnsi="Arial" w:cs="Arial"/>
          <w:sz w:val="20"/>
          <w:szCs w:val="20"/>
        </w:rPr>
        <w:br w:type="page"/>
      </w:r>
    </w:p>
    <w:p w:rsidR="004A6374" w:rsidRPr="00F82496" w:rsidRDefault="004A6374" w:rsidP="004A6374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F82496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 2: Characteristics of stroke cases</w:t>
      </w:r>
    </w:p>
    <w:tbl>
      <w:tblPr>
        <w:tblStyle w:val="C-Table"/>
        <w:tblW w:w="9064" w:type="dxa"/>
        <w:tblLayout w:type="fixed"/>
        <w:tblLook w:val="0000" w:firstRow="0" w:lastRow="0" w:firstColumn="0" w:lastColumn="0" w:noHBand="0" w:noVBand="0"/>
      </w:tblPr>
      <w:tblGrid>
        <w:gridCol w:w="7479"/>
        <w:gridCol w:w="1585"/>
      </w:tblGrid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>Characteristics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>N (%)</w:t>
            </w:r>
          </w:p>
        </w:tc>
      </w:tr>
      <w:tr w:rsidR="004A6374" w:rsidRPr="00F82496" w:rsidTr="001722B3">
        <w:tc>
          <w:tcPr>
            <w:tcW w:w="9064" w:type="dxa"/>
            <w:gridSpan w:val="2"/>
          </w:tcPr>
          <w:p w:rsidR="004A6374" w:rsidRPr="00F82496" w:rsidRDefault="004A6374" w:rsidP="001722B3">
            <w:pPr>
              <w:adjustRightInd w:val="0"/>
              <w:spacing w:before="32" w:after="32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Age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at index date,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Sex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Female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77 [68-83]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Highest attained level of education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125 (50.0%)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Basic secondary degree/secondary degree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Higher Education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29 (11.6%)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Missing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 (8.4%)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Number of Hospital visits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200 (80.0%)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Days spent in Hospital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 [1-2]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Number of different ATC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codes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 w:rsidR="007D1D57"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[0-2]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Obesity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(ICD-10 code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 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 [3-10]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Smoking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(ICD-10 code/dispensing indicating smoking behaviour in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66 (26.4%)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Alcohol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(ICD-10 code indicating alcohol abuse in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32 (12.8%)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proofErr w:type="spellStart"/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Charlson</w:t>
            </w:r>
            <w:proofErr w:type="spellEnd"/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 Comorbidity Index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year)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13 (5.2%)</w:t>
            </w:r>
          </w:p>
        </w:tc>
      </w:tr>
      <w:tr w:rsidR="004A6374" w:rsidRPr="00F82496" w:rsidTr="001722B3">
        <w:tc>
          <w:tcPr>
            <w:tcW w:w="9064" w:type="dxa"/>
            <w:gridSpan w:val="2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Cardiovascular comorbidities/risk factors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(at least one recorded diagnosis)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Transient ischemic attack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 (8.4%)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Heart failure 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77 (30.8%)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Arrhythmia 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123 (49.2%)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Established cardiovascular disease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128 (51.2%)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Stroke 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108 (43.2%)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Coronary/other arterial re-vascularisation procedures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30 (12.0%)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Peripheral arterial or vascular disease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61 (24.4%)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765ECA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Hypercholesterolaemia</w:t>
            </w:r>
            <w:r w:rsidR="004A6374" w:rsidRPr="00F8249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dyslipidaemia</w:t>
            </w:r>
            <w:r w:rsidR="004A6374" w:rsidRPr="00F82496">
              <w:rPr>
                <w:rFonts w:ascii="Arial" w:hAnsi="Arial" w:cs="Arial"/>
                <w:color w:val="000000"/>
                <w:sz w:val="20"/>
              </w:rPr>
              <w:t xml:space="preserve"> or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hyperlipidaemia</w:t>
            </w:r>
            <w:r w:rsidR="004A6374" w:rsidRPr="00F8249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168 (67.2%)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Hypertension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216 (86.4%)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Type 2 diabetes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81 (32.4%)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Type 1 diabetes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24 (9.6%)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Secondary diabetes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61 (24.4%)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Ischemic heart disease (excl. MI)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102 (40.8%)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Cerebrovascular disease (excl. stroke)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23 (9.2%)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Thromboembolism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17 (6.8%)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Liver failure/disease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 (0.4%)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Chronic kidney disease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42 (16.8%)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Rheumatoid arthritis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15 (6.0%)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Eating disorder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 (2.0%)</w:t>
            </w:r>
          </w:p>
        </w:tc>
      </w:tr>
      <w:tr w:rsidR="004A6374" w:rsidRPr="00F82496" w:rsidTr="001722B3">
        <w:tc>
          <w:tcPr>
            <w:tcW w:w="9064" w:type="dxa"/>
            <w:gridSpan w:val="2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Other comorbidities/risk factors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(at least one recorded diagnosis)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Cancer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64 (25.6%)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Asthma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43 (17.2%)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Chronic obstructive pulmonary disease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62 (24.8%)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Surgery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101 (40.4%)</w:t>
            </w:r>
          </w:p>
        </w:tc>
      </w:tr>
    </w:tbl>
    <w:p w:rsidR="004A6374" w:rsidRDefault="004A6374" w:rsidP="004A6374">
      <w:r>
        <w:br w:type="page"/>
      </w:r>
    </w:p>
    <w:tbl>
      <w:tblPr>
        <w:tblStyle w:val="C-Table"/>
        <w:tblW w:w="9064" w:type="dxa"/>
        <w:tblLayout w:type="fixed"/>
        <w:tblLook w:val="0000" w:firstRow="0" w:lastRow="0" w:firstColumn="0" w:lastColumn="0" w:noHBand="0" w:noVBand="0"/>
      </w:tblPr>
      <w:tblGrid>
        <w:gridCol w:w="7479"/>
        <w:gridCol w:w="1585"/>
      </w:tblGrid>
      <w:tr w:rsidR="004A6374" w:rsidRPr="00F82496" w:rsidTr="001722B3">
        <w:tc>
          <w:tcPr>
            <w:tcW w:w="9064" w:type="dxa"/>
            <w:gridSpan w:val="2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 xml:space="preserve">Drug dispensings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(at least one dispensing </w:t>
            </w:r>
            <w:r>
              <w:rPr>
                <w:rFonts w:ascii="Arial" w:hAnsi="Arial" w:cs="Arial"/>
                <w:color w:val="000000"/>
                <w:sz w:val="20"/>
              </w:rPr>
              <w:t>during previous year)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Alpha blockers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 (2.4%)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Beta blockers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121 (48.4%)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ACE-Inhibitors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98 (39.2%)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Angiotensin-II receptor blockers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64 (25.6%)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Calcium channel blockers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57 (22.8%)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Antiarrhythmics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 (1.6%)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Diuretics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77 (30.8%)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Anti-diabetes therapies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37 (14.8%)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Insulin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18 (7.2%)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Lipid lowering drugs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83 (33.2%)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Low-dose aspirin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33 (13.2%)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Clopidogrel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 (4.0%)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Other platelet-aggregation inhibitors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 (0.8%)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Vitamin K antagonists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27 (10.8%)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Heparins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25 (10.0%)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Direct thrombin inhibitors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 (1.6%)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Direct factor </w:t>
            </w:r>
            <w:proofErr w:type="spellStart"/>
            <w:r w:rsidRPr="00F82496">
              <w:rPr>
                <w:rFonts w:ascii="Arial" w:hAnsi="Arial" w:cs="Arial"/>
                <w:color w:val="000000"/>
                <w:sz w:val="20"/>
              </w:rPr>
              <w:t>Xa</w:t>
            </w:r>
            <w:proofErr w:type="spellEnd"/>
            <w:r w:rsidRPr="00F82496">
              <w:rPr>
                <w:rFonts w:ascii="Arial" w:hAnsi="Arial" w:cs="Arial"/>
                <w:color w:val="000000"/>
                <w:sz w:val="20"/>
              </w:rPr>
              <w:t xml:space="preserve"> inhibitors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24 (9.6%)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Systemic glucocorticoids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26 (10.4%)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Other osteoporosis medications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(0.00%)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Aromatase inhibitors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(0.00%)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Opioids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35 (14.0%)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Inhaled respiratory glucocorticoids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19 (7.6%)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Anti-neoplastic agents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 (1.2%)</w:t>
            </w:r>
          </w:p>
        </w:tc>
      </w:tr>
      <w:tr w:rsidR="004A6374" w:rsidRPr="00F82496" w:rsidTr="001722B3">
        <w:tc>
          <w:tcPr>
            <w:tcW w:w="7479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Immunosuppressants</w:t>
            </w:r>
          </w:p>
        </w:tc>
        <w:tc>
          <w:tcPr>
            <w:tcW w:w="1585" w:type="dxa"/>
          </w:tcPr>
          <w:p w:rsidR="004A6374" w:rsidRPr="00F82496" w:rsidRDefault="004A6374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 (0.8%)</w:t>
            </w:r>
          </w:p>
        </w:tc>
      </w:tr>
    </w:tbl>
    <w:p w:rsidR="007D1D57" w:rsidRPr="00F82496" w:rsidRDefault="004A6374" w:rsidP="007D1D5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F82496">
        <w:rPr>
          <w:rFonts w:ascii="Arial" w:hAnsi="Arial" w:cs="Arial"/>
          <w:sz w:val="20"/>
          <w:szCs w:val="20"/>
        </w:rPr>
        <w:br w:type="page"/>
      </w:r>
      <w:r w:rsidR="007D1D57" w:rsidRPr="00F82496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 3: Characteristics of CV death cases</w:t>
      </w:r>
    </w:p>
    <w:tbl>
      <w:tblPr>
        <w:tblStyle w:val="C-Table"/>
        <w:tblW w:w="9490" w:type="dxa"/>
        <w:tblLayout w:type="fixed"/>
        <w:tblLook w:val="0000" w:firstRow="0" w:lastRow="0" w:firstColumn="0" w:lastColumn="0" w:noHBand="0" w:noVBand="0"/>
      </w:tblPr>
      <w:tblGrid>
        <w:gridCol w:w="7338"/>
        <w:gridCol w:w="2152"/>
      </w:tblGrid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>Characteristics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 (%) </w:t>
            </w:r>
          </w:p>
        </w:tc>
      </w:tr>
      <w:tr w:rsidR="007D1D57" w:rsidRPr="00F82496" w:rsidTr="001722B3">
        <w:tc>
          <w:tcPr>
            <w:tcW w:w="9490" w:type="dxa"/>
            <w:gridSpan w:val="2"/>
          </w:tcPr>
          <w:p w:rsidR="007D1D57" w:rsidRPr="00F82496" w:rsidRDefault="007D1D57" w:rsidP="001722B3">
            <w:pPr>
              <w:adjustRightInd w:val="0"/>
              <w:spacing w:before="32" w:after="32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Age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at index date, median [</w:t>
            </w:r>
            <w:r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Sex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Female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82 [76-89]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Highest attained level of education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125 (50.0%)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Basic secondary degree/secondary degree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Higher Education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 (2.8%)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ind w:left="576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Missing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 (4.0%)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Number of Hospital visits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 w:themeColor="text1"/>
                <w:sz w:val="20"/>
              </w:rPr>
              <w:t>233 (93.2%)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Days spent in Hospital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 [1-4]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Number of different ATC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codes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year, median [</w:t>
            </w:r>
            <w:r>
              <w:rPr>
                <w:rFonts w:ascii="Arial" w:hAnsi="Arial" w:cs="Arial"/>
                <w:color w:val="000000"/>
                <w:sz w:val="20"/>
              </w:rPr>
              <w:t>inter quartile range</w:t>
            </w:r>
            <w:r w:rsidRPr="00F82496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 [3-13]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Obesity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(ICD-10 code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 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11 [7-15]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Smoking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(ICD-10 code/dispensing indicating smoking behaviour in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65 (26.0%)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bCs/>
                <w:color w:val="000000"/>
                <w:sz w:val="20"/>
              </w:rPr>
            </w:pPr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Alcohol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(ICD-10 code indicating alcohol abuse in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last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5 years)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32 (12.8%)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proofErr w:type="spellStart"/>
            <w:r w:rsidRPr="00F82496">
              <w:rPr>
                <w:rFonts w:ascii="Arial" w:hAnsi="Arial" w:cs="Arial"/>
                <w:bCs/>
                <w:color w:val="000000"/>
                <w:sz w:val="20"/>
              </w:rPr>
              <w:t>Charlson</w:t>
            </w:r>
            <w:proofErr w:type="spellEnd"/>
            <w:r w:rsidRPr="00F82496">
              <w:rPr>
                <w:rFonts w:ascii="Arial" w:hAnsi="Arial" w:cs="Arial"/>
                <w:bCs/>
                <w:color w:val="000000"/>
                <w:sz w:val="20"/>
              </w:rPr>
              <w:t xml:space="preserve"> Comorbidity Index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previous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year)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18 (7.2%)</w:t>
            </w:r>
          </w:p>
        </w:tc>
      </w:tr>
      <w:tr w:rsidR="007D1D57" w:rsidRPr="00F82496" w:rsidTr="001722B3">
        <w:tc>
          <w:tcPr>
            <w:tcW w:w="9490" w:type="dxa"/>
            <w:gridSpan w:val="2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Cardiovascular comorbidities/risk factors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(at least one recorded diagnosis)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 w:themeColor="text1"/>
                <w:sz w:val="20"/>
              </w:rPr>
              <w:t>Transient ischemic attack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25 (10.0%)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Heart failure 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198 (79.2%)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Arrhythmia 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192 (76.8%)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Established cardiovascular disease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179 (71.6%)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Stroke 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127 (50.8%)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Coronary/other arterial re-vascularisation procedures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75 (30.0%)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Peripheral arterial or vascular disease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89 (35.6%)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Hypercholesterolaemia, </w:t>
            </w:r>
            <w:r w:rsidR="00765ECA" w:rsidRPr="00F82496">
              <w:rPr>
                <w:rFonts w:ascii="Arial" w:hAnsi="Arial" w:cs="Arial"/>
                <w:color w:val="000000"/>
                <w:sz w:val="20"/>
              </w:rPr>
              <w:t>dyslipidaemia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or </w:t>
            </w:r>
            <w:r w:rsidR="00765ECA" w:rsidRPr="00F82496">
              <w:rPr>
                <w:rFonts w:ascii="Arial" w:hAnsi="Arial" w:cs="Arial"/>
                <w:color w:val="000000"/>
                <w:sz w:val="20"/>
              </w:rPr>
              <w:t>hyperlipidaemia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180 (72.0%)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Hypertension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237 (94.8%)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Type 2 diabetes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141 (56.4%)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Type 1 diabetes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38 (15.2%)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Secondary diabetes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90 (36.0%)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Ischemic heart disease (excl. MI)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171 (68.4%)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Cerebrovascular disease (excl. stroke)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25 (10.0%)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Thromboembolism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 (8.4%)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Liver failure/disease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9 (3.6%)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Chronic kidney disease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115 (46.0%)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bookmarkStart w:id="0" w:name="_GoBack"/>
            <w:bookmarkEnd w:id="0"/>
            <w:r w:rsidRPr="00F82496">
              <w:rPr>
                <w:rFonts w:ascii="Arial" w:hAnsi="Arial" w:cs="Arial"/>
                <w:color w:val="000000"/>
                <w:sz w:val="20"/>
              </w:rPr>
              <w:t>Rheumatoid arthritis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25 (10.0%)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Eating disorder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 (6.4%)</w:t>
            </w:r>
          </w:p>
        </w:tc>
      </w:tr>
      <w:tr w:rsidR="007D1D57" w:rsidRPr="00F82496" w:rsidTr="001722B3">
        <w:tc>
          <w:tcPr>
            <w:tcW w:w="9490" w:type="dxa"/>
            <w:gridSpan w:val="2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Other comorbidities/risk factors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>(at least one recorded diagnosis)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Cancer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103 (41.2%)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Asthma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42 (16.8%)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Chronic obstructive pulmonary disease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100 (40.0%)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Surgery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114 (45.6%)</w:t>
            </w:r>
          </w:p>
        </w:tc>
      </w:tr>
    </w:tbl>
    <w:p w:rsidR="007D1D57" w:rsidRDefault="007D1D57" w:rsidP="007D1D57">
      <w:r>
        <w:br w:type="page"/>
      </w:r>
    </w:p>
    <w:tbl>
      <w:tblPr>
        <w:tblStyle w:val="C-Table"/>
        <w:tblW w:w="9490" w:type="dxa"/>
        <w:tblLayout w:type="fixed"/>
        <w:tblLook w:val="0000" w:firstRow="0" w:lastRow="0" w:firstColumn="0" w:lastColumn="0" w:noHBand="0" w:noVBand="0"/>
      </w:tblPr>
      <w:tblGrid>
        <w:gridCol w:w="7338"/>
        <w:gridCol w:w="2152"/>
      </w:tblGrid>
      <w:tr w:rsidR="007D1D57" w:rsidRPr="00F82496" w:rsidTr="001722B3">
        <w:tc>
          <w:tcPr>
            <w:tcW w:w="9490" w:type="dxa"/>
            <w:gridSpan w:val="2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 xml:space="preserve">Drug dispensings </w:t>
            </w:r>
            <w:r w:rsidRPr="00F82496">
              <w:rPr>
                <w:rFonts w:ascii="Arial" w:hAnsi="Arial" w:cs="Arial"/>
                <w:color w:val="000000"/>
                <w:sz w:val="20"/>
              </w:rPr>
              <w:t xml:space="preserve">(at least one dispensing </w:t>
            </w:r>
            <w:r>
              <w:rPr>
                <w:rFonts w:ascii="Arial" w:hAnsi="Arial" w:cs="Arial"/>
                <w:color w:val="000000"/>
                <w:sz w:val="20"/>
              </w:rPr>
              <w:t>during previous year)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 w:themeColor="text1"/>
                <w:sz w:val="20"/>
              </w:rPr>
              <w:t>Alpha blockers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11 (4.4%)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Beta blockers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166 (66.4%)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ACE-Inhibitors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126 (50.4%)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Angiotensin-II receptor blockers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64 (25.6%)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Calcium channel blockers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77 (30.8%)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Antiarrhythmics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13 (5.2%)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Diuretics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165 (66.0%)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Anti-diabetes therapies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51 (20.4%)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Insulin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26 (10.4%)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Lipid lowering drugs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100 (40.0%)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Low-dose aspirin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67 (26.8%)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Clopidogrel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21 (8.4%)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Other platelet-aggregation inhibitors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 (1.6%)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Vitamin K antagonists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52 (20.8%)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Heparins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41 (16.4%)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Direct thrombin inhibitors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4 (1.6%)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 xml:space="preserve">Direct factor </w:t>
            </w:r>
            <w:proofErr w:type="spellStart"/>
            <w:r w:rsidRPr="00F82496">
              <w:rPr>
                <w:rFonts w:ascii="Arial" w:hAnsi="Arial" w:cs="Arial"/>
                <w:color w:val="000000"/>
                <w:sz w:val="20"/>
              </w:rPr>
              <w:t>Xa</w:t>
            </w:r>
            <w:proofErr w:type="spellEnd"/>
            <w:r w:rsidRPr="00F82496">
              <w:rPr>
                <w:rFonts w:ascii="Arial" w:hAnsi="Arial" w:cs="Arial"/>
                <w:color w:val="000000"/>
                <w:sz w:val="20"/>
              </w:rPr>
              <w:t xml:space="preserve"> inhibitors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52 (20.8%)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Systemic glucocorticoids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53 (21.2%)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Other osteoporosis medications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0 (0.0%)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Aromatase inhibitors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7 (2.8%)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Opioids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57 (22.8%)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Inhaled respiratory glucocorticoids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35 (14.0%)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Anti-neoplastic agents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16 (6.4%)</w:t>
            </w:r>
          </w:p>
        </w:tc>
      </w:tr>
      <w:tr w:rsidR="007D1D57" w:rsidRPr="00F82496" w:rsidTr="001722B3">
        <w:tc>
          <w:tcPr>
            <w:tcW w:w="7338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Immunosuppressants</w:t>
            </w:r>
          </w:p>
        </w:tc>
        <w:tc>
          <w:tcPr>
            <w:tcW w:w="2152" w:type="dxa"/>
          </w:tcPr>
          <w:p w:rsidR="007D1D57" w:rsidRPr="00F82496" w:rsidRDefault="007D1D57" w:rsidP="001722B3">
            <w:pPr>
              <w:keepNext/>
              <w:adjustRightInd w:val="0"/>
              <w:spacing w:before="32" w:after="32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2496">
              <w:rPr>
                <w:rFonts w:ascii="Arial" w:hAnsi="Arial" w:cs="Arial"/>
                <w:color w:val="000000"/>
                <w:sz w:val="20"/>
              </w:rPr>
              <w:t>5 (2.0%)</w:t>
            </w:r>
          </w:p>
        </w:tc>
      </w:tr>
    </w:tbl>
    <w:p w:rsidR="007D1D57" w:rsidRPr="00F82496" w:rsidRDefault="007D1D57" w:rsidP="007D1D57">
      <w:pPr>
        <w:rPr>
          <w:rFonts w:ascii="Arial" w:hAnsi="Arial" w:cs="Arial"/>
          <w:sz w:val="20"/>
          <w:szCs w:val="20"/>
        </w:rPr>
      </w:pPr>
    </w:p>
    <w:p w:rsidR="004A6374" w:rsidRPr="00F82496" w:rsidRDefault="004A6374" w:rsidP="004A6374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A6374" w:rsidRPr="00F82496" w:rsidSect="002003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2"/>
    <w:rsid w:val="000300D8"/>
    <w:rsid w:val="00200343"/>
    <w:rsid w:val="00320952"/>
    <w:rsid w:val="004A6374"/>
    <w:rsid w:val="00765ECA"/>
    <w:rsid w:val="007D1D57"/>
    <w:rsid w:val="00B86BBA"/>
    <w:rsid w:val="00F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A0B3B-8213-4931-9678-52904D75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0952"/>
    <w:pPr>
      <w:spacing w:after="160" w:line="259" w:lineRule="auto"/>
    </w:pPr>
    <w:rPr>
      <w:rFonts w:ascii="Times New Roman" w:hAnsi="Times New Roman"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C-Table">
    <w:name w:val="C-Table"/>
    <w:basedOn w:val="NormaleTabelle"/>
    <w:rsid w:val="00320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Schink</dc:creator>
  <cp:keywords/>
  <dc:description/>
  <cp:lastModifiedBy>Tania Schink</cp:lastModifiedBy>
  <cp:revision>3</cp:revision>
  <dcterms:created xsi:type="dcterms:W3CDTF">2022-09-09T09:33:00Z</dcterms:created>
  <dcterms:modified xsi:type="dcterms:W3CDTF">2022-09-15T11:02:00Z</dcterms:modified>
</cp:coreProperties>
</file>