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976E8" w14:textId="4E23B5B4" w:rsidR="0037343D" w:rsidRPr="00AE4DC5" w:rsidRDefault="00114FA9" w:rsidP="00C851EF">
      <w:pPr>
        <w:rPr>
          <w:color w:val="000000"/>
          <w:lang w:val="en-US"/>
        </w:rPr>
      </w:pPr>
      <w:r w:rsidRPr="00AE4DC5">
        <w:rPr>
          <w:rFonts w:ascii="Arial" w:eastAsiaTheme="minorHAnsi" w:hAnsi="Arial" w:cs="Arial"/>
          <w:b/>
          <w:bCs/>
          <w:color w:val="000000"/>
          <w:kern w:val="32"/>
          <w:lang w:val="en-US"/>
        </w:rPr>
        <w:t xml:space="preserve"> </w:t>
      </w:r>
      <w:r w:rsidR="00A35084" w:rsidRPr="00AE4DC5">
        <w:rPr>
          <w:rFonts w:ascii="Arial" w:eastAsiaTheme="minorHAnsi" w:hAnsi="Arial" w:cs="Arial"/>
          <w:b/>
          <w:bCs/>
          <w:color w:val="000000"/>
          <w:kern w:val="32"/>
          <w:lang w:val="en-US"/>
        </w:rPr>
        <w:t>Characteristics of oral corticosteroid users among persons with asthma on GINA step 3 therapy and above: a cross-sectional study in Portuguese community pharmacies</w:t>
      </w:r>
    </w:p>
    <w:p w14:paraId="75735B9A" w14:textId="77777777" w:rsidR="0037343D" w:rsidRPr="00AE4DC5" w:rsidRDefault="0037343D" w:rsidP="00C851EF">
      <w:pPr>
        <w:rPr>
          <w:rStyle w:val="Emphasis"/>
          <w:color w:val="000000"/>
          <w:lang w:val="en-US"/>
        </w:rPr>
      </w:pPr>
    </w:p>
    <w:p w14:paraId="658E068F" w14:textId="77777777" w:rsidR="0037343D" w:rsidRPr="00AE4DC5" w:rsidRDefault="0037343D" w:rsidP="00C851EF">
      <w:pPr>
        <w:rPr>
          <w:rStyle w:val="Emphasis"/>
          <w:color w:val="000000"/>
          <w:lang w:val="en-US"/>
        </w:rPr>
      </w:pPr>
    </w:p>
    <w:p w14:paraId="149E9BDB" w14:textId="77777777" w:rsidR="0037343D" w:rsidRPr="00AE4DC5" w:rsidRDefault="0037343D" w:rsidP="00C851EF">
      <w:pPr>
        <w:rPr>
          <w:rStyle w:val="Emphasis"/>
          <w:b/>
          <w:bCs/>
          <w:color w:val="000000"/>
          <w:sz w:val="28"/>
          <w:szCs w:val="28"/>
          <w:lang w:val="en-US"/>
        </w:rPr>
      </w:pPr>
      <w:r w:rsidRPr="00AE4DC5">
        <w:rPr>
          <w:rStyle w:val="Emphasis"/>
          <w:b/>
          <w:bCs/>
          <w:color w:val="000000"/>
          <w:sz w:val="28"/>
          <w:szCs w:val="28"/>
          <w:lang w:val="en-US"/>
        </w:rPr>
        <w:t>Supplementary materials</w:t>
      </w:r>
    </w:p>
    <w:p w14:paraId="23CDD65C" w14:textId="77777777" w:rsidR="0037343D" w:rsidRPr="00AE4DC5" w:rsidRDefault="0037343D" w:rsidP="00207E7A">
      <w:pPr>
        <w:spacing w:after="120"/>
        <w:rPr>
          <w:color w:val="000000"/>
          <w:lang w:val="en-US"/>
        </w:rPr>
      </w:pPr>
    </w:p>
    <w:p w14:paraId="2AA54AEF" w14:textId="77777777" w:rsidR="0037343D" w:rsidRPr="00AE4DC5" w:rsidRDefault="0037343D">
      <w:pPr>
        <w:spacing w:after="160" w:line="259" w:lineRule="auto"/>
        <w:jc w:val="left"/>
        <w:rPr>
          <w:color w:val="000000"/>
          <w:lang w:val="en-US"/>
        </w:rPr>
      </w:pPr>
      <w:r w:rsidRPr="00AE4DC5">
        <w:rPr>
          <w:color w:val="000000"/>
          <w:lang w:val="en-US"/>
        </w:rPr>
        <w:br w:type="page"/>
      </w:r>
    </w:p>
    <w:p w14:paraId="22387F8E" w14:textId="0A22CCB2" w:rsidR="0037343D" w:rsidRPr="00AE4DC5" w:rsidRDefault="0037343D" w:rsidP="00207E7A">
      <w:pPr>
        <w:spacing w:after="120"/>
        <w:rPr>
          <w:color w:val="000000"/>
          <w:lang w:val="en-US"/>
        </w:rPr>
      </w:pPr>
      <w:r w:rsidRPr="00AE4DC5">
        <w:rPr>
          <w:color w:val="000000"/>
          <w:lang w:val="en-US"/>
        </w:rPr>
        <w:lastRenderedPageBreak/>
        <w:t xml:space="preserve">Table </w:t>
      </w:r>
      <w:r w:rsidR="00BF5B48" w:rsidRPr="00AE4DC5">
        <w:rPr>
          <w:color w:val="000000"/>
          <w:lang w:val="en-US"/>
        </w:rPr>
        <w:t>S</w:t>
      </w:r>
      <w:r w:rsidRPr="00AE4DC5">
        <w:rPr>
          <w:color w:val="000000"/>
          <w:lang w:val="en-US"/>
        </w:rPr>
        <w:t xml:space="preserve">1 – </w:t>
      </w:r>
      <w:r w:rsidR="00CE2AF9" w:rsidRPr="00AE4DC5">
        <w:rPr>
          <w:b/>
          <w:bCs/>
          <w:color w:val="000000"/>
          <w:lang w:val="en-US"/>
        </w:rPr>
        <w:t xml:space="preserve">Patient selection criteria – </w:t>
      </w:r>
      <w:r w:rsidRPr="00AE4DC5">
        <w:rPr>
          <w:b/>
          <w:bCs/>
          <w:color w:val="000000"/>
          <w:lang w:val="en-US"/>
        </w:rPr>
        <w:t>Classification of total daily ICS doses</w:t>
      </w:r>
      <w:r w:rsidR="00CE2AF9" w:rsidRPr="00AE4DC5">
        <w:rPr>
          <w:b/>
          <w:bCs/>
          <w:color w:val="000000"/>
          <w:lang w:val="en-US"/>
        </w:rPr>
        <w:t>,</w:t>
      </w:r>
      <w:r w:rsidRPr="00AE4DC5">
        <w:rPr>
          <w:b/>
          <w:bCs/>
          <w:color w:val="000000"/>
          <w:lang w:val="en-US"/>
        </w:rPr>
        <w:t xml:space="preserve"> according to INN</w:t>
      </w:r>
      <w:r w:rsidR="00CE2AF9" w:rsidRPr="00AE4DC5">
        <w:rPr>
          <w:b/>
          <w:bCs/>
          <w:color w:val="000000"/>
          <w:lang w:val="en-US"/>
        </w:rPr>
        <w:t>,</w:t>
      </w:r>
      <w:r w:rsidRPr="00AE4DC5">
        <w:rPr>
          <w:b/>
          <w:bCs/>
          <w:color w:val="000000"/>
          <w:lang w:val="en-US"/>
        </w:rPr>
        <w:t xml:space="preserve"> </w:t>
      </w:r>
      <w:r w:rsidR="00CE2AF9" w:rsidRPr="00AE4DC5">
        <w:rPr>
          <w:b/>
          <w:bCs/>
          <w:color w:val="000000"/>
          <w:lang w:val="en-US"/>
        </w:rPr>
        <w:t>and eligible controller treatment</w:t>
      </w:r>
      <w:r w:rsidR="00CE2AF9" w:rsidRPr="00AE4DC5">
        <w:rPr>
          <w:color w:val="000000"/>
          <w:lang w:val="en-US"/>
        </w:rPr>
        <w:t xml:space="preserve"> </w:t>
      </w:r>
      <w:r w:rsidRPr="00AE4DC5">
        <w:rPr>
          <w:color w:val="000000"/>
          <w:lang w:val="en-US"/>
        </w:rPr>
        <w:t>(screening and recruitment)</w:t>
      </w:r>
      <w:r w:rsidR="00CE2AF9" w:rsidRPr="00AE4DC5">
        <w:rPr>
          <w:color w:val="000000"/>
          <w:lang w:val="en-US"/>
        </w:rPr>
        <w:t xml:space="preserve"> </w:t>
      </w:r>
      <w:r w:rsidRPr="00AE4DC5">
        <w:rPr>
          <w:color w:val="000000"/>
          <w:lang w:val="en-US"/>
        </w:rPr>
        <w:t xml:space="preserve"> </w:t>
      </w:r>
    </w:p>
    <w:tbl>
      <w:tblPr>
        <w:tblStyle w:val="TableGrid"/>
        <w:tblW w:w="0" w:type="auto"/>
        <w:tblLook w:val="04A0" w:firstRow="1" w:lastRow="0" w:firstColumn="1" w:lastColumn="0" w:noHBand="0" w:noVBand="1"/>
      </w:tblPr>
      <w:tblGrid>
        <w:gridCol w:w="3393"/>
        <w:gridCol w:w="1697"/>
        <w:gridCol w:w="1697"/>
        <w:gridCol w:w="1697"/>
      </w:tblGrid>
      <w:tr w:rsidR="0037343D" w:rsidRPr="00AE4DC5" w14:paraId="561FF796" w14:textId="77777777" w:rsidTr="00E4744B">
        <w:tc>
          <w:tcPr>
            <w:tcW w:w="3393" w:type="dxa"/>
            <w:vMerge w:val="restart"/>
            <w:tcBorders>
              <w:top w:val="single" w:sz="8" w:space="0" w:color="auto"/>
              <w:left w:val="single" w:sz="8" w:space="0" w:color="auto"/>
            </w:tcBorders>
            <w:vAlign w:val="center"/>
          </w:tcPr>
          <w:p w14:paraId="6C821E0F" w14:textId="77777777" w:rsidR="0037343D" w:rsidRPr="00AE4DC5" w:rsidRDefault="0037343D" w:rsidP="00BB2A0C">
            <w:pPr>
              <w:spacing w:after="120"/>
              <w:jc w:val="center"/>
              <w:rPr>
                <w:b/>
                <w:color w:val="000000"/>
                <w:sz w:val="20"/>
                <w:szCs w:val="20"/>
                <w:lang w:val="en-US"/>
              </w:rPr>
            </w:pPr>
            <w:r w:rsidRPr="00AE4DC5">
              <w:rPr>
                <w:b/>
                <w:color w:val="000000"/>
                <w:sz w:val="20"/>
                <w:szCs w:val="20"/>
                <w:lang w:val="en-US"/>
              </w:rPr>
              <w:t>Inhaled Corticosteroid</w:t>
            </w:r>
          </w:p>
        </w:tc>
        <w:tc>
          <w:tcPr>
            <w:tcW w:w="5091" w:type="dxa"/>
            <w:gridSpan w:val="3"/>
            <w:tcBorders>
              <w:top w:val="single" w:sz="8" w:space="0" w:color="auto"/>
              <w:bottom w:val="dotted" w:sz="4" w:space="0" w:color="auto"/>
              <w:right w:val="single" w:sz="8" w:space="0" w:color="auto"/>
            </w:tcBorders>
            <w:vAlign w:val="center"/>
          </w:tcPr>
          <w:p w14:paraId="56C81D7C" w14:textId="21AE509D" w:rsidR="0037343D" w:rsidRPr="00AE4DC5" w:rsidRDefault="0037343D" w:rsidP="00BB2A0C">
            <w:pPr>
              <w:spacing w:after="120"/>
              <w:jc w:val="center"/>
              <w:rPr>
                <w:b/>
                <w:color w:val="000000"/>
                <w:sz w:val="20"/>
                <w:szCs w:val="20"/>
                <w:lang w:val="en-US"/>
              </w:rPr>
            </w:pPr>
            <w:r w:rsidRPr="00AE4DC5">
              <w:rPr>
                <w:b/>
                <w:color w:val="000000"/>
                <w:sz w:val="20"/>
                <w:szCs w:val="20"/>
                <w:lang w:val="en-US"/>
              </w:rPr>
              <w:t>Total daily dose (μg/day)</w:t>
            </w:r>
          </w:p>
        </w:tc>
      </w:tr>
      <w:tr w:rsidR="0037343D" w:rsidRPr="00AE4DC5" w14:paraId="10B01A89" w14:textId="77777777" w:rsidTr="00E4744B">
        <w:tc>
          <w:tcPr>
            <w:tcW w:w="3393" w:type="dxa"/>
            <w:vMerge/>
            <w:tcBorders>
              <w:left w:val="single" w:sz="8" w:space="0" w:color="auto"/>
              <w:bottom w:val="single" w:sz="4" w:space="0" w:color="auto"/>
              <w:right w:val="single" w:sz="4" w:space="0" w:color="auto"/>
            </w:tcBorders>
            <w:vAlign w:val="center"/>
          </w:tcPr>
          <w:p w14:paraId="236A11A8" w14:textId="77777777" w:rsidR="0037343D" w:rsidRPr="00AE4DC5" w:rsidRDefault="0037343D" w:rsidP="00BB2A0C">
            <w:pPr>
              <w:spacing w:after="120"/>
              <w:jc w:val="center"/>
              <w:rPr>
                <w:b/>
                <w:color w:val="000000"/>
                <w:sz w:val="20"/>
                <w:szCs w:val="20"/>
                <w:lang w:val="en-US"/>
              </w:rPr>
            </w:pPr>
          </w:p>
        </w:tc>
        <w:tc>
          <w:tcPr>
            <w:tcW w:w="1697" w:type="dxa"/>
            <w:tcBorders>
              <w:top w:val="dotted" w:sz="4" w:space="0" w:color="auto"/>
              <w:left w:val="single" w:sz="4" w:space="0" w:color="auto"/>
              <w:bottom w:val="single" w:sz="4" w:space="0" w:color="auto"/>
              <w:right w:val="dotted" w:sz="4" w:space="0" w:color="auto"/>
            </w:tcBorders>
            <w:vAlign w:val="center"/>
          </w:tcPr>
          <w:p w14:paraId="37341D8B" w14:textId="77777777" w:rsidR="0037343D" w:rsidRPr="00AE4DC5" w:rsidRDefault="0037343D" w:rsidP="00BB2A0C">
            <w:pPr>
              <w:spacing w:after="120"/>
              <w:jc w:val="center"/>
              <w:rPr>
                <w:b/>
                <w:color w:val="000000"/>
                <w:sz w:val="20"/>
                <w:szCs w:val="20"/>
                <w:lang w:val="en-US"/>
              </w:rPr>
            </w:pPr>
            <w:r w:rsidRPr="00AE4DC5">
              <w:rPr>
                <w:b/>
                <w:color w:val="000000"/>
                <w:sz w:val="20"/>
                <w:szCs w:val="20"/>
                <w:lang w:val="en-US"/>
              </w:rPr>
              <w:t>Low</w:t>
            </w:r>
          </w:p>
        </w:tc>
        <w:tc>
          <w:tcPr>
            <w:tcW w:w="1697" w:type="dxa"/>
            <w:tcBorders>
              <w:top w:val="dotted" w:sz="4" w:space="0" w:color="auto"/>
              <w:left w:val="dotted" w:sz="4" w:space="0" w:color="auto"/>
              <w:bottom w:val="single" w:sz="4" w:space="0" w:color="auto"/>
              <w:right w:val="dotted" w:sz="4" w:space="0" w:color="auto"/>
            </w:tcBorders>
            <w:vAlign w:val="center"/>
          </w:tcPr>
          <w:p w14:paraId="655E2A39" w14:textId="77777777" w:rsidR="0037343D" w:rsidRPr="00AE4DC5" w:rsidRDefault="0037343D" w:rsidP="00BB2A0C">
            <w:pPr>
              <w:spacing w:after="120"/>
              <w:jc w:val="center"/>
              <w:rPr>
                <w:b/>
                <w:color w:val="000000"/>
                <w:sz w:val="20"/>
                <w:szCs w:val="20"/>
                <w:lang w:val="en-US"/>
              </w:rPr>
            </w:pPr>
            <w:r w:rsidRPr="00AE4DC5">
              <w:rPr>
                <w:b/>
                <w:color w:val="000000"/>
                <w:sz w:val="20"/>
                <w:szCs w:val="20"/>
                <w:lang w:val="en-US"/>
              </w:rPr>
              <w:t>Medium</w:t>
            </w:r>
          </w:p>
        </w:tc>
        <w:tc>
          <w:tcPr>
            <w:tcW w:w="1697" w:type="dxa"/>
            <w:tcBorders>
              <w:top w:val="dotted" w:sz="4" w:space="0" w:color="auto"/>
              <w:left w:val="dotted" w:sz="4" w:space="0" w:color="auto"/>
              <w:bottom w:val="single" w:sz="4" w:space="0" w:color="auto"/>
              <w:right w:val="single" w:sz="8" w:space="0" w:color="auto"/>
            </w:tcBorders>
            <w:vAlign w:val="center"/>
          </w:tcPr>
          <w:p w14:paraId="6886A68B" w14:textId="77777777" w:rsidR="0037343D" w:rsidRPr="00AE4DC5" w:rsidRDefault="0037343D" w:rsidP="00BB2A0C">
            <w:pPr>
              <w:spacing w:after="120"/>
              <w:jc w:val="center"/>
              <w:rPr>
                <w:b/>
                <w:color w:val="000000"/>
                <w:sz w:val="20"/>
                <w:szCs w:val="20"/>
                <w:lang w:val="en-US"/>
              </w:rPr>
            </w:pPr>
            <w:r w:rsidRPr="00AE4DC5">
              <w:rPr>
                <w:b/>
                <w:color w:val="000000"/>
                <w:sz w:val="20"/>
                <w:szCs w:val="20"/>
                <w:lang w:val="en-US"/>
              </w:rPr>
              <w:t>High</w:t>
            </w:r>
          </w:p>
        </w:tc>
      </w:tr>
      <w:tr w:rsidR="0037343D" w:rsidRPr="00AE4DC5" w14:paraId="5F070BEA" w14:textId="77777777" w:rsidTr="00E4744B">
        <w:tc>
          <w:tcPr>
            <w:tcW w:w="3393" w:type="dxa"/>
            <w:tcBorders>
              <w:left w:val="single" w:sz="8" w:space="0" w:color="auto"/>
              <w:bottom w:val="dotted" w:sz="4" w:space="0" w:color="auto"/>
              <w:right w:val="single" w:sz="4" w:space="0" w:color="auto"/>
            </w:tcBorders>
          </w:tcPr>
          <w:p w14:paraId="4EF6ACCC" w14:textId="77777777" w:rsidR="0037343D" w:rsidRPr="00AE4DC5" w:rsidRDefault="0037343D" w:rsidP="00C357A8">
            <w:pPr>
              <w:spacing w:after="120"/>
              <w:rPr>
                <w:b/>
                <w:color w:val="000000"/>
                <w:sz w:val="20"/>
                <w:szCs w:val="20"/>
                <w:lang w:val="en-US"/>
              </w:rPr>
            </w:pPr>
            <w:r w:rsidRPr="00AE4DC5">
              <w:rPr>
                <w:b/>
                <w:color w:val="000000"/>
                <w:sz w:val="20"/>
                <w:szCs w:val="20"/>
                <w:lang w:val="en-US"/>
              </w:rPr>
              <w:t>Budesonide (DPI/ pMDI)</w:t>
            </w:r>
          </w:p>
        </w:tc>
        <w:tc>
          <w:tcPr>
            <w:tcW w:w="1697" w:type="dxa"/>
            <w:tcBorders>
              <w:top w:val="single" w:sz="4" w:space="0" w:color="auto"/>
              <w:left w:val="single" w:sz="4" w:space="0" w:color="auto"/>
              <w:bottom w:val="dotted" w:sz="4" w:space="0" w:color="auto"/>
              <w:right w:val="dotted" w:sz="4" w:space="0" w:color="auto"/>
            </w:tcBorders>
            <w:vAlign w:val="center"/>
          </w:tcPr>
          <w:p w14:paraId="684FDC55" w14:textId="77777777" w:rsidR="0037343D" w:rsidRPr="00AE4DC5" w:rsidRDefault="0037343D" w:rsidP="00C357A8">
            <w:pPr>
              <w:jc w:val="center"/>
              <w:rPr>
                <w:rFonts w:asciiTheme="majorHAnsi" w:hAnsiTheme="majorHAnsi" w:cstheme="majorHAnsi"/>
                <w:color w:val="000000"/>
                <w:sz w:val="20"/>
                <w:szCs w:val="20"/>
                <w:lang w:val="en-US"/>
              </w:rPr>
            </w:pPr>
            <w:r w:rsidRPr="00AE4DC5">
              <w:rPr>
                <w:rFonts w:asciiTheme="majorHAnsi" w:hAnsiTheme="majorHAnsi" w:cstheme="majorHAnsi"/>
                <w:color w:val="000000"/>
                <w:sz w:val="20"/>
                <w:szCs w:val="20"/>
                <w:lang w:val="en-US"/>
              </w:rPr>
              <w:t>[200; 400]</w:t>
            </w:r>
          </w:p>
        </w:tc>
        <w:tc>
          <w:tcPr>
            <w:tcW w:w="1697" w:type="dxa"/>
            <w:tcBorders>
              <w:top w:val="single" w:sz="4" w:space="0" w:color="auto"/>
              <w:left w:val="dotted" w:sz="4" w:space="0" w:color="auto"/>
              <w:bottom w:val="dotted" w:sz="4" w:space="0" w:color="auto"/>
              <w:right w:val="dotted" w:sz="4" w:space="0" w:color="auto"/>
            </w:tcBorders>
            <w:vAlign w:val="center"/>
          </w:tcPr>
          <w:p w14:paraId="5AC49AFE" w14:textId="77777777" w:rsidR="0037343D" w:rsidRPr="00AE4DC5" w:rsidRDefault="0037343D" w:rsidP="00C357A8">
            <w:pPr>
              <w:jc w:val="center"/>
              <w:rPr>
                <w:rFonts w:asciiTheme="majorHAnsi" w:hAnsiTheme="majorHAnsi" w:cstheme="majorHAnsi"/>
                <w:color w:val="000000"/>
                <w:sz w:val="20"/>
                <w:szCs w:val="20"/>
                <w:lang w:val="en-US"/>
              </w:rPr>
            </w:pPr>
            <w:r w:rsidRPr="00AE4DC5">
              <w:rPr>
                <w:rFonts w:asciiTheme="majorHAnsi" w:hAnsiTheme="majorHAnsi" w:cstheme="majorHAnsi"/>
                <w:color w:val="000000"/>
                <w:sz w:val="20"/>
                <w:szCs w:val="20"/>
                <w:lang w:val="en-US"/>
              </w:rPr>
              <w:t>]400; 800]</w:t>
            </w:r>
          </w:p>
        </w:tc>
        <w:tc>
          <w:tcPr>
            <w:tcW w:w="1697" w:type="dxa"/>
            <w:tcBorders>
              <w:top w:val="single" w:sz="4" w:space="0" w:color="auto"/>
              <w:left w:val="dotted" w:sz="4" w:space="0" w:color="auto"/>
              <w:bottom w:val="dotted" w:sz="4" w:space="0" w:color="auto"/>
              <w:right w:val="single" w:sz="8" w:space="0" w:color="auto"/>
            </w:tcBorders>
            <w:vAlign w:val="center"/>
          </w:tcPr>
          <w:p w14:paraId="437AF49D" w14:textId="77777777" w:rsidR="0037343D" w:rsidRPr="00AE4DC5" w:rsidRDefault="0037343D" w:rsidP="00C357A8">
            <w:pPr>
              <w:jc w:val="center"/>
              <w:rPr>
                <w:rFonts w:asciiTheme="majorHAnsi" w:hAnsiTheme="majorHAnsi" w:cstheme="majorHAnsi"/>
                <w:color w:val="000000"/>
                <w:sz w:val="20"/>
                <w:szCs w:val="20"/>
                <w:lang w:val="en-US"/>
              </w:rPr>
            </w:pPr>
            <w:r w:rsidRPr="00AE4DC5">
              <w:rPr>
                <w:rFonts w:asciiTheme="majorHAnsi" w:hAnsiTheme="majorHAnsi" w:cstheme="majorHAnsi"/>
                <w:color w:val="000000"/>
                <w:sz w:val="20"/>
                <w:szCs w:val="20"/>
                <w:lang w:val="en-US"/>
              </w:rPr>
              <w:t>]800</w:t>
            </w:r>
            <w:bookmarkStart w:id="0" w:name="_Hlk117688188"/>
            <w:r w:rsidRPr="00AE4DC5">
              <w:rPr>
                <w:rFonts w:asciiTheme="majorHAnsi" w:hAnsiTheme="majorHAnsi" w:cstheme="majorHAnsi"/>
                <w:color w:val="000000"/>
                <w:sz w:val="20"/>
                <w:szCs w:val="20"/>
                <w:lang w:val="en-US"/>
              </w:rPr>
              <w:t>; +</w:t>
            </w:r>
            <w:r w:rsidRPr="00AE4DC5">
              <w:rPr>
                <w:rFonts w:asciiTheme="majorHAnsi" w:hAnsiTheme="majorHAnsi" w:cstheme="majorHAnsi"/>
                <w:color w:val="000000"/>
                <w:lang w:val="en-US"/>
              </w:rPr>
              <w:t>∞</w:t>
            </w:r>
            <w:bookmarkEnd w:id="0"/>
            <w:r w:rsidRPr="00AE4DC5">
              <w:rPr>
                <w:rFonts w:asciiTheme="majorHAnsi" w:hAnsiTheme="majorHAnsi" w:cstheme="majorHAnsi"/>
                <w:color w:val="000000"/>
                <w:lang w:val="en-US"/>
              </w:rPr>
              <w:t>[</w:t>
            </w:r>
          </w:p>
        </w:tc>
      </w:tr>
      <w:tr w:rsidR="0037343D" w:rsidRPr="00AE4DC5" w14:paraId="03147E43" w14:textId="77777777" w:rsidTr="00E4744B">
        <w:tc>
          <w:tcPr>
            <w:tcW w:w="3393" w:type="dxa"/>
            <w:tcBorders>
              <w:top w:val="dotted" w:sz="4" w:space="0" w:color="auto"/>
              <w:left w:val="single" w:sz="8" w:space="0" w:color="auto"/>
              <w:bottom w:val="dotted" w:sz="4" w:space="0" w:color="auto"/>
              <w:right w:val="single" w:sz="4" w:space="0" w:color="auto"/>
            </w:tcBorders>
          </w:tcPr>
          <w:p w14:paraId="2C610AE4" w14:textId="77777777" w:rsidR="0037343D" w:rsidRPr="00AE4DC5" w:rsidRDefault="0037343D" w:rsidP="00C357A8">
            <w:pPr>
              <w:spacing w:after="120"/>
              <w:rPr>
                <w:b/>
                <w:color w:val="000000"/>
                <w:sz w:val="20"/>
                <w:szCs w:val="20"/>
                <w:lang w:val="en-US"/>
              </w:rPr>
            </w:pPr>
            <w:r w:rsidRPr="00AE4DC5">
              <w:rPr>
                <w:b/>
                <w:color w:val="000000"/>
                <w:sz w:val="20"/>
                <w:szCs w:val="20"/>
                <w:lang w:val="en-US"/>
              </w:rPr>
              <w:t>Fluticasone furoate (DPI)</w:t>
            </w:r>
          </w:p>
        </w:tc>
        <w:tc>
          <w:tcPr>
            <w:tcW w:w="3394" w:type="dxa"/>
            <w:gridSpan w:val="2"/>
            <w:tcBorders>
              <w:top w:val="dotted" w:sz="4" w:space="0" w:color="auto"/>
              <w:left w:val="single" w:sz="4" w:space="0" w:color="auto"/>
              <w:bottom w:val="dotted" w:sz="4" w:space="0" w:color="auto"/>
              <w:right w:val="dotted" w:sz="4" w:space="0" w:color="auto"/>
            </w:tcBorders>
            <w:vAlign w:val="center"/>
          </w:tcPr>
          <w:p w14:paraId="21EBA279" w14:textId="77777777" w:rsidR="0037343D" w:rsidRPr="00AE4DC5" w:rsidRDefault="0037343D" w:rsidP="00C357A8">
            <w:pPr>
              <w:jc w:val="center"/>
              <w:rPr>
                <w:rFonts w:asciiTheme="majorHAnsi" w:hAnsiTheme="majorHAnsi" w:cstheme="majorHAnsi"/>
                <w:color w:val="000000"/>
                <w:sz w:val="20"/>
                <w:szCs w:val="20"/>
                <w:lang w:val="en-US"/>
              </w:rPr>
            </w:pPr>
            <w:r w:rsidRPr="00AE4DC5">
              <w:rPr>
                <w:rFonts w:asciiTheme="majorHAnsi" w:hAnsiTheme="majorHAnsi" w:cstheme="majorHAnsi"/>
                <w:color w:val="000000"/>
                <w:sz w:val="20"/>
                <w:szCs w:val="20"/>
                <w:lang w:val="en-US"/>
              </w:rPr>
              <w:t>100</w:t>
            </w:r>
          </w:p>
        </w:tc>
        <w:tc>
          <w:tcPr>
            <w:tcW w:w="1697" w:type="dxa"/>
            <w:tcBorders>
              <w:top w:val="dotted" w:sz="4" w:space="0" w:color="auto"/>
              <w:left w:val="dotted" w:sz="4" w:space="0" w:color="auto"/>
              <w:bottom w:val="dotted" w:sz="4" w:space="0" w:color="auto"/>
              <w:right w:val="single" w:sz="8" w:space="0" w:color="auto"/>
            </w:tcBorders>
            <w:vAlign w:val="center"/>
          </w:tcPr>
          <w:p w14:paraId="67C4C708" w14:textId="77777777" w:rsidR="0037343D" w:rsidRPr="00AE4DC5" w:rsidRDefault="0037343D" w:rsidP="00C357A8">
            <w:pPr>
              <w:jc w:val="center"/>
              <w:rPr>
                <w:rFonts w:asciiTheme="majorHAnsi" w:hAnsiTheme="majorHAnsi" w:cstheme="majorHAnsi"/>
                <w:color w:val="000000"/>
                <w:sz w:val="20"/>
                <w:szCs w:val="20"/>
                <w:lang w:val="en-US"/>
              </w:rPr>
            </w:pPr>
            <w:r w:rsidRPr="00AE4DC5">
              <w:rPr>
                <w:rFonts w:asciiTheme="majorHAnsi" w:hAnsiTheme="majorHAnsi" w:cstheme="majorHAnsi"/>
                <w:color w:val="000000"/>
                <w:sz w:val="20"/>
                <w:szCs w:val="20"/>
                <w:lang w:val="en-US"/>
              </w:rPr>
              <w:t>200</w:t>
            </w:r>
          </w:p>
        </w:tc>
      </w:tr>
      <w:tr w:rsidR="0037343D" w:rsidRPr="00AE4DC5" w14:paraId="6636C72C" w14:textId="77777777" w:rsidTr="00E4744B">
        <w:tc>
          <w:tcPr>
            <w:tcW w:w="3393" w:type="dxa"/>
            <w:tcBorders>
              <w:top w:val="dotted" w:sz="4" w:space="0" w:color="auto"/>
              <w:left w:val="single" w:sz="8" w:space="0" w:color="auto"/>
              <w:bottom w:val="single" w:sz="8" w:space="0" w:color="auto"/>
              <w:right w:val="single" w:sz="4" w:space="0" w:color="auto"/>
            </w:tcBorders>
          </w:tcPr>
          <w:p w14:paraId="443C8996" w14:textId="77777777" w:rsidR="0037343D" w:rsidRPr="00AE4DC5" w:rsidRDefault="0037343D" w:rsidP="00C357A8">
            <w:pPr>
              <w:spacing w:after="120"/>
              <w:rPr>
                <w:b/>
                <w:color w:val="000000"/>
                <w:sz w:val="20"/>
                <w:szCs w:val="20"/>
                <w:lang w:val="en-US"/>
              </w:rPr>
            </w:pPr>
            <w:r w:rsidRPr="00AE4DC5">
              <w:rPr>
                <w:b/>
                <w:color w:val="000000"/>
                <w:sz w:val="20"/>
                <w:szCs w:val="20"/>
                <w:lang w:val="en-US"/>
              </w:rPr>
              <w:t>Fluticasone propionate (DPI/ pMDI)</w:t>
            </w:r>
          </w:p>
        </w:tc>
        <w:tc>
          <w:tcPr>
            <w:tcW w:w="1697" w:type="dxa"/>
            <w:tcBorders>
              <w:top w:val="dotted" w:sz="4" w:space="0" w:color="auto"/>
              <w:left w:val="single" w:sz="4" w:space="0" w:color="auto"/>
              <w:bottom w:val="single" w:sz="8" w:space="0" w:color="auto"/>
              <w:right w:val="dotted" w:sz="4" w:space="0" w:color="auto"/>
            </w:tcBorders>
            <w:vAlign w:val="center"/>
          </w:tcPr>
          <w:p w14:paraId="617710A4" w14:textId="77777777" w:rsidR="0037343D" w:rsidRPr="00AE4DC5" w:rsidRDefault="0037343D" w:rsidP="00C357A8">
            <w:pPr>
              <w:jc w:val="center"/>
              <w:rPr>
                <w:rFonts w:asciiTheme="majorHAnsi" w:hAnsiTheme="majorHAnsi" w:cstheme="majorHAnsi"/>
                <w:color w:val="000000"/>
                <w:sz w:val="20"/>
                <w:szCs w:val="20"/>
                <w:lang w:val="en-US"/>
              </w:rPr>
            </w:pPr>
            <w:r w:rsidRPr="00AE4DC5">
              <w:rPr>
                <w:rFonts w:asciiTheme="majorHAnsi" w:hAnsiTheme="majorHAnsi" w:cstheme="majorHAnsi"/>
                <w:color w:val="000000"/>
                <w:sz w:val="20"/>
                <w:szCs w:val="20"/>
                <w:lang w:val="en-US"/>
              </w:rPr>
              <w:t>[100; 250]</w:t>
            </w:r>
          </w:p>
        </w:tc>
        <w:tc>
          <w:tcPr>
            <w:tcW w:w="1697" w:type="dxa"/>
            <w:tcBorders>
              <w:top w:val="dotted" w:sz="4" w:space="0" w:color="auto"/>
              <w:left w:val="dotted" w:sz="4" w:space="0" w:color="auto"/>
              <w:bottom w:val="single" w:sz="8" w:space="0" w:color="auto"/>
              <w:right w:val="dotted" w:sz="4" w:space="0" w:color="auto"/>
            </w:tcBorders>
            <w:vAlign w:val="center"/>
          </w:tcPr>
          <w:p w14:paraId="2FC6498F" w14:textId="77777777" w:rsidR="0037343D" w:rsidRPr="00AE4DC5" w:rsidRDefault="0037343D" w:rsidP="00C357A8">
            <w:pPr>
              <w:jc w:val="center"/>
              <w:rPr>
                <w:rFonts w:asciiTheme="majorHAnsi" w:hAnsiTheme="majorHAnsi" w:cstheme="majorHAnsi"/>
                <w:color w:val="000000"/>
                <w:sz w:val="20"/>
                <w:szCs w:val="20"/>
                <w:lang w:val="en-US"/>
              </w:rPr>
            </w:pPr>
            <w:r w:rsidRPr="00AE4DC5">
              <w:rPr>
                <w:rFonts w:asciiTheme="majorHAnsi" w:hAnsiTheme="majorHAnsi" w:cstheme="majorHAnsi"/>
                <w:color w:val="000000"/>
                <w:sz w:val="20"/>
                <w:szCs w:val="20"/>
                <w:lang w:val="en-US"/>
              </w:rPr>
              <w:t>]250; 500]</w:t>
            </w:r>
          </w:p>
        </w:tc>
        <w:tc>
          <w:tcPr>
            <w:tcW w:w="1697" w:type="dxa"/>
            <w:tcBorders>
              <w:top w:val="dotted" w:sz="4" w:space="0" w:color="auto"/>
              <w:left w:val="dotted" w:sz="4" w:space="0" w:color="auto"/>
              <w:bottom w:val="single" w:sz="8" w:space="0" w:color="auto"/>
              <w:right w:val="single" w:sz="8" w:space="0" w:color="auto"/>
            </w:tcBorders>
            <w:vAlign w:val="center"/>
          </w:tcPr>
          <w:p w14:paraId="6500AE97" w14:textId="77777777" w:rsidR="0037343D" w:rsidRPr="00AE4DC5" w:rsidRDefault="0037343D" w:rsidP="00C357A8">
            <w:pPr>
              <w:jc w:val="center"/>
              <w:rPr>
                <w:rFonts w:asciiTheme="majorHAnsi" w:hAnsiTheme="majorHAnsi" w:cstheme="majorHAnsi"/>
                <w:color w:val="000000"/>
                <w:sz w:val="20"/>
                <w:szCs w:val="20"/>
                <w:lang w:val="en-US"/>
              </w:rPr>
            </w:pPr>
            <w:r w:rsidRPr="00AE4DC5">
              <w:rPr>
                <w:rFonts w:asciiTheme="majorHAnsi" w:hAnsiTheme="majorHAnsi" w:cstheme="majorHAnsi"/>
                <w:color w:val="000000"/>
                <w:sz w:val="20"/>
                <w:szCs w:val="20"/>
                <w:lang w:val="en-US"/>
              </w:rPr>
              <w:t>]500; +</w:t>
            </w:r>
            <w:r w:rsidRPr="00AE4DC5">
              <w:rPr>
                <w:rFonts w:asciiTheme="majorHAnsi" w:hAnsiTheme="majorHAnsi" w:cstheme="majorHAnsi"/>
                <w:color w:val="000000"/>
                <w:lang w:val="en-US"/>
              </w:rPr>
              <w:t>∞[</w:t>
            </w:r>
          </w:p>
        </w:tc>
      </w:tr>
      <w:tr w:rsidR="00CE2AF9" w:rsidRPr="00AE4DC5" w14:paraId="211C0869" w14:textId="77777777" w:rsidTr="00AE4DC5">
        <w:tc>
          <w:tcPr>
            <w:tcW w:w="8484" w:type="dxa"/>
            <w:gridSpan w:val="4"/>
            <w:tcBorders>
              <w:top w:val="single" w:sz="8" w:space="0" w:color="auto"/>
              <w:left w:val="single" w:sz="8" w:space="0" w:color="auto"/>
              <w:bottom w:val="single" w:sz="8" w:space="0" w:color="auto"/>
              <w:right w:val="single" w:sz="8" w:space="0" w:color="auto"/>
            </w:tcBorders>
          </w:tcPr>
          <w:p w14:paraId="1189A2A2" w14:textId="2A5F632D" w:rsidR="00CE2AF9" w:rsidRPr="00AE4DC5" w:rsidRDefault="00CE2AF9" w:rsidP="00CE2AF9">
            <w:pPr>
              <w:contextualSpacing/>
              <w:rPr>
                <w:b/>
                <w:bCs/>
                <w:color w:val="000000"/>
                <w:lang w:val="en-US"/>
              </w:rPr>
            </w:pPr>
            <w:r w:rsidRPr="00AE4DC5">
              <w:rPr>
                <w:b/>
                <w:bCs/>
                <w:color w:val="000000"/>
                <w:lang w:val="en-US"/>
              </w:rPr>
              <w:t>Eligible controller treatment:</w:t>
            </w:r>
          </w:p>
          <w:p w14:paraId="1CE7B285" w14:textId="4AFEA756" w:rsidR="00CE2AF9" w:rsidRPr="00AE4DC5" w:rsidRDefault="00A35084" w:rsidP="00CE2AF9">
            <w:pPr>
              <w:pStyle w:val="ListParagraph"/>
              <w:numPr>
                <w:ilvl w:val="0"/>
                <w:numId w:val="2"/>
              </w:numPr>
              <w:rPr>
                <w:color w:val="000000"/>
                <w:lang w:val="en-US"/>
              </w:rPr>
            </w:pPr>
            <w:r w:rsidRPr="00AE4DC5">
              <w:rPr>
                <w:color w:val="000000"/>
                <w:lang w:val="en-US"/>
              </w:rPr>
              <w:t>Long-acting muscarinic antagonist (LAMA)</w:t>
            </w:r>
          </w:p>
          <w:p w14:paraId="0377AC5C" w14:textId="26666C21" w:rsidR="00CE2AF9" w:rsidRPr="00AE4DC5" w:rsidRDefault="00A35084" w:rsidP="00CE2AF9">
            <w:pPr>
              <w:pStyle w:val="ListParagraph"/>
              <w:numPr>
                <w:ilvl w:val="0"/>
                <w:numId w:val="2"/>
              </w:numPr>
              <w:rPr>
                <w:rFonts w:asciiTheme="majorHAnsi" w:hAnsiTheme="majorHAnsi" w:cstheme="majorHAnsi"/>
                <w:color w:val="000000"/>
                <w:sz w:val="20"/>
                <w:szCs w:val="20"/>
                <w:lang w:val="en-US"/>
              </w:rPr>
            </w:pPr>
            <w:r w:rsidRPr="00AE4DC5">
              <w:rPr>
                <w:color w:val="000000"/>
                <w:lang w:val="en-US"/>
              </w:rPr>
              <w:t>Leukotriene receptor antagonist (LTRA)</w:t>
            </w:r>
          </w:p>
        </w:tc>
      </w:tr>
    </w:tbl>
    <w:p w14:paraId="4A92B531" w14:textId="075C161F" w:rsidR="0037343D" w:rsidRPr="00AE4DC5" w:rsidRDefault="00E4744B" w:rsidP="00E4744B">
      <w:pPr>
        <w:spacing w:before="120" w:after="120"/>
        <w:rPr>
          <w:color w:val="000000"/>
          <w:lang w:val="en-US"/>
        </w:rPr>
      </w:pPr>
      <w:bookmarkStart w:id="1" w:name="_Hlk117247390"/>
      <w:r w:rsidRPr="00AE4DC5">
        <w:rPr>
          <w:b/>
          <w:bCs/>
          <w:color w:val="000000"/>
          <w:sz w:val="18"/>
          <w:szCs w:val="18"/>
          <w:lang w:val="en-US"/>
        </w:rPr>
        <w:t xml:space="preserve">Legend: </w:t>
      </w:r>
      <w:r w:rsidRPr="00AE4DC5">
        <w:rPr>
          <w:color w:val="000000"/>
          <w:sz w:val="18"/>
          <w:szCs w:val="18"/>
          <w:lang w:val="en-US"/>
        </w:rPr>
        <w:t>INN: international nonproprietary name; DPI: dry powder inhaler; pMDI: pressurized metered dose inhaler</w:t>
      </w:r>
      <w:bookmarkEnd w:id="1"/>
    </w:p>
    <w:p w14:paraId="793DE440" w14:textId="4FA6AFC8" w:rsidR="0037343D" w:rsidRPr="00AE4DC5" w:rsidRDefault="0037343D" w:rsidP="00207E7A">
      <w:pPr>
        <w:spacing w:after="120"/>
        <w:rPr>
          <w:color w:val="000000"/>
          <w:lang w:val="en-US"/>
        </w:rPr>
      </w:pPr>
      <w:r w:rsidRPr="00AE4DC5">
        <w:rPr>
          <w:color w:val="000000"/>
          <w:lang w:val="en-US"/>
        </w:rPr>
        <w:t xml:space="preserve">Table </w:t>
      </w:r>
      <w:r w:rsidR="00BF5B48" w:rsidRPr="00AE4DC5">
        <w:rPr>
          <w:color w:val="000000"/>
          <w:lang w:val="en-US"/>
        </w:rPr>
        <w:t>S</w:t>
      </w:r>
      <w:r w:rsidRPr="00AE4DC5">
        <w:rPr>
          <w:color w:val="000000"/>
          <w:lang w:val="en-US"/>
        </w:rPr>
        <w:t xml:space="preserve">2 – </w:t>
      </w:r>
      <w:r w:rsidR="00CE2AF9" w:rsidRPr="00AE4DC5">
        <w:rPr>
          <w:b/>
          <w:bCs/>
          <w:color w:val="000000"/>
          <w:lang w:val="en-US"/>
        </w:rPr>
        <w:t xml:space="preserve">Patient selection criteria – </w:t>
      </w:r>
      <w:r w:rsidRPr="00AE4DC5">
        <w:rPr>
          <w:b/>
          <w:bCs/>
          <w:color w:val="000000"/>
          <w:lang w:val="en-US"/>
        </w:rPr>
        <w:t>Classification of total daily ICS doses</w:t>
      </w:r>
      <w:r w:rsidR="00CE2AF9" w:rsidRPr="00AE4DC5">
        <w:rPr>
          <w:b/>
          <w:bCs/>
          <w:color w:val="000000"/>
          <w:lang w:val="en-US"/>
        </w:rPr>
        <w:t>,</w:t>
      </w:r>
      <w:r w:rsidRPr="00AE4DC5">
        <w:rPr>
          <w:b/>
          <w:bCs/>
          <w:color w:val="000000"/>
          <w:lang w:val="en-US"/>
        </w:rPr>
        <w:t xml:space="preserve"> according to INN</w:t>
      </w:r>
      <w:r w:rsidR="00CE2AF9" w:rsidRPr="00AE4DC5">
        <w:rPr>
          <w:b/>
          <w:bCs/>
          <w:color w:val="000000"/>
          <w:lang w:val="en-US"/>
        </w:rPr>
        <w:t>,</w:t>
      </w:r>
      <w:r w:rsidRPr="00AE4DC5">
        <w:rPr>
          <w:b/>
          <w:bCs/>
          <w:color w:val="000000"/>
          <w:lang w:val="en-US"/>
        </w:rPr>
        <w:t xml:space="preserve"> </w:t>
      </w:r>
      <w:r w:rsidR="00CE2AF9" w:rsidRPr="00AE4DC5">
        <w:rPr>
          <w:b/>
          <w:bCs/>
          <w:color w:val="000000"/>
          <w:lang w:val="en-US"/>
        </w:rPr>
        <w:t>and eligible controller treatment</w:t>
      </w:r>
      <w:r w:rsidR="00CE2AF9" w:rsidRPr="00AE4DC5">
        <w:rPr>
          <w:color w:val="000000"/>
          <w:lang w:val="en-US"/>
        </w:rPr>
        <w:t xml:space="preserve"> </w:t>
      </w:r>
      <w:r w:rsidRPr="00AE4DC5">
        <w:rPr>
          <w:color w:val="000000"/>
          <w:lang w:val="en-US"/>
        </w:rPr>
        <w:t xml:space="preserve">(analysis). </w:t>
      </w:r>
    </w:p>
    <w:tbl>
      <w:tblPr>
        <w:tblStyle w:val="TableGrid"/>
        <w:tblW w:w="0" w:type="auto"/>
        <w:tblLook w:val="04A0" w:firstRow="1" w:lastRow="0" w:firstColumn="1" w:lastColumn="0" w:noHBand="0" w:noVBand="1"/>
      </w:tblPr>
      <w:tblGrid>
        <w:gridCol w:w="3393"/>
        <w:gridCol w:w="1697"/>
        <w:gridCol w:w="1697"/>
        <w:gridCol w:w="1697"/>
      </w:tblGrid>
      <w:tr w:rsidR="0037343D" w:rsidRPr="00AE4DC5" w14:paraId="4DE8B19D" w14:textId="77777777" w:rsidTr="00E4744B">
        <w:tc>
          <w:tcPr>
            <w:tcW w:w="3393" w:type="dxa"/>
            <w:vMerge w:val="restart"/>
            <w:tcBorders>
              <w:top w:val="single" w:sz="8" w:space="0" w:color="auto"/>
              <w:left w:val="single" w:sz="8" w:space="0" w:color="auto"/>
            </w:tcBorders>
            <w:vAlign w:val="center"/>
          </w:tcPr>
          <w:p w14:paraId="566A6814" w14:textId="77777777" w:rsidR="0037343D" w:rsidRPr="00AE4DC5" w:rsidRDefault="0037343D" w:rsidP="00C357A8">
            <w:pPr>
              <w:spacing w:after="120"/>
              <w:jc w:val="center"/>
              <w:rPr>
                <w:b/>
                <w:color w:val="000000"/>
                <w:sz w:val="20"/>
                <w:szCs w:val="20"/>
                <w:lang w:val="en-US"/>
              </w:rPr>
            </w:pPr>
            <w:r w:rsidRPr="00AE4DC5">
              <w:rPr>
                <w:b/>
                <w:color w:val="000000"/>
                <w:sz w:val="20"/>
                <w:szCs w:val="20"/>
                <w:lang w:val="en-US"/>
              </w:rPr>
              <w:t>Inhaled Corticosteroid</w:t>
            </w:r>
          </w:p>
        </w:tc>
        <w:tc>
          <w:tcPr>
            <w:tcW w:w="5091" w:type="dxa"/>
            <w:gridSpan w:val="3"/>
            <w:tcBorders>
              <w:top w:val="single" w:sz="8" w:space="0" w:color="auto"/>
              <w:bottom w:val="dotted" w:sz="4" w:space="0" w:color="auto"/>
              <w:right w:val="single" w:sz="8" w:space="0" w:color="auto"/>
            </w:tcBorders>
            <w:vAlign w:val="center"/>
          </w:tcPr>
          <w:p w14:paraId="4B27B8C8" w14:textId="50DABD6B" w:rsidR="0037343D" w:rsidRPr="00AE4DC5" w:rsidRDefault="0037343D" w:rsidP="00C357A8">
            <w:pPr>
              <w:spacing w:after="120"/>
              <w:jc w:val="center"/>
              <w:rPr>
                <w:b/>
                <w:color w:val="000000"/>
                <w:sz w:val="20"/>
                <w:szCs w:val="20"/>
                <w:lang w:val="en-US"/>
              </w:rPr>
            </w:pPr>
            <w:r w:rsidRPr="00AE4DC5">
              <w:rPr>
                <w:b/>
                <w:color w:val="000000"/>
                <w:sz w:val="20"/>
                <w:szCs w:val="20"/>
                <w:lang w:val="en-US"/>
              </w:rPr>
              <w:t>Total daily dose (μg/day)</w:t>
            </w:r>
          </w:p>
        </w:tc>
      </w:tr>
      <w:tr w:rsidR="0037343D" w:rsidRPr="00AE4DC5" w14:paraId="5A3BE4B0" w14:textId="77777777" w:rsidTr="00E4744B">
        <w:tc>
          <w:tcPr>
            <w:tcW w:w="3393" w:type="dxa"/>
            <w:vMerge/>
            <w:tcBorders>
              <w:left w:val="single" w:sz="8" w:space="0" w:color="auto"/>
              <w:bottom w:val="single" w:sz="4" w:space="0" w:color="auto"/>
              <w:right w:val="single" w:sz="4" w:space="0" w:color="auto"/>
            </w:tcBorders>
            <w:vAlign w:val="center"/>
          </w:tcPr>
          <w:p w14:paraId="72F2AF85" w14:textId="77777777" w:rsidR="0037343D" w:rsidRPr="00AE4DC5" w:rsidRDefault="0037343D" w:rsidP="00C357A8">
            <w:pPr>
              <w:spacing w:after="120"/>
              <w:jc w:val="center"/>
              <w:rPr>
                <w:b/>
                <w:color w:val="000000"/>
                <w:sz w:val="20"/>
                <w:szCs w:val="20"/>
                <w:lang w:val="en-US"/>
              </w:rPr>
            </w:pPr>
          </w:p>
        </w:tc>
        <w:tc>
          <w:tcPr>
            <w:tcW w:w="1697" w:type="dxa"/>
            <w:tcBorders>
              <w:top w:val="dotted" w:sz="4" w:space="0" w:color="auto"/>
              <w:left w:val="single" w:sz="4" w:space="0" w:color="auto"/>
              <w:bottom w:val="single" w:sz="4" w:space="0" w:color="auto"/>
              <w:right w:val="dotted" w:sz="4" w:space="0" w:color="auto"/>
            </w:tcBorders>
            <w:vAlign w:val="center"/>
          </w:tcPr>
          <w:p w14:paraId="63447933" w14:textId="77777777" w:rsidR="0037343D" w:rsidRPr="00AE4DC5" w:rsidRDefault="0037343D" w:rsidP="00C357A8">
            <w:pPr>
              <w:spacing w:after="120"/>
              <w:jc w:val="center"/>
              <w:rPr>
                <w:b/>
                <w:color w:val="000000"/>
                <w:sz w:val="20"/>
                <w:szCs w:val="20"/>
                <w:lang w:val="en-US"/>
              </w:rPr>
            </w:pPr>
            <w:r w:rsidRPr="00AE4DC5">
              <w:rPr>
                <w:b/>
                <w:color w:val="000000"/>
                <w:sz w:val="20"/>
                <w:szCs w:val="20"/>
                <w:lang w:val="en-US"/>
              </w:rPr>
              <w:t>Low</w:t>
            </w:r>
          </w:p>
        </w:tc>
        <w:tc>
          <w:tcPr>
            <w:tcW w:w="1697" w:type="dxa"/>
            <w:tcBorders>
              <w:top w:val="dotted" w:sz="4" w:space="0" w:color="auto"/>
              <w:left w:val="dotted" w:sz="4" w:space="0" w:color="auto"/>
              <w:bottom w:val="single" w:sz="4" w:space="0" w:color="auto"/>
              <w:right w:val="dotted" w:sz="4" w:space="0" w:color="auto"/>
            </w:tcBorders>
            <w:vAlign w:val="center"/>
          </w:tcPr>
          <w:p w14:paraId="54EA8B58" w14:textId="77777777" w:rsidR="0037343D" w:rsidRPr="00AE4DC5" w:rsidRDefault="0037343D" w:rsidP="00C357A8">
            <w:pPr>
              <w:spacing w:after="120"/>
              <w:jc w:val="center"/>
              <w:rPr>
                <w:b/>
                <w:color w:val="000000"/>
                <w:sz w:val="20"/>
                <w:szCs w:val="20"/>
                <w:lang w:val="en-US"/>
              </w:rPr>
            </w:pPr>
            <w:r w:rsidRPr="00AE4DC5">
              <w:rPr>
                <w:b/>
                <w:color w:val="000000"/>
                <w:sz w:val="20"/>
                <w:szCs w:val="20"/>
                <w:lang w:val="en-US"/>
              </w:rPr>
              <w:t>Medium</w:t>
            </w:r>
          </w:p>
        </w:tc>
        <w:tc>
          <w:tcPr>
            <w:tcW w:w="1697" w:type="dxa"/>
            <w:tcBorders>
              <w:top w:val="dotted" w:sz="4" w:space="0" w:color="auto"/>
              <w:left w:val="dotted" w:sz="4" w:space="0" w:color="auto"/>
              <w:bottom w:val="single" w:sz="4" w:space="0" w:color="auto"/>
              <w:right w:val="single" w:sz="8" w:space="0" w:color="auto"/>
            </w:tcBorders>
            <w:vAlign w:val="center"/>
          </w:tcPr>
          <w:p w14:paraId="44F08570" w14:textId="77777777" w:rsidR="0037343D" w:rsidRPr="00AE4DC5" w:rsidRDefault="0037343D" w:rsidP="00C357A8">
            <w:pPr>
              <w:spacing w:after="120"/>
              <w:jc w:val="center"/>
              <w:rPr>
                <w:b/>
                <w:color w:val="000000"/>
                <w:sz w:val="20"/>
                <w:szCs w:val="20"/>
                <w:lang w:val="en-US"/>
              </w:rPr>
            </w:pPr>
            <w:r w:rsidRPr="00AE4DC5">
              <w:rPr>
                <w:b/>
                <w:color w:val="000000"/>
                <w:sz w:val="20"/>
                <w:szCs w:val="20"/>
                <w:lang w:val="en-US"/>
              </w:rPr>
              <w:t>High</w:t>
            </w:r>
          </w:p>
        </w:tc>
      </w:tr>
      <w:tr w:rsidR="0037343D" w:rsidRPr="00AE4DC5" w14:paraId="3B638D54" w14:textId="77777777" w:rsidTr="00E4744B">
        <w:tc>
          <w:tcPr>
            <w:tcW w:w="3393" w:type="dxa"/>
            <w:tcBorders>
              <w:left w:val="single" w:sz="8" w:space="0" w:color="auto"/>
              <w:bottom w:val="dotted" w:sz="4" w:space="0" w:color="auto"/>
              <w:right w:val="single" w:sz="4" w:space="0" w:color="auto"/>
            </w:tcBorders>
          </w:tcPr>
          <w:p w14:paraId="46C12D52" w14:textId="77777777" w:rsidR="0037343D" w:rsidRPr="00AE4DC5" w:rsidRDefault="0037343D" w:rsidP="00C357A8">
            <w:pPr>
              <w:spacing w:after="120"/>
              <w:rPr>
                <w:b/>
                <w:color w:val="000000"/>
                <w:sz w:val="20"/>
                <w:szCs w:val="20"/>
                <w:lang w:val="en-US"/>
              </w:rPr>
            </w:pPr>
            <w:r w:rsidRPr="00AE4DC5">
              <w:rPr>
                <w:b/>
                <w:color w:val="000000"/>
                <w:sz w:val="20"/>
                <w:szCs w:val="20"/>
                <w:lang w:val="en-US"/>
              </w:rPr>
              <w:t>Budesonide (DPI/ pMDI)</w:t>
            </w:r>
          </w:p>
        </w:tc>
        <w:tc>
          <w:tcPr>
            <w:tcW w:w="1697" w:type="dxa"/>
            <w:tcBorders>
              <w:top w:val="single" w:sz="4" w:space="0" w:color="auto"/>
              <w:left w:val="single" w:sz="4" w:space="0" w:color="auto"/>
              <w:bottom w:val="dotted" w:sz="4" w:space="0" w:color="auto"/>
              <w:right w:val="dotted" w:sz="4" w:space="0" w:color="auto"/>
            </w:tcBorders>
            <w:vAlign w:val="center"/>
          </w:tcPr>
          <w:p w14:paraId="7BF48684" w14:textId="77777777" w:rsidR="0037343D" w:rsidRPr="00AE4DC5" w:rsidRDefault="0037343D" w:rsidP="00C357A8">
            <w:pPr>
              <w:jc w:val="center"/>
              <w:rPr>
                <w:rFonts w:asciiTheme="majorHAnsi" w:hAnsiTheme="majorHAnsi" w:cstheme="majorHAnsi"/>
                <w:color w:val="000000"/>
                <w:sz w:val="20"/>
                <w:szCs w:val="20"/>
                <w:lang w:val="en-US"/>
              </w:rPr>
            </w:pPr>
            <w:r w:rsidRPr="00AE4DC5">
              <w:rPr>
                <w:rFonts w:asciiTheme="majorHAnsi" w:hAnsiTheme="majorHAnsi" w:cstheme="majorHAnsi"/>
                <w:color w:val="000000"/>
                <w:sz w:val="20"/>
                <w:szCs w:val="20"/>
                <w:lang w:val="en-US"/>
              </w:rPr>
              <w:t>[200; 400[</w:t>
            </w:r>
          </w:p>
        </w:tc>
        <w:tc>
          <w:tcPr>
            <w:tcW w:w="1697" w:type="dxa"/>
            <w:tcBorders>
              <w:top w:val="single" w:sz="4" w:space="0" w:color="auto"/>
              <w:left w:val="dotted" w:sz="4" w:space="0" w:color="auto"/>
              <w:bottom w:val="dotted" w:sz="4" w:space="0" w:color="auto"/>
              <w:right w:val="dotted" w:sz="4" w:space="0" w:color="auto"/>
            </w:tcBorders>
            <w:vAlign w:val="center"/>
          </w:tcPr>
          <w:p w14:paraId="6ED96D16" w14:textId="77777777" w:rsidR="0037343D" w:rsidRPr="00AE4DC5" w:rsidRDefault="0037343D" w:rsidP="00C357A8">
            <w:pPr>
              <w:jc w:val="center"/>
              <w:rPr>
                <w:rFonts w:asciiTheme="majorHAnsi" w:hAnsiTheme="majorHAnsi" w:cstheme="majorHAnsi"/>
                <w:color w:val="000000"/>
                <w:sz w:val="20"/>
                <w:szCs w:val="20"/>
                <w:lang w:val="en-US"/>
              </w:rPr>
            </w:pPr>
            <w:r w:rsidRPr="00AE4DC5">
              <w:rPr>
                <w:rFonts w:asciiTheme="majorHAnsi" w:hAnsiTheme="majorHAnsi" w:cstheme="majorHAnsi"/>
                <w:color w:val="000000"/>
                <w:sz w:val="20"/>
                <w:szCs w:val="20"/>
                <w:lang w:val="en-US"/>
              </w:rPr>
              <w:t>[400; 800[</w:t>
            </w:r>
          </w:p>
        </w:tc>
        <w:tc>
          <w:tcPr>
            <w:tcW w:w="1697" w:type="dxa"/>
            <w:tcBorders>
              <w:top w:val="single" w:sz="4" w:space="0" w:color="auto"/>
              <w:left w:val="dotted" w:sz="4" w:space="0" w:color="auto"/>
              <w:bottom w:val="dotted" w:sz="4" w:space="0" w:color="auto"/>
              <w:right w:val="single" w:sz="8" w:space="0" w:color="auto"/>
            </w:tcBorders>
            <w:vAlign w:val="center"/>
          </w:tcPr>
          <w:p w14:paraId="263ADE01" w14:textId="77777777" w:rsidR="0037343D" w:rsidRPr="00AE4DC5" w:rsidRDefault="0037343D" w:rsidP="00C357A8">
            <w:pPr>
              <w:jc w:val="center"/>
              <w:rPr>
                <w:rFonts w:asciiTheme="majorHAnsi" w:hAnsiTheme="majorHAnsi" w:cstheme="majorHAnsi"/>
                <w:color w:val="000000"/>
                <w:sz w:val="20"/>
                <w:szCs w:val="20"/>
                <w:lang w:val="en-US"/>
              </w:rPr>
            </w:pPr>
            <w:r w:rsidRPr="00AE4DC5">
              <w:rPr>
                <w:rFonts w:asciiTheme="majorHAnsi" w:hAnsiTheme="majorHAnsi" w:cstheme="majorHAnsi"/>
                <w:color w:val="000000"/>
                <w:sz w:val="20"/>
                <w:szCs w:val="20"/>
                <w:lang w:val="en-US"/>
              </w:rPr>
              <w:t>[800; +</w:t>
            </w:r>
            <w:r w:rsidRPr="00AE4DC5">
              <w:rPr>
                <w:rFonts w:asciiTheme="majorHAnsi" w:hAnsiTheme="majorHAnsi" w:cstheme="majorHAnsi"/>
                <w:color w:val="000000"/>
                <w:lang w:val="en-US"/>
              </w:rPr>
              <w:t>∞[</w:t>
            </w:r>
          </w:p>
        </w:tc>
      </w:tr>
      <w:tr w:rsidR="0037343D" w:rsidRPr="00AE4DC5" w14:paraId="5C797C83" w14:textId="77777777" w:rsidTr="00E4744B">
        <w:tc>
          <w:tcPr>
            <w:tcW w:w="3393" w:type="dxa"/>
            <w:tcBorders>
              <w:top w:val="dotted" w:sz="4" w:space="0" w:color="auto"/>
              <w:left w:val="single" w:sz="8" w:space="0" w:color="auto"/>
              <w:bottom w:val="dotted" w:sz="4" w:space="0" w:color="auto"/>
              <w:right w:val="single" w:sz="4" w:space="0" w:color="auto"/>
            </w:tcBorders>
          </w:tcPr>
          <w:p w14:paraId="7531957F" w14:textId="77777777" w:rsidR="0037343D" w:rsidRPr="00AE4DC5" w:rsidRDefault="0037343D" w:rsidP="00C357A8">
            <w:pPr>
              <w:spacing w:after="120"/>
              <w:rPr>
                <w:b/>
                <w:color w:val="000000"/>
                <w:sz w:val="20"/>
                <w:szCs w:val="20"/>
                <w:lang w:val="en-US"/>
              </w:rPr>
            </w:pPr>
            <w:r w:rsidRPr="00AE4DC5">
              <w:rPr>
                <w:b/>
                <w:color w:val="000000"/>
                <w:sz w:val="20"/>
                <w:szCs w:val="20"/>
                <w:lang w:val="en-US"/>
              </w:rPr>
              <w:t>Fluticasone furoate (DPI)</w:t>
            </w:r>
          </w:p>
        </w:tc>
        <w:tc>
          <w:tcPr>
            <w:tcW w:w="3394" w:type="dxa"/>
            <w:gridSpan w:val="2"/>
            <w:tcBorders>
              <w:top w:val="dotted" w:sz="4" w:space="0" w:color="auto"/>
              <w:left w:val="single" w:sz="4" w:space="0" w:color="auto"/>
              <w:bottom w:val="dotted" w:sz="4" w:space="0" w:color="auto"/>
              <w:right w:val="dotted" w:sz="4" w:space="0" w:color="auto"/>
            </w:tcBorders>
            <w:vAlign w:val="center"/>
          </w:tcPr>
          <w:p w14:paraId="0A411C01" w14:textId="77777777" w:rsidR="0037343D" w:rsidRPr="00AE4DC5" w:rsidRDefault="0037343D" w:rsidP="00C357A8">
            <w:pPr>
              <w:jc w:val="center"/>
              <w:rPr>
                <w:rFonts w:asciiTheme="majorHAnsi" w:hAnsiTheme="majorHAnsi" w:cstheme="majorHAnsi"/>
                <w:color w:val="000000"/>
                <w:sz w:val="20"/>
                <w:szCs w:val="20"/>
                <w:lang w:val="en-US"/>
              </w:rPr>
            </w:pPr>
            <w:r w:rsidRPr="00AE4DC5">
              <w:rPr>
                <w:rFonts w:asciiTheme="majorHAnsi" w:hAnsiTheme="majorHAnsi" w:cstheme="majorHAnsi"/>
                <w:color w:val="000000"/>
                <w:sz w:val="20"/>
                <w:szCs w:val="20"/>
                <w:lang w:val="en-US"/>
              </w:rPr>
              <w:t>100</w:t>
            </w:r>
          </w:p>
        </w:tc>
        <w:tc>
          <w:tcPr>
            <w:tcW w:w="1697" w:type="dxa"/>
            <w:tcBorders>
              <w:top w:val="dotted" w:sz="4" w:space="0" w:color="auto"/>
              <w:left w:val="dotted" w:sz="4" w:space="0" w:color="auto"/>
              <w:bottom w:val="dotted" w:sz="4" w:space="0" w:color="auto"/>
              <w:right w:val="single" w:sz="8" w:space="0" w:color="auto"/>
            </w:tcBorders>
            <w:vAlign w:val="center"/>
          </w:tcPr>
          <w:p w14:paraId="7EDC175E" w14:textId="77777777" w:rsidR="0037343D" w:rsidRPr="00AE4DC5" w:rsidRDefault="0037343D" w:rsidP="00C357A8">
            <w:pPr>
              <w:jc w:val="center"/>
              <w:rPr>
                <w:rFonts w:asciiTheme="majorHAnsi" w:hAnsiTheme="majorHAnsi" w:cstheme="majorHAnsi"/>
                <w:color w:val="000000"/>
                <w:sz w:val="20"/>
                <w:szCs w:val="20"/>
                <w:lang w:val="en-US"/>
              </w:rPr>
            </w:pPr>
            <w:r w:rsidRPr="00AE4DC5">
              <w:rPr>
                <w:rFonts w:asciiTheme="majorHAnsi" w:hAnsiTheme="majorHAnsi" w:cstheme="majorHAnsi"/>
                <w:color w:val="000000"/>
                <w:sz w:val="20"/>
                <w:szCs w:val="20"/>
                <w:lang w:val="en-US"/>
              </w:rPr>
              <w:t>200</w:t>
            </w:r>
          </w:p>
        </w:tc>
      </w:tr>
      <w:tr w:rsidR="0037343D" w:rsidRPr="00AE4DC5" w14:paraId="31B8EE63" w14:textId="77777777" w:rsidTr="00E4744B">
        <w:tc>
          <w:tcPr>
            <w:tcW w:w="3393" w:type="dxa"/>
            <w:tcBorders>
              <w:top w:val="dotted" w:sz="4" w:space="0" w:color="auto"/>
              <w:left w:val="single" w:sz="8" w:space="0" w:color="auto"/>
              <w:bottom w:val="single" w:sz="8" w:space="0" w:color="auto"/>
              <w:right w:val="single" w:sz="4" w:space="0" w:color="auto"/>
            </w:tcBorders>
          </w:tcPr>
          <w:p w14:paraId="3BAAA819" w14:textId="77777777" w:rsidR="0037343D" w:rsidRPr="00AE4DC5" w:rsidRDefault="0037343D" w:rsidP="00C357A8">
            <w:pPr>
              <w:spacing w:after="120"/>
              <w:rPr>
                <w:b/>
                <w:color w:val="000000"/>
                <w:sz w:val="20"/>
                <w:szCs w:val="20"/>
                <w:lang w:val="en-US"/>
              </w:rPr>
            </w:pPr>
            <w:r w:rsidRPr="00AE4DC5">
              <w:rPr>
                <w:b/>
                <w:color w:val="000000"/>
                <w:sz w:val="20"/>
                <w:szCs w:val="20"/>
                <w:lang w:val="en-US"/>
              </w:rPr>
              <w:t>Fluticasone propionate (DPI/ pMDI)</w:t>
            </w:r>
          </w:p>
        </w:tc>
        <w:tc>
          <w:tcPr>
            <w:tcW w:w="1697" w:type="dxa"/>
            <w:tcBorders>
              <w:top w:val="dotted" w:sz="4" w:space="0" w:color="auto"/>
              <w:left w:val="single" w:sz="4" w:space="0" w:color="auto"/>
              <w:bottom w:val="single" w:sz="8" w:space="0" w:color="auto"/>
              <w:right w:val="dotted" w:sz="4" w:space="0" w:color="auto"/>
            </w:tcBorders>
            <w:vAlign w:val="center"/>
          </w:tcPr>
          <w:p w14:paraId="1CFFA040" w14:textId="77777777" w:rsidR="0037343D" w:rsidRPr="00AE4DC5" w:rsidRDefault="0037343D" w:rsidP="00C357A8">
            <w:pPr>
              <w:jc w:val="center"/>
              <w:rPr>
                <w:rFonts w:asciiTheme="majorHAnsi" w:hAnsiTheme="majorHAnsi" w:cstheme="majorHAnsi"/>
                <w:color w:val="000000"/>
                <w:sz w:val="20"/>
                <w:szCs w:val="20"/>
                <w:lang w:val="en-US"/>
              </w:rPr>
            </w:pPr>
            <w:r w:rsidRPr="00AE4DC5">
              <w:rPr>
                <w:rFonts w:asciiTheme="majorHAnsi" w:hAnsiTheme="majorHAnsi" w:cstheme="majorHAnsi"/>
                <w:color w:val="000000"/>
                <w:sz w:val="20"/>
                <w:szCs w:val="20"/>
                <w:lang w:val="en-US"/>
              </w:rPr>
              <w:t>[100; 250[</w:t>
            </w:r>
          </w:p>
        </w:tc>
        <w:tc>
          <w:tcPr>
            <w:tcW w:w="1697" w:type="dxa"/>
            <w:tcBorders>
              <w:top w:val="dotted" w:sz="4" w:space="0" w:color="auto"/>
              <w:left w:val="dotted" w:sz="4" w:space="0" w:color="auto"/>
              <w:bottom w:val="single" w:sz="8" w:space="0" w:color="auto"/>
              <w:right w:val="dotted" w:sz="4" w:space="0" w:color="auto"/>
            </w:tcBorders>
            <w:vAlign w:val="center"/>
          </w:tcPr>
          <w:p w14:paraId="15B37093" w14:textId="77777777" w:rsidR="0037343D" w:rsidRPr="00AE4DC5" w:rsidRDefault="0037343D" w:rsidP="00C357A8">
            <w:pPr>
              <w:jc w:val="center"/>
              <w:rPr>
                <w:rFonts w:asciiTheme="majorHAnsi" w:hAnsiTheme="majorHAnsi" w:cstheme="majorHAnsi"/>
                <w:color w:val="000000"/>
                <w:sz w:val="20"/>
                <w:szCs w:val="20"/>
                <w:lang w:val="en-US"/>
              </w:rPr>
            </w:pPr>
            <w:r w:rsidRPr="00AE4DC5">
              <w:rPr>
                <w:rFonts w:asciiTheme="majorHAnsi" w:hAnsiTheme="majorHAnsi" w:cstheme="majorHAnsi"/>
                <w:color w:val="000000"/>
                <w:sz w:val="20"/>
                <w:szCs w:val="20"/>
                <w:lang w:val="en-US"/>
              </w:rPr>
              <w:t>[250; 500[</w:t>
            </w:r>
          </w:p>
        </w:tc>
        <w:tc>
          <w:tcPr>
            <w:tcW w:w="1697" w:type="dxa"/>
            <w:tcBorders>
              <w:top w:val="dotted" w:sz="4" w:space="0" w:color="auto"/>
              <w:left w:val="dotted" w:sz="4" w:space="0" w:color="auto"/>
              <w:bottom w:val="single" w:sz="8" w:space="0" w:color="auto"/>
              <w:right w:val="single" w:sz="8" w:space="0" w:color="auto"/>
            </w:tcBorders>
            <w:vAlign w:val="center"/>
          </w:tcPr>
          <w:p w14:paraId="1FF26928" w14:textId="77777777" w:rsidR="0037343D" w:rsidRPr="00AE4DC5" w:rsidRDefault="0037343D" w:rsidP="00C357A8">
            <w:pPr>
              <w:jc w:val="center"/>
              <w:rPr>
                <w:rFonts w:asciiTheme="majorHAnsi" w:hAnsiTheme="majorHAnsi" w:cstheme="majorHAnsi"/>
                <w:color w:val="000000"/>
                <w:sz w:val="20"/>
                <w:szCs w:val="20"/>
                <w:lang w:val="en-US"/>
              </w:rPr>
            </w:pPr>
            <w:r w:rsidRPr="00AE4DC5">
              <w:rPr>
                <w:rFonts w:asciiTheme="majorHAnsi" w:hAnsiTheme="majorHAnsi" w:cstheme="majorHAnsi"/>
                <w:color w:val="000000"/>
                <w:sz w:val="20"/>
                <w:szCs w:val="20"/>
                <w:lang w:val="en-US"/>
              </w:rPr>
              <w:t>[500; +</w:t>
            </w:r>
            <w:r w:rsidRPr="00AE4DC5">
              <w:rPr>
                <w:rFonts w:asciiTheme="majorHAnsi" w:hAnsiTheme="majorHAnsi" w:cstheme="majorHAnsi"/>
                <w:color w:val="000000"/>
                <w:lang w:val="en-US"/>
              </w:rPr>
              <w:t>∞</w:t>
            </w:r>
            <w:r w:rsidRPr="00AE4DC5">
              <w:rPr>
                <w:rFonts w:asciiTheme="majorHAnsi" w:hAnsiTheme="majorHAnsi" w:cstheme="majorHAnsi"/>
                <w:color w:val="000000"/>
                <w:sz w:val="20"/>
                <w:szCs w:val="20"/>
                <w:lang w:val="en-US"/>
              </w:rPr>
              <w:t>[</w:t>
            </w:r>
          </w:p>
        </w:tc>
      </w:tr>
      <w:tr w:rsidR="00CE2AF9" w:rsidRPr="00AE4DC5" w14:paraId="200D7AF0" w14:textId="77777777" w:rsidTr="00AE4DC5">
        <w:tc>
          <w:tcPr>
            <w:tcW w:w="8484" w:type="dxa"/>
            <w:gridSpan w:val="4"/>
            <w:tcBorders>
              <w:top w:val="single" w:sz="8" w:space="0" w:color="auto"/>
              <w:left w:val="single" w:sz="8" w:space="0" w:color="auto"/>
              <w:bottom w:val="single" w:sz="8" w:space="0" w:color="auto"/>
              <w:right w:val="single" w:sz="8" w:space="0" w:color="auto"/>
            </w:tcBorders>
          </w:tcPr>
          <w:p w14:paraId="3F03EB31" w14:textId="77777777" w:rsidR="00CE2AF9" w:rsidRPr="00AE4DC5" w:rsidRDefault="00CE2AF9" w:rsidP="00CE2AF9">
            <w:pPr>
              <w:contextualSpacing/>
              <w:rPr>
                <w:b/>
                <w:bCs/>
                <w:color w:val="000000"/>
                <w:lang w:val="en-US"/>
              </w:rPr>
            </w:pPr>
            <w:r w:rsidRPr="00AE4DC5">
              <w:rPr>
                <w:b/>
                <w:bCs/>
                <w:color w:val="000000"/>
                <w:lang w:val="en-US"/>
              </w:rPr>
              <w:t>Eligible controller treatment:</w:t>
            </w:r>
          </w:p>
          <w:p w14:paraId="036F2B30" w14:textId="77777777" w:rsidR="00A35084" w:rsidRPr="00AE4DC5" w:rsidRDefault="00A35084" w:rsidP="00A35084">
            <w:pPr>
              <w:pStyle w:val="ListParagraph"/>
              <w:numPr>
                <w:ilvl w:val="0"/>
                <w:numId w:val="2"/>
              </w:numPr>
              <w:rPr>
                <w:color w:val="000000"/>
                <w:lang w:val="en-US"/>
              </w:rPr>
            </w:pPr>
            <w:r w:rsidRPr="00AE4DC5">
              <w:rPr>
                <w:color w:val="000000"/>
                <w:lang w:val="en-US"/>
              </w:rPr>
              <w:t>Long-acting muscarinic antagonist (LAMA)</w:t>
            </w:r>
          </w:p>
          <w:p w14:paraId="5F498F49" w14:textId="5A2C4A95" w:rsidR="00A35084" w:rsidRPr="00AE4DC5" w:rsidRDefault="00A35084" w:rsidP="00CE2AF9">
            <w:pPr>
              <w:pStyle w:val="ListParagraph"/>
              <w:numPr>
                <w:ilvl w:val="0"/>
                <w:numId w:val="2"/>
              </w:numPr>
              <w:rPr>
                <w:color w:val="000000"/>
                <w:lang w:val="en-US"/>
              </w:rPr>
            </w:pPr>
            <w:r w:rsidRPr="00AE4DC5">
              <w:rPr>
                <w:color w:val="000000"/>
                <w:lang w:val="en-US"/>
              </w:rPr>
              <w:t>Leukotriene receptor antagonist (LTRA)</w:t>
            </w:r>
          </w:p>
          <w:p w14:paraId="07422501" w14:textId="65410FB2" w:rsidR="00CE2AF9" w:rsidRPr="00AE4DC5" w:rsidRDefault="00A35084" w:rsidP="00CE2AF9">
            <w:pPr>
              <w:pStyle w:val="ListParagraph"/>
              <w:numPr>
                <w:ilvl w:val="0"/>
                <w:numId w:val="2"/>
              </w:numPr>
              <w:rPr>
                <w:color w:val="000000"/>
                <w:lang w:val="en-US"/>
              </w:rPr>
            </w:pPr>
            <w:r w:rsidRPr="00AE4DC5">
              <w:rPr>
                <w:color w:val="000000"/>
                <w:lang w:val="en-US"/>
              </w:rPr>
              <w:t>Short-acting muscarinic antagonist (</w:t>
            </w:r>
            <w:r w:rsidR="00CE2AF9" w:rsidRPr="00AE4DC5">
              <w:rPr>
                <w:color w:val="000000"/>
                <w:lang w:val="en-US"/>
              </w:rPr>
              <w:t>SAMA</w:t>
            </w:r>
            <w:r w:rsidRPr="00AE4DC5">
              <w:rPr>
                <w:color w:val="000000"/>
                <w:lang w:val="en-US"/>
              </w:rPr>
              <w:t xml:space="preserve">) </w:t>
            </w:r>
          </w:p>
          <w:p w14:paraId="0F92478C" w14:textId="77777777" w:rsidR="00CE2AF9" w:rsidRPr="00AE4DC5" w:rsidRDefault="00CE2AF9" w:rsidP="00CE2AF9">
            <w:pPr>
              <w:pStyle w:val="ListParagraph"/>
              <w:numPr>
                <w:ilvl w:val="0"/>
                <w:numId w:val="2"/>
              </w:numPr>
              <w:rPr>
                <w:color w:val="000000"/>
                <w:lang w:val="en-US"/>
              </w:rPr>
            </w:pPr>
            <w:r w:rsidRPr="00AE4DC5">
              <w:rPr>
                <w:color w:val="000000"/>
                <w:lang w:val="en-US"/>
              </w:rPr>
              <w:t>Xanthine</w:t>
            </w:r>
          </w:p>
          <w:p w14:paraId="6F260151" w14:textId="0F8710D0" w:rsidR="00CE2AF9" w:rsidRPr="00AE4DC5" w:rsidRDefault="00CE2AF9" w:rsidP="00CE2AF9">
            <w:pPr>
              <w:pStyle w:val="ListParagraph"/>
              <w:numPr>
                <w:ilvl w:val="0"/>
                <w:numId w:val="2"/>
              </w:numPr>
              <w:rPr>
                <w:color w:val="000000"/>
                <w:lang w:val="en-US"/>
              </w:rPr>
            </w:pPr>
            <w:r w:rsidRPr="00AE4DC5">
              <w:rPr>
                <w:color w:val="000000"/>
                <w:lang w:val="en-US"/>
              </w:rPr>
              <w:t>Ketotifen</w:t>
            </w:r>
          </w:p>
        </w:tc>
      </w:tr>
    </w:tbl>
    <w:p w14:paraId="1E9E110D" w14:textId="2C9DF05F" w:rsidR="0037343D" w:rsidRPr="00AE4DC5" w:rsidRDefault="00E4744B" w:rsidP="00E4744B">
      <w:pPr>
        <w:spacing w:before="120" w:after="120"/>
        <w:rPr>
          <w:b/>
          <w:bCs/>
          <w:color w:val="000000"/>
          <w:sz w:val="18"/>
          <w:szCs w:val="18"/>
          <w:lang w:val="en-US"/>
        </w:rPr>
      </w:pPr>
      <w:r w:rsidRPr="00AE4DC5">
        <w:rPr>
          <w:b/>
          <w:bCs/>
          <w:color w:val="000000"/>
          <w:sz w:val="18"/>
          <w:szCs w:val="18"/>
          <w:lang w:val="en-US"/>
        </w:rPr>
        <w:t xml:space="preserve">Legend: </w:t>
      </w:r>
      <w:r w:rsidRPr="00AE4DC5">
        <w:rPr>
          <w:color w:val="000000"/>
          <w:sz w:val="18"/>
          <w:szCs w:val="18"/>
          <w:lang w:val="en-US"/>
        </w:rPr>
        <w:t>INN: international nonproprietary name; DPI: dry powder inhaler; pMDI: pressurized metered dose inhaler</w:t>
      </w:r>
    </w:p>
    <w:p w14:paraId="579DBD9B" w14:textId="7E458B58" w:rsidR="0037343D" w:rsidRPr="00AE4DC5" w:rsidRDefault="0037343D">
      <w:pPr>
        <w:spacing w:after="160" w:line="259" w:lineRule="auto"/>
        <w:jc w:val="left"/>
        <w:rPr>
          <w:b/>
          <w:bCs/>
          <w:color w:val="000000"/>
          <w:lang w:val="en-US"/>
        </w:rPr>
      </w:pPr>
      <w:r w:rsidRPr="00AE4DC5">
        <w:rPr>
          <w:color w:val="000000"/>
          <w:lang w:val="en-US"/>
        </w:rPr>
        <w:br w:type="page"/>
      </w:r>
      <w:r w:rsidRPr="00AE4DC5">
        <w:rPr>
          <w:color w:val="000000"/>
          <w:lang w:val="en-US"/>
        </w:rPr>
        <w:lastRenderedPageBreak/>
        <w:t xml:space="preserve">Table </w:t>
      </w:r>
      <w:r w:rsidR="00BF5B48" w:rsidRPr="00AE4DC5">
        <w:rPr>
          <w:color w:val="000000"/>
          <w:lang w:val="en-US"/>
        </w:rPr>
        <w:t>S</w:t>
      </w:r>
      <w:r w:rsidRPr="00AE4DC5">
        <w:rPr>
          <w:color w:val="000000"/>
          <w:lang w:val="en-US"/>
        </w:rPr>
        <w:t xml:space="preserve">3 – </w:t>
      </w:r>
      <w:r w:rsidRPr="00AE4DC5">
        <w:rPr>
          <w:b/>
          <w:bCs/>
          <w:color w:val="000000"/>
          <w:lang w:val="en-US"/>
        </w:rPr>
        <w:t>Equivalent dosages of Oral Corticosteroids</w:t>
      </w:r>
      <w:sdt>
        <w:sdtPr>
          <w:rPr>
            <w:bCs/>
            <w:color w:val="000000"/>
            <w:lang w:val="en-US"/>
          </w:rPr>
          <w:tag w:val="MENDELEY_CITATION_v3_eyJjaXRhdGlvbklEIjoiTUVOREVMRVlfQ0lUQVRJT05fNDMyZmY5YWEtOTYyNC00YTIyLWE3ODUtNzU4MWYwNmEyZmM1IiwiY2l0YXRpb25JdGVtcyI6W3siaWQiOiIyMzQ0NDU1Yy0xZjI1LTNjNGEtYjA1Mi1jYjc2MDRlZGMzMDEiLCJpdGVtRGF0YSI6eyJET0kiOiIxMC4xMDE2L0ouSkFDSS4yMDE1LjA3LjA0Ni9BVFRBQ0hNRU5UL0YyRDI3Njk0LTE2RjgtNEExMy1BQTBGLUMwRTU3NUU0RDZDMC9NTUM0LlBERiIsIklTU04iOiIxMDk3NjgyNSIsIlBNSUQiOiIyNjQxNDg4MCIsImFic3RyYWN0IjoiQmFja2dyb3VuZCBNYW55IHBhdGllbnRzIHdpdGggc2V2ZXJlIGFzdGhtYSByZXF1aXJlIG1haW50ZW5hbmNlIHRyZWF0bWVudCB3aXRoIHN5c3RlbWljIGNvcnRpY29zdGVyb2lkcyAoU0NTcykgdG8gY29udHJvbCBkYWlseSBzeW1wdG9tcyBhbmQgcHJldmVudCBzZXJpb3VzIGFjdXRlIGV4YWNlcmJhdGlvbnMsIGJ1dCBjaHJvbmljIFNDUyB1c2UgaXMgYXNzb2NpYXRlZCB3aXRoIGNvbXBsaWNhdGlvbnMuIE9iamVjdGl2ZSBXZSBzb3VnaHQgdG8gZXZhbHVhdGUgdGhlIHJpc2sgb2YgU0NTLXJlbGF0ZWQgY29tcGxpY2F0aW9ucyBieSBTQ1MgZXhwb3N1cmUgYW5kIHF1YW50aWZ5IHRoZSBhc3NvY2lhdGVkIGhlYWx0aCBjYXJlIGNvc3RzIGFuZCByZXNvdXJjZSB1c2UgaW4gcGF0aWVudHMgd2l0aCBzZXZlcmUgYXN0aG1hLiBNZXRob2RzIFdlIHBlcmZvcm1lZCBhIGxvbmdpdHVkaW5hbCwgb3Blbi1jb2hvcnQsIG9ic2VydmF0aW9uYWwgc3R1ZHkgdXNpbmcgaGVhbHRoIGluc3VyYW5jZSBjbGFpbXMgZGF0YSAoMTk5Ny0yMDEzOiBNZWRpY2FpZCkgZnJvbSBGbG9yaWRhLCBJb3dhLCBLYW5zYXMsIE1pc3NvdXJpLCBNaXNzaXNzaXBwaSwgYW5kIE5ldyBKZXJzZXkuIEVsaWdpYmxlIHBhdGllbnRzIHdlcmUgMTIgeWVhcnMgb2xkIG9yIG9sZGVyIHdpdGggMiBvciBtb3JlIGFzdGhtYSBkaWFnbm9zZXMgYW5kIGhhZCBtb3JlIHRoYW4gNiBtb250aHMgb2YgY29udGludW91cyBTQ1MgdXNlLiBBbiBvcGVuLWNvaG9ydCBhcHByb2FjaCB3YXMgdXNlZCB0byBjbGFzc2lmeSBwYXRpZW50cycgZm9sbG93LXVwIGludG8gbG93LCBtZWRpdW0sIGFuZCBoaWdoIFNDUyBleHBvc3VyZSAo4omlIDYsPiwgYW5kID5kLCByZXNwZWN0aXZlbHkpLiBNdWx0aXZhcmlhdGUgZ2VuZXJhbGl6ZWQgZXN0aW1hdGluZyBlcXVhdGlvbiBtb2RlbHMgd2VyZSB1c2VkIHRvIGVzdGltYXRlIHRoZSBhZGp1c3RlZCByaXNrIG9mIFNDUy1yZWxhdGVkIGNvbXBsaWNhdGlvbnMgZm9yIHBhdGllbnRzIHdpdGggbWVkaXVtIGFuZCBoaWdoIGV4cG9zdXJlIGNvbXBhcmVkIHdpdGggcGF0aWVudHMgd2l0aCBsb3cgZXhwb3N1cmUgYW5kIHF1YW50aWZ5IHRoZSByZXN1bHRpbmcgaGVhbHRoIGNhcmUgcmVzb3VyY2UgdXNlIGFuZCBjb3N0cy4gUmVzdWx0cyBUaGUgc3R1ZHkgaW5jbHVkZWQgMzYyOCBwYXRpZW50cyAobWVhbiBhZ2UsIDU3LjYgeWVhcnM7IDY4JSBmZW1hbGUpLiBQYXRpZW50cyB3aXRoIG1lZGl1bSBhbmQgaGlnaCBTQ1MgZXhwb3N1cmUgaGFkIHNpZ25pZmljYW50bHkgaGlnaGVyIHJpc2tzIG9mIFNDUy1yZWxhdGVkIGNvbXBsaWNhdGlvbnMsIGluY2x1ZGluZyBpbmZlY3Rpb25zIGFuZCBjYXJkaW92YXNjdWxhciwgbWV0YWJvbGljLCBwc3ljaGlhdHJpYywgb2N1bGFyLCBnYXN0cm9pbnRlc3RpbmFsLCBhbmQgYm9uZS1yZWxhdGVkIGNvbXBsaWNhdGlvbnMgKG9kZHMgcmF0aW8sIDEuMjMtMi4xMiBieSBjb21wbGljYXRpb247IFAgPC4wNSBmb3IgYWxsIGJ1dCBvbmUpIHZlcnN1cyB0aG9zZSB3aXRoIGxvdyAocmVmZXJlbmNlIGdyb3VwKSBTQ1MgZXhwb3N1cmUuIE1lZGl1bSBhbmQgaGlnaCBTQ1MgZXhwb3N1cmUgd2VyZSBhbHNvIGFzc29jaWF0ZWQgd2l0aCBzaWduaWZpY2FudGx5IG1vcmUgZW1lcmdlbmN5IGRlcGFydG1lbnQgdmlzaXRzIChpbmNpZGVuY2UgcmF0ZSByYXRpb3MsIDEuMzEgW1AgPS4wMDA0XSBhbmQgMS43OCBbUCA8LjAwMDFdKSBhbmQgaW5wYXRpZW50IHZpc2l0cyAoaW5jaWRlbmNlIHJhdGUgcmF0aW9zLCAxLjI1IFtQIDwuMDAwMV0gYW5kIDEuNTkgW1AgPC4wMDAxXSkgdmVyc3VzIGxvdyBTQ1MgZXhwb3N1cmUuIENvbmNsdXNpb25zIEEgc2lnbmlmaWNhbnQgZG9zZS1yZXNwb25zZSByZWxhdGlvbnNoaXAgd2FzIGRlbW9uc3RyYXRlZCBiZXR3ZWVuIGNocm9uaWMgU0NTIHVzZSBhbmQgcmlzayBvZiBTQ1MtcmVsYXRlZCBjb21wbGljYXRpb25zIGluIHBhdGllbnRzIHdpdGggc2V2ZXJlIGFzdGhtYS4gRWZmZWN0aXZlIFNDUy1zcGFyaW5nIHN0cmF0ZWdpZXMgbWlnaHQgcmVkdWNlIHRoZSBidXJkZW4gYXNzb2NpYXRlZCB3aXRoIFNDUy1yZWxhdGVkIGNvbXBsaWNhdGlvbnMgaW4gcGF0aWVudHMgd2l0aCBzZXZlcmUgYXN0aG1hLiIsImF1dGhvciI6W3siZHJvcHBpbmctcGFydGljbGUiOiIiLCJmYW1pbHkiOiJMZWZlYnZyZSIsImdpdmVuIjoiUGF0cmljayIsIm5vbi1kcm9wcGluZy1wYXJ0aWNsZSI6IiIsInBhcnNlLW5hbWVzIjpmYWxzZSwic3VmZml4IjoiIn0seyJkcm9wcGluZy1wYXJ0aWNsZSI6IiIsImZhbWlseSI6IkR1aCIsImdpdmVuIjoiTWVpIFNoZW5nIiwibm9uLWRyb3BwaW5nLXBhcnRpY2xlIjoiIiwicGFyc2UtbmFtZXMiOmZhbHNlLCJzdWZmaXgiOiIifSx7ImRyb3BwaW5nLXBhcnRpY2xlIjoiIiwiZmFtaWx5IjoiTGFmZXVpbGxlIiwiZ2l2ZW4iOiJNYXJpZSBIw6lsw6huZSIsIm5vbi1kcm9wcGluZy1wYXJ0aWNsZSI6IiIsInBhcnNlLW5hbWVzIjpmYWxzZSwic3VmZml4IjoiIn0seyJkcm9wcGluZy1wYXJ0aWNsZSI6IiIsImZhbWlseSI6IkdvemFsbyIsImdpdmVuIjoiTGF1cmVuY2UiLCJub24tZHJvcHBpbmctcGFydGljbGUiOiIiLCJwYXJzZS1uYW1lcyI6ZmFsc2UsInN1ZmZpeCI6IiJ9LHsiZHJvcHBpbmctcGFydGljbGUiOiIiLCJmYW1pbHkiOiJEZXNhaSIsImdpdmVuIjoiVXJ2aSIsIm5vbi1kcm9wcGluZy1wYXJ0aWNsZSI6IiIsInBhcnNlLW5hbWVzIjpmYWxzZSwic3VmZml4IjoiIn0seyJkcm9wcGluZy1wYXJ0aWNsZSI6IiIsImZhbWlseSI6IlJvYml0YWlsbGUiLCJnaXZlbiI6Ik1hcmllIE5vw6tsbGUiLCJub24tZHJvcHBpbmctcGFydGljbGUiOiIiLCJwYXJzZS1uYW1lcyI6ZmFsc2UsInN1ZmZpeCI6IiJ9LHsiZHJvcHBpbmctcGFydGljbGUiOiIiLCJmYW1pbHkiOiJBbGJlcnMiLCJnaXZlbiI6IkZyYW5rIiwibm9uLWRyb3BwaW5nLXBhcnRpY2xlIjoiIiwicGFyc2UtbmFtZXMiOmZhbHNlLCJzdWZmaXgiOiIifSx7ImRyb3BwaW5nLXBhcnRpY2xlIjoiIiwiZmFtaWx5IjoiWWFuY2V5IiwiZ2l2ZW4iOiJTdGV2ZSIsIm5vbi1kcm9wcGluZy1wYXJ0aWNsZSI6IiIsInBhcnNlLW5hbWVzIjpmYWxzZSwic3VmZml4IjoiIn0seyJkcm9wcGluZy1wYXJ0aWNsZSI6IiIsImZhbWlseSI6Ik9ydGVnYSIsImdpdmVuIjoiSGVjdG9yIiwibm9uLWRyb3BwaW5nLXBhcnRpY2xlIjoiIiwicGFyc2UtbmFtZXMiOmZhbHNlLCJzdWZmaXgiOiIifSx7ImRyb3BwaW5nLXBhcnRpY2xlIjoiIiwiZmFtaWx5IjoiRm9yc2hhZyIsImdpdmVuIjoiTWFyayIsIm5vbi1kcm9wcGluZy1wYXJ0aWNsZSI6IiIsInBhcnNlLW5hbWVzIjpmYWxzZSwic3VmZml4IjoiIn0seyJkcm9wcGluZy1wYXJ0aWNsZSI6IiIsImZhbWlseSI6IkxpbiIsImdpdmVuIjoiWGl3dSIsIm5vbi1kcm9wcGluZy1wYXJ0aWNsZSI6IiIsInBhcnNlLW5hbWVzIjpmYWxzZSwic3VmZml4IjoiIn0seyJkcm9wcGluZy1wYXJ0aWNsZSI6IiIsImZhbWlseSI6IkRhbGFsIiwiZ2l2ZW4iOiJBbmFuZCBBLiIsIm5vbi1kcm9wcGluZy1wYXJ0aWNsZSI6IiIsInBhcnNlLW5hbWVzIjpmYWxzZSwic3VmZml4IjoiIn1dLCJjb250YWluZXItdGl0bGUiOiJKb3VybmFsIG9mIEFsbGVyZ3kgYW5kIENsaW5pY2FsIEltbXVub2xvZ3kiLCJpZCI6IjIzNDQ0NTVjLTFmMjUtM2M0YS1iMDUyLWNiNzYwNGVkYzMwMSIsImlzc3VlIjoiNiIsImlzc3VlZCI6eyJkYXRlLXBhcnRzIjpbWyIyMDE1IiwiMTIiLCIxIl1dfSwicGFnZSI6IjE0ODgtMTQ5NSIsInB1Ymxpc2hlciI6Ik1vc2J5IEluYy4iLCJ0aXRsZSI6IkFjdXRlIGFuZCBjaHJvbmljIHN5c3RlbWljIGNvcnRpY29zdGVyb2lkLXJlbGF0ZWQgY29tcGxpY2F0aW9ucyBpbiBwYXRpZW50cyB3aXRoIHNldmVyZSBhc3RobWEgW1N1cHBsZW1lbnRhcnkgbWF0ZXJpYWw6IGVUYWJsZSAxXSIsInR5cGUiOiJhcnRpY2xlLWpvdXJuYWwiLCJ2b2x1bWUiOiIxMzYifSwidXJpcyI6WyJodHRwOi8vd3d3Lm1lbmRlbGV5LmNvbS9kb2N1bWVudHMvP3V1aWQ9MjM0NDQ1NWMtMWYyNS0zYzRhLWIwNTItY2I3NjA0ZWRjMzAxIl0sImlzVGVtcG9yYXJ5IjpmYWxzZSwibGVnYWN5RGVza3RvcElkIjoiMjM0NDQ1NWMtMWYyNS0zYzRhLWIwNTItY2I3NjA0ZWRjMzAxIn0seyJpZCI6IjE5NTYzZDk0LWI4MDUtMzY1MS04ZTIwLWY2ODVmZWMwZjhiYSIsIml0ZW1EYXRhIjp7IkRPSSI6IjEwLjExODYvczQwMzYwLTAxNi0wMTExLTgiLCJJU1NOIjoiMjA1MDY1MTEiLCJQTUlEIjoiMjgwNTcwODMiLCJhYnN0cmFjdCI6IkJhY2tncm91bmQ6IERlZmxhemFjb3J0IGlzIGEgc3ludGhldGljIGNvcnRpY29zdGVyb2lkIGNoYXJhY3Rlcml6ZWQgYnkgYSBmYXZvdXJhYmxlIHBoYXJtYWNva2luZXRpYyBwcm9maWxlLCBwZWN1bGlhciBwaGFybWFjb2R5bmFtaWMgcHJvcGVydGllcyBhbmQgYSBnb29kIHNhZmV0eSBwcm9maWxlLiBIb3dldmVyLCB0byB0aGUgYmVzdCBvZiBvdXIga25vd2xlZGdlLCBubyBkb3NlLWNvbnZlcnNpb24gdGFibGUgYmFzZWQgb24gZGlyZWN0IGNvbXBhcmlzb24gb2YgcmVsYXRpdmUgcG90ZW5jaWVzIGJldHdlZW4gZGVmbGF6YWNvcnQgYW5kIG90aGVyIG1haW4gY29ydGljb3N0ZXJvaWRzIGlzIGN1cnJlbnRseSBhdmFpbGFibGUgaW4gc2NpZW50aWZpYyBsaXRlcmF0dXJlLiBNYWluIGJvZHk6IFRoaXMgcGFwZXIsIHdoaWxlIHJlcG9ydGluZyBhIGJyaWVmIHJldmlldyBvZiBkZWZsYXphY29ydCBwaGFybWFjb2xvZ2ljYWwgcHJvcGVydGllcywgaXRzIGVmZmljYWN5IGFuZCB0b2xlcmFiaWxpdHkgaW4gZGlmZmVyZW50IGNsaW5pY2FsIGFyZWFzLCBoYXMgYmVlbiBkZXNpZ25lZCB3aXRoIHRoZSBzcGVjaWZpYyBhaW0gb2YgcHJvdmlkaW5nIGEgbmV3IGRvc2UtY29udmVyc2lvbiB0YWJsZSBvZiBjb3J0aWNvc3Rlcm9pZHMsIGluY2x1ZGluZyBmb3IgdGhlIGZpcnN0IHRpbWUgYWxzbyBkZWZsYXphY29ydC4gU2hvcnQgY29uY2x1c2lvbjogV2Ugc3VnZ2VzdCB0aGF0IHRoaXMgbmV3IGNvbnZlcnNpb24gdGFibGUgY291bGQgYmUgYSB1c2VmdWwgdG9vbCBmb3IgcGh5c2ljaWFucyB3aG8gbmVlZCB0byBzZWxlY3QgdGhlIGFwcHJvcHJpYXRlIGRvc2Ugb2YgZGVmbGF6YWNvcnQgaW4gdGhlaXIgY2xpbmljYWwgcHJhY3RpY2UuIiwiYXV0aG9yIjpbeyJkcm9wcGluZy1wYXJ0aWNsZSI6IiIsImZhbWlseSI6IlBhcmVudGUiLCJnaXZlbiI6Ikx1Y2EiLCJub24tZHJvcHBpbmctcGFydGljbGUiOiIiLCJwYXJzZS1uYW1lcyI6ZmFsc2UsInN1ZmZpeCI6IiJ9XSwiY29udGFpbmVyLXRpdGxlIjoiQk1DIFBoYXJtYWNvbG9neSBhbmQgVG94aWNvbG9neSIsImlkIjoiMTk1NjNkOTQtYjgwNS0zNjUxLThlMjAtZjY4NWZlYzBmOGJhIiwiaXNzdWUiOiIxIiwiaXNzdWVkIjp7ImRhdGUtcGFydHMiOltbIjIwMTciXV19LCJ0aXRsZSI6IkRlZmxhemFjb3J0OiBUaGVyYXBldXRpYyBpbmRleCwgcmVsYXRpdmUgcG90ZW5jeSBhbmQgZXF1aXZhbGVudCBkb3NlcyB2ZXJzdXMgb3RoZXIgY29ydGljb3N0ZXJvaWRzIiwidHlwZSI6ImFydGljbGUtam91cm5hbCIsInZvbHVtZSI6IjE4In0sInVyaXMiOlsiaHR0cDovL3d3dy5tZW5kZWxleS5jb20vZG9jdW1lbnRzLz91dWlkPTE5NTYzZDk0LWI4MDUtMzY1MS04ZTIwLWY2ODVmZWMwZjhiYSJdLCJpc1RlbXBvcmFyeSI6ZmFsc2UsImxlZ2FjeURlc2t0b3BJZCI6IjE5NTYzZDk0LWI4MDUtMzY1MS04ZTIwLWY2ODVmZWMwZjhiYSJ9XSwicHJvcGVydGllcyI6eyJub3RlSW5kZXgiOjB9LCJpc0VkaXRlZCI6ZmFsc2UsIm1hbnVhbE92ZXJyaWRlIjp7ImNpdGVwcm9jVGV4dCI6IihTMSxTMikiLCJpc01hbnVhbGx5T3ZlcnJpZGRlbiI6dHJ1ZSwibWFudWFsT3ZlcnJpZGVUZXh0IjoiKFMxLCBTMikifX0="/>
          <w:id w:val="-1026951274"/>
          <w:placeholder>
            <w:docPart w:val="DefaultPlaceholder_-1854013440"/>
          </w:placeholder>
        </w:sdtPr>
        <w:sdtEndPr>
          <w:rPr>
            <w:bCs w:val="0"/>
          </w:rPr>
        </w:sdtEndPr>
        <w:sdtContent>
          <w:r w:rsidR="00C240F9" w:rsidRPr="00AE4DC5">
            <w:rPr>
              <w:color w:val="000000"/>
              <w:lang w:val="en-US"/>
            </w:rPr>
            <w:t>(</w:t>
          </w:r>
          <w:r w:rsidR="00B9721E" w:rsidRPr="00AE4DC5">
            <w:rPr>
              <w:color w:val="000000"/>
              <w:lang w:val="en-US"/>
            </w:rPr>
            <w:t>E</w:t>
          </w:r>
          <w:r w:rsidR="00C240F9" w:rsidRPr="00AE4DC5">
            <w:rPr>
              <w:color w:val="000000"/>
              <w:lang w:val="en-US"/>
            </w:rPr>
            <w:t xml:space="preserve">1, </w:t>
          </w:r>
          <w:r w:rsidR="00B9721E" w:rsidRPr="00AE4DC5">
            <w:rPr>
              <w:color w:val="000000"/>
              <w:lang w:val="en-US"/>
            </w:rPr>
            <w:t>E</w:t>
          </w:r>
          <w:r w:rsidR="00C240F9" w:rsidRPr="00AE4DC5">
            <w:rPr>
              <w:color w:val="000000"/>
              <w:lang w:val="en-US"/>
            </w:rPr>
            <w:t>2)</w:t>
          </w:r>
        </w:sdtContent>
      </w:sdt>
    </w:p>
    <w:tbl>
      <w:tblPr>
        <w:tblStyle w:val="TableGrid"/>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831"/>
        <w:gridCol w:w="2832"/>
      </w:tblGrid>
      <w:tr w:rsidR="0037343D" w:rsidRPr="00AE4DC5" w14:paraId="11950410" w14:textId="77777777" w:rsidTr="001039E1">
        <w:trPr>
          <w:trHeight w:val="389"/>
          <w:jc w:val="center"/>
        </w:trPr>
        <w:tc>
          <w:tcPr>
            <w:tcW w:w="2831" w:type="dxa"/>
            <w:vAlign w:val="center"/>
          </w:tcPr>
          <w:p w14:paraId="597FCBFB" w14:textId="77777777" w:rsidR="0037343D" w:rsidRPr="00AE4DC5" w:rsidRDefault="0037343D" w:rsidP="00C40679">
            <w:pPr>
              <w:spacing w:line="259" w:lineRule="auto"/>
              <w:jc w:val="left"/>
              <w:rPr>
                <w:b/>
                <w:bCs/>
                <w:color w:val="000000"/>
                <w:lang w:val="en-US"/>
              </w:rPr>
            </w:pPr>
            <w:r w:rsidRPr="00AE4DC5">
              <w:rPr>
                <w:b/>
                <w:bCs/>
                <w:color w:val="000000"/>
                <w:lang w:val="en-US"/>
              </w:rPr>
              <w:t>Drug</w:t>
            </w:r>
          </w:p>
        </w:tc>
        <w:tc>
          <w:tcPr>
            <w:tcW w:w="2832" w:type="dxa"/>
            <w:vAlign w:val="center"/>
          </w:tcPr>
          <w:p w14:paraId="16C152DF" w14:textId="77777777" w:rsidR="0037343D" w:rsidRPr="00AE4DC5" w:rsidRDefault="0037343D" w:rsidP="00C40679">
            <w:pPr>
              <w:spacing w:line="259" w:lineRule="auto"/>
              <w:jc w:val="left"/>
              <w:rPr>
                <w:b/>
                <w:bCs/>
                <w:color w:val="000000"/>
                <w:lang w:val="en-US"/>
              </w:rPr>
            </w:pPr>
            <w:r w:rsidRPr="00AE4DC5">
              <w:rPr>
                <w:b/>
                <w:bCs/>
                <w:color w:val="000000"/>
                <w:lang w:val="en-US"/>
              </w:rPr>
              <w:t>Equivalent dosage (mg)</w:t>
            </w:r>
          </w:p>
        </w:tc>
      </w:tr>
      <w:tr w:rsidR="0037343D" w:rsidRPr="00AE4DC5" w14:paraId="3C71B8A9" w14:textId="77777777" w:rsidTr="001039E1">
        <w:trPr>
          <w:trHeight w:val="414"/>
          <w:jc w:val="center"/>
        </w:trPr>
        <w:tc>
          <w:tcPr>
            <w:tcW w:w="2831" w:type="dxa"/>
            <w:vAlign w:val="center"/>
          </w:tcPr>
          <w:p w14:paraId="1CC9A57E" w14:textId="77777777" w:rsidR="0037343D" w:rsidRPr="00AE4DC5" w:rsidRDefault="0037343D" w:rsidP="00C40679">
            <w:pPr>
              <w:spacing w:line="259" w:lineRule="auto"/>
              <w:jc w:val="left"/>
              <w:rPr>
                <w:color w:val="000000"/>
                <w:lang w:val="en-US"/>
              </w:rPr>
            </w:pPr>
            <w:r w:rsidRPr="00AE4DC5">
              <w:rPr>
                <w:color w:val="000000"/>
                <w:lang w:val="en-US"/>
              </w:rPr>
              <w:t>Budesonide</w:t>
            </w:r>
          </w:p>
        </w:tc>
        <w:tc>
          <w:tcPr>
            <w:tcW w:w="2832" w:type="dxa"/>
            <w:vAlign w:val="center"/>
          </w:tcPr>
          <w:p w14:paraId="7EDE97C7" w14:textId="77777777" w:rsidR="0037343D" w:rsidRPr="00AE4DC5" w:rsidRDefault="0037343D" w:rsidP="00C40679">
            <w:pPr>
              <w:spacing w:line="259" w:lineRule="auto"/>
              <w:jc w:val="left"/>
              <w:rPr>
                <w:color w:val="000000"/>
                <w:lang w:val="en-US"/>
              </w:rPr>
            </w:pPr>
            <w:r w:rsidRPr="00AE4DC5">
              <w:rPr>
                <w:color w:val="000000"/>
                <w:lang w:val="en-US"/>
              </w:rPr>
              <w:t>0.375</w:t>
            </w:r>
          </w:p>
        </w:tc>
      </w:tr>
      <w:tr w:rsidR="0037343D" w:rsidRPr="00AE4DC5" w14:paraId="33088572" w14:textId="77777777" w:rsidTr="001039E1">
        <w:trPr>
          <w:trHeight w:val="414"/>
          <w:jc w:val="center"/>
        </w:trPr>
        <w:tc>
          <w:tcPr>
            <w:tcW w:w="2831" w:type="dxa"/>
            <w:vAlign w:val="center"/>
          </w:tcPr>
          <w:p w14:paraId="71C5FF89" w14:textId="77777777" w:rsidR="0037343D" w:rsidRPr="00AE4DC5" w:rsidRDefault="0037343D" w:rsidP="00C40679">
            <w:pPr>
              <w:spacing w:line="259" w:lineRule="auto"/>
              <w:jc w:val="left"/>
              <w:rPr>
                <w:color w:val="000000"/>
                <w:lang w:val="en-US"/>
              </w:rPr>
            </w:pPr>
            <w:r w:rsidRPr="00AE4DC5">
              <w:rPr>
                <w:color w:val="000000"/>
                <w:lang w:val="en-US"/>
              </w:rPr>
              <w:t>Deflazacort</w:t>
            </w:r>
          </w:p>
        </w:tc>
        <w:tc>
          <w:tcPr>
            <w:tcW w:w="2832" w:type="dxa"/>
            <w:vAlign w:val="center"/>
          </w:tcPr>
          <w:p w14:paraId="53E92A4C" w14:textId="77777777" w:rsidR="0037343D" w:rsidRPr="00AE4DC5" w:rsidRDefault="0037343D" w:rsidP="00C40679">
            <w:pPr>
              <w:spacing w:line="259" w:lineRule="auto"/>
              <w:jc w:val="left"/>
              <w:rPr>
                <w:color w:val="000000"/>
                <w:lang w:val="en-US"/>
              </w:rPr>
            </w:pPr>
            <w:r w:rsidRPr="00AE4DC5">
              <w:rPr>
                <w:color w:val="000000"/>
                <w:lang w:val="en-US"/>
              </w:rPr>
              <w:t>7.5</w:t>
            </w:r>
          </w:p>
        </w:tc>
      </w:tr>
      <w:tr w:rsidR="0037343D" w:rsidRPr="00AE4DC5" w14:paraId="708BA111" w14:textId="77777777" w:rsidTr="001039E1">
        <w:trPr>
          <w:trHeight w:val="414"/>
          <w:jc w:val="center"/>
        </w:trPr>
        <w:tc>
          <w:tcPr>
            <w:tcW w:w="2831" w:type="dxa"/>
            <w:vAlign w:val="center"/>
          </w:tcPr>
          <w:p w14:paraId="68F4261A" w14:textId="77777777" w:rsidR="0037343D" w:rsidRPr="00AE4DC5" w:rsidRDefault="0037343D" w:rsidP="00C40679">
            <w:pPr>
              <w:spacing w:line="259" w:lineRule="auto"/>
              <w:jc w:val="left"/>
              <w:rPr>
                <w:color w:val="000000"/>
                <w:lang w:val="en-US"/>
              </w:rPr>
            </w:pPr>
            <w:r w:rsidRPr="00AE4DC5">
              <w:rPr>
                <w:color w:val="000000"/>
                <w:lang w:val="en-US"/>
              </w:rPr>
              <w:t>Methylprednisolone</w:t>
            </w:r>
          </w:p>
        </w:tc>
        <w:tc>
          <w:tcPr>
            <w:tcW w:w="2832" w:type="dxa"/>
            <w:vAlign w:val="center"/>
          </w:tcPr>
          <w:p w14:paraId="79669C6B" w14:textId="77777777" w:rsidR="0037343D" w:rsidRPr="00AE4DC5" w:rsidRDefault="0037343D" w:rsidP="00C40679">
            <w:pPr>
              <w:spacing w:line="259" w:lineRule="auto"/>
              <w:jc w:val="left"/>
              <w:rPr>
                <w:color w:val="000000"/>
                <w:lang w:val="en-US"/>
              </w:rPr>
            </w:pPr>
            <w:r w:rsidRPr="00AE4DC5">
              <w:rPr>
                <w:color w:val="000000"/>
                <w:lang w:val="en-US"/>
              </w:rPr>
              <w:t>4</w:t>
            </w:r>
          </w:p>
        </w:tc>
      </w:tr>
      <w:tr w:rsidR="0037343D" w:rsidRPr="00AE4DC5" w14:paraId="6072D6B4" w14:textId="77777777" w:rsidTr="001039E1">
        <w:trPr>
          <w:trHeight w:val="414"/>
          <w:jc w:val="center"/>
        </w:trPr>
        <w:tc>
          <w:tcPr>
            <w:tcW w:w="2831" w:type="dxa"/>
            <w:vAlign w:val="center"/>
          </w:tcPr>
          <w:p w14:paraId="37AEEE1B" w14:textId="77777777" w:rsidR="0037343D" w:rsidRPr="00AE4DC5" w:rsidRDefault="0037343D" w:rsidP="00C40679">
            <w:pPr>
              <w:spacing w:line="259" w:lineRule="auto"/>
              <w:jc w:val="left"/>
              <w:rPr>
                <w:color w:val="000000"/>
                <w:lang w:val="en-US"/>
              </w:rPr>
            </w:pPr>
            <w:r w:rsidRPr="00AE4DC5">
              <w:rPr>
                <w:color w:val="000000"/>
                <w:lang w:val="en-US"/>
              </w:rPr>
              <w:t>Prednisolone</w:t>
            </w:r>
          </w:p>
        </w:tc>
        <w:tc>
          <w:tcPr>
            <w:tcW w:w="2832" w:type="dxa"/>
            <w:vAlign w:val="center"/>
          </w:tcPr>
          <w:p w14:paraId="4CF14F0F" w14:textId="77777777" w:rsidR="0037343D" w:rsidRPr="00AE4DC5" w:rsidRDefault="0037343D" w:rsidP="00C40679">
            <w:pPr>
              <w:spacing w:line="259" w:lineRule="auto"/>
              <w:jc w:val="left"/>
              <w:rPr>
                <w:color w:val="000000"/>
                <w:lang w:val="en-US"/>
              </w:rPr>
            </w:pPr>
            <w:r w:rsidRPr="00AE4DC5">
              <w:rPr>
                <w:color w:val="000000"/>
                <w:lang w:val="en-US"/>
              </w:rPr>
              <w:t>5</w:t>
            </w:r>
          </w:p>
        </w:tc>
      </w:tr>
    </w:tbl>
    <w:p w14:paraId="7D99BAEC" w14:textId="77777777" w:rsidR="00BF5B48" w:rsidRPr="00AE4DC5" w:rsidRDefault="00BF5B48" w:rsidP="002F647F">
      <w:pPr>
        <w:spacing w:after="160" w:line="259" w:lineRule="auto"/>
        <w:jc w:val="left"/>
        <w:rPr>
          <w:color w:val="000000"/>
          <w:lang w:val="en-US"/>
        </w:rPr>
      </w:pPr>
    </w:p>
    <w:p w14:paraId="30A39294" w14:textId="26329563" w:rsidR="0037343D" w:rsidRPr="00AE4DC5" w:rsidRDefault="00BF5B48" w:rsidP="002F647F">
      <w:pPr>
        <w:spacing w:after="160" w:line="259" w:lineRule="auto"/>
        <w:jc w:val="left"/>
        <w:rPr>
          <w:b/>
          <w:bCs/>
          <w:color w:val="000000"/>
          <w:lang w:val="en-US"/>
        </w:rPr>
      </w:pPr>
      <w:r w:rsidRPr="00AE4DC5">
        <w:rPr>
          <w:color w:val="000000"/>
          <w:lang w:val="en-US"/>
        </w:rPr>
        <w:t>Table S4 –</w:t>
      </w:r>
      <w:r w:rsidRPr="00AE4DC5">
        <w:rPr>
          <w:b/>
          <w:bCs/>
          <w:color w:val="000000"/>
          <w:lang w:val="en-US"/>
        </w:rPr>
        <w:t xml:space="preserve"> Patient characteristics associated with OCS use, according to the exposure to OCS</w:t>
      </w:r>
    </w:p>
    <w:tbl>
      <w:tblPr>
        <w:tblW w:w="8787" w:type="dxa"/>
        <w:jc w:val="center"/>
        <w:tblLayout w:type="fixed"/>
        <w:tblCellMar>
          <w:left w:w="70" w:type="dxa"/>
          <w:right w:w="70" w:type="dxa"/>
        </w:tblCellMar>
        <w:tblLook w:val="04A0" w:firstRow="1" w:lastRow="0" w:firstColumn="1" w:lastColumn="0" w:noHBand="0" w:noVBand="1"/>
      </w:tblPr>
      <w:tblGrid>
        <w:gridCol w:w="4139"/>
        <w:gridCol w:w="2324"/>
        <w:gridCol w:w="2324"/>
      </w:tblGrid>
      <w:tr w:rsidR="00BB2A0C" w:rsidRPr="00AE4DC5" w14:paraId="12313293" w14:textId="77777777" w:rsidTr="00BB2A0C">
        <w:trPr>
          <w:trHeight w:val="20"/>
          <w:jc w:val="center"/>
        </w:trPr>
        <w:tc>
          <w:tcPr>
            <w:tcW w:w="4139" w:type="dxa"/>
            <w:tcBorders>
              <w:top w:val="single" w:sz="4" w:space="0" w:color="auto"/>
              <w:left w:val="single" w:sz="4" w:space="0" w:color="auto"/>
              <w:bottom w:val="single" w:sz="4" w:space="0" w:color="auto"/>
            </w:tcBorders>
            <w:shd w:val="clear" w:color="auto" w:fill="auto"/>
            <w:noWrap/>
            <w:vAlign w:val="bottom"/>
            <w:hideMark/>
          </w:tcPr>
          <w:p w14:paraId="2748B3F0" w14:textId="77777777" w:rsidR="00740115" w:rsidRPr="00AE4DC5" w:rsidRDefault="00740115" w:rsidP="00740115">
            <w:pPr>
              <w:spacing w:line="240" w:lineRule="auto"/>
              <w:jc w:val="left"/>
              <w:rPr>
                <w:rFonts w:ascii="Times New Roman" w:eastAsia="Times New Roman" w:hAnsi="Times New Roman" w:cs="Times New Roman"/>
                <w:color w:val="000000"/>
                <w:sz w:val="24"/>
                <w:szCs w:val="24"/>
                <w:lang w:val="en-US" w:eastAsia="pt-PT"/>
              </w:rPr>
            </w:pPr>
          </w:p>
        </w:tc>
        <w:tc>
          <w:tcPr>
            <w:tcW w:w="2324" w:type="dxa"/>
            <w:tcBorders>
              <w:top w:val="single" w:sz="4" w:space="0" w:color="auto"/>
              <w:bottom w:val="single" w:sz="4" w:space="0" w:color="auto"/>
            </w:tcBorders>
            <w:shd w:val="clear" w:color="auto" w:fill="auto"/>
            <w:noWrap/>
            <w:vAlign w:val="center"/>
            <w:hideMark/>
          </w:tcPr>
          <w:p w14:paraId="5827D329" w14:textId="77777777" w:rsidR="00740115" w:rsidRPr="00AE4DC5" w:rsidRDefault="00740115" w:rsidP="00740115">
            <w:pPr>
              <w:spacing w:line="240" w:lineRule="auto"/>
              <w:jc w:val="center"/>
              <w:rPr>
                <w:rFonts w:ascii="Calibri" w:eastAsia="Times New Roman" w:hAnsi="Calibri" w:cs="Calibri"/>
                <w:b/>
                <w:bCs/>
                <w:color w:val="000000"/>
                <w:sz w:val="16"/>
                <w:szCs w:val="16"/>
                <w:lang w:val="en-US" w:eastAsia="pt-PT"/>
              </w:rPr>
            </w:pPr>
            <w:r w:rsidRPr="00AE4DC5">
              <w:rPr>
                <w:rFonts w:ascii="Calibri" w:eastAsia="Times New Roman" w:hAnsi="Calibri" w:cs="Calibri"/>
                <w:b/>
                <w:bCs/>
                <w:color w:val="000000"/>
                <w:sz w:val="16"/>
                <w:szCs w:val="16"/>
                <w:lang w:val="en-US" w:eastAsia="pt-PT"/>
              </w:rPr>
              <w:t>Low-dose users</w:t>
            </w:r>
          </w:p>
          <w:p w14:paraId="0ADCA5E3" w14:textId="3CFA2387" w:rsidR="00740115" w:rsidRPr="00AE4DC5" w:rsidRDefault="00740115" w:rsidP="00740115">
            <w:pPr>
              <w:spacing w:line="240" w:lineRule="auto"/>
              <w:jc w:val="center"/>
              <w:rPr>
                <w:rFonts w:ascii="Calibri" w:eastAsia="Times New Roman" w:hAnsi="Calibri" w:cs="Calibri"/>
                <w:b/>
                <w:bCs/>
                <w:color w:val="000000"/>
                <w:sz w:val="16"/>
                <w:szCs w:val="16"/>
                <w:lang w:val="en-US" w:eastAsia="pt-PT"/>
              </w:rPr>
            </w:pPr>
            <w:r w:rsidRPr="00AE4DC5">
              <w:rPr>
                <w:rFonts w:ascii="Calibri" w:eastAsia="Times New Roman" w:hAnsi="Calibri" w:cs="Calibri"/>
                <w:b/>
                <w:bCs/>
                <w:color w:val="000000"/>
                <w:sz w:val="16"/>
                <w:szCs w:val="16"/>
                <w:lang w:val="en-US" w:eastAsia="pt-PT"/>
              </w:rPr>
              <w:t>(&lt;2.5mg prednisolone</w:t>
            </w:r>
            <w:r w:rsidR="00BB2A0C" w:rsidRPr="00AE4DC5">
              <w:rPr>
                <w:rFonts w:ascii="Calibri" w:eastAsia="Times New Roman" w:hAnsi="Calibri" w:cs="Calibri"/>
                <w:b/>
                <w:bCs/>
                <w:color w:val="000000"/>
                <w:sz w:val="16"/>
                <w:szCs w:val="16"/>
                <w:lang w:val="en-US" w:eastAsia="pt-PT"/>
              </w:rPr>
              <w:t>/</w:t>
            </w:r>
            <w:r w:rsidRPr="00AE4DC5">
              <w:rPr>
                <w:rFonts w:ascii="Calibri" w:eastAsia="Times New Roman" w:hAnsi="Calibri" w:cs="Calibri"/>
                <w:b/>
                <w:bCs/>
                <w:color w:val="000000"/>
                <w:sz w:val="16"/>
                <w:szCs w:val="16"/>
                <w:lang w:val="en-US" w:eastAsia="pt-PT"/>
              </w:rPr>
              <w:t>day</w:t>
            </w:r>
            <w:r w:rsidR="00BB2A0C" w:rsidRPr="00AE4DC5">
              <w:rPr>
                <w:rFonts w:ascii="Calibri" w:eastAsia="Times New Roman" w:hAnsi="Calibri" w:cs="Calibri"/>
                <w:b/>
                <w:bCs/>
                <w:color w:val="000000"/>
                <w:sz w:val="16"/>
                <w:szCs w:val="16"/>
                <w:lang w:val="en-US" w:eastAsia="pt-PT"/>
              </w:rPr>
              <w:t>/</w:t>
            </w:r>
            <w:r w:rsidRPr="00AE4DC5">
              <w:rPr>
                <w:rFonts w:ascii="Calibri" w:eastAsia="Times New Roman" w:hAnsi="Calibri" w:cs="Calibri"/>
                <w:b/>
                <w:bCs/>
                <w:color w:val="000000"/>
                <w:sz w:val="16"/>
                <w:szCs w:val="16"/>
                <w:lang w:val="en-US" w:eastAsia="pt-PT"/>
              </w:rPr>
              <w:t>year)</w:t>
            </w:r>
          </w:p>
          <w:p w14:paraId="2B2BB64F" w14:textId="4DD4AEB6" w:rsidR="00740115" w:rsidRPr="00AE4DC5" w:rsidRDefault="00740115" w:rsidP="00740115">
            <w:pPr>
              <w:spacing w:line="240" w:lineRule="auto"/>
              <w:jc w:val="center"/>
              <w:rPr>
                <w:rFonts w:ascii="Calibri" w:eastAsia="Times New Roman" w:hAnsi="Calibri" w:cs="Calibri"/>
                <w:b/>
                <w:bCs/>
                <w:color w:val="000000"/>
                <w:sz w:val="16"/>
                <w:szCs w:val="16"/>
                <w:lang w:val="en-US" w:eastAsia="pt-PT"/>
              </w:rPr>
            </w:pPr>
            <w:r w:rsidRPr="00AE4DC5">
              <w:rPr>
                <w:rFonts w:ascii="Calibri" w:eastAsia="Times New Roman" w:hAnsi="Calibri" w:cs="Calibri"/>
                <w:b/>
                <w:bCs/>
                <w:color w:val="000000"/>
                <w:sz w:val="16"/>
                <w:szCs w:val="16"/>
                <w:lang w:val="en-US" w:eastAsia="pt-PT"/>
              </w:rPr>
              <w:t>n=42 (100%)</w:t>
            </w:r>
          </w:p>
        </w:tc>
        <w:tc>
          <w:tcPr>
            <w:tcW w:w="2324" w:type="dxa"/>
            <w:tcBorders>
              <w:top w:val="single" w:sz="4" w:space="0" w:color="auto"/>
              <w:bottom w:val="single" w:sz="4" w:space="0" w:color="auto"/>
              <w:right w:val="single" w:sz="4" w:space="0" w:color="auto"/>
            </w:tcBorders>
            <w:shd w:val="clear" w:color="auto" w:fill="auto"/>
            <w:noWrap/>
            <w:vAlign w:val="center"/>
            <w:hideMark/>
          </w:tcPr>
          <w:p w14:paraId="75DA848C" w14:textId="77777777" w:rsidR="00740115" w:rsidRPr="00AE4DC5" w:rsidRDefault="00740115" w:rsidP="00740115">
            <w:pPr>
              <w:spacing w:line="240" w:lineRule="auto"/>
              <w:jc w:val="center"/>
              <w:rPr>
                <w:rFonts w:ascii="Calibri" w:eastAsia="Times New Roman" w:hAnsi="Calibri" w:cs="Calibri"/>
                <w:b/>
                <w:bCs/>
                <w:color w:val="000000"/>
                <w:sz w:val="16"/>
                <w:szCs w:val="16"/>
                <w:lang w:val="en-US" w:eastAsia="pt-PT"/>
              </w:rPr>
            </w:pPr>
            <w:r w:rsidRPr="00AE4DC5">
              <w:rPr>
                <w:rFonts w:ascii="Calibri" w:eastAsia="Times New Roman" w:hAnsi="Calibri" w:cs="Calibri"/>
                <w:b/>
                <w:bCs/>
                <w:color w:val="000000"/>
                <w:sz w:val="16"/>
                <w:szCs w:val="16"/>
                <w:lang w:val="en-US" w:eastAsia="pt-PT"/>
              </w:rPr>
              <w:t>High-dose users</w:t>
            </w:r>
          </w:p>
          <w:p w14:paraId="5B1BF38C" w14:textId="2E4DFC82" w:rsidR="00740115" w:rsidRPr="00AE4DC5" w:rsidRDefault="00740115" w:rsidP="00740115">
            <w:pPr>
              <w:spacing w:line="240" w:lineRule="auto"/>
              <w:jc w:val="center"/>
              <w:rPr>
                <w:rFonts w:ascii="Calibri" w:eastAsia="Times New Roman" w:hAnsi="Calibri" w:cs="Calibri"/>
                <w:b/>
                <w:bCs/>
                <w:color w:val="000000"/>
                <w:sz w:val="16"/>
                <w:szCs w:val="16"/>
                <w:lang w:val="en-US" w:eastAsia="pt-PT"/>
              </w:rPr>
            </w:pPr>
            <w:r w:rsidRPr="00AE4DC5">
              <w:rPr>
                <w:rFonts w:ascii="Calibri" w:eastAsia="Times New Roman" w:hAnsi="Calibri" w:cs="Calibri"/>
                <w:b/>
                <w:bCs/>
                <w:color w:val="000000"/>
                <w:sz w:val="16"/>
                <w:szCs w:val="16"/>
                <w:lang w:val="en-US" w:eastAsia="pt-PT"/>
              </w:rPr>
              <w:t>(≥2.5mg prednisolone</w:t>
            </w:r>
            <w:r w:rsidR="00BB2A0C" w:rsidRPr="00AE4DC5">
              <w:rPr>
                <w:rFonts w:ascii="Calibri" w:eastAsia="Times New Roman" w:hAnsi="Calibri" w:cs="Calibri"/>
                <w:b/>
                <w:bCs/>
                <w:color w:val="000000"/>
                <w:sz w:val="16"/>
                <w:szCs w:val="16"/>
                <w:lang w:val="en-US" w:eastAsia="pt-PT"/>
              </w:rPr>
              <w:t>/</w:t>
            </w:r>
            <w:r w:rsidRPr="00AE4DC5">
              <w:rPr>
                <w:rFonts w:ascii="Calibri" w:eastAsia="Times New Roman" w:hAnsi="Calibri" w:cs="Calibri"/>
                <w:b/>
                <w:bCs/>
                <w:color w:val="000000"/>
                <w:sz w:val="16"/>
                <w:szCs w:val="16"/>
                <w:lang w:val="en-US" w:eastAsia="pt-PT"/>
              </w:rPr>
              <w:t>day</w:t>
            </w:r>
            <w:r w:rsidR="00BB2A0C" w:rsidRPr="00AE4DC5">
              <w:rPr>
                <w:rFonts w:ascii="Calibri" w:eastAsia="Times New Roman" w:hAnsi="Calibri" w:cs="Calibri"/>
                <w:b/>
                <w:bCs/>
                <w:color w:val="000000"/>
                <w:sz w:val="16"/>
                <w:szCs w:val="16"/>
                <w:lang w:val="en-US" w:eastAsia="pt-PT"/>
              </w:rPr>
              <w:t>/</w:t>
            </w:r>
            <w:r w:rsidRPr="00AE4DC5">
              <w:rPr>
                <w:rFonts w:ascii="Calibri" w:eastAsia="Times New Roman" w:hAnsi="Calibri" w:cs="Calibri"/>
                <w:b/>
                <w:bCs/>
                <w:color w:val="000000"/>
                <w:sz w:val="16"/>
                <w:szCs w:val="16"/>
                <w:lang w:val="en-US" w:eastAsia="pt-PT"/>
              </w:rPr>
              <w:t>year)</w:t>
            </w:r>
          </w:p>
          <w:p w14:paraId="46FDD069" w14:textId="5A5B26C9" w:rsidR="00740115" w:rsidRPr="00AE4DC5" w:rsidRDefault="00740115" w:rsidP="00740115">
            <w:pPr>
              <w:spacing w:line="240" w:lineRule="auto"/>
              <w:jc w:val="center"/>
              <w:rPr>
                <w:rFonts w:ascii="Calibri" w:eastAsia="Times New Roman" w:hAnsi="Calibri" w:cs="Calibri"/>
                <w:b/>
                <w:bCs/>
                <w:color w:val="000000"/>
                <w:sz w:val="16"/>
                <w:szCs w:val="16"/>
                <w:lang w:val="en-US" w:eastAsia="pt-PT"/>
              </w:rPr>
            </w:pPr>
            <w:r w:rsidRPr="00AE4DC5">
              <w:rPr>
                <w:rFonts w:ascii="Calibri" w:eastAsia="Times New Roman" w:hAnsi="Calibri" w:cs="Calibri"/>
                <w:b/>
                <w:bCs/>
                <w:color w:val="000000"/>
                <w:sz w:val="16"/>
                <w:szCs w:val="16"/>
                <w:lang w:val="en-US" w:eastAsia="pt-PT"/>
              </w:rPr>
              <w:t>n=23 (100%)</w:t>
            </w:r>
          </w:p>
        </w:tc>
      </w:tr>
      <w:tr w:rsidR="00740115" w:rsidRPr="00AE4DC5" w14:paraId="67CE0781" w14:textId="77777777" w:rsidTr="00BB2A0C">
        <w:trPr>
          <w:trHeight w:val="20"/>
          <w:jc w:val="center"/>
        </w:trPr>
        <w:tc>
          <w:tcPr>
            <w:tcW w:w="4139" w:type="dxa"/>
            <w:tcBorders>
              <w:top w:val="single" w:sz="4" w:space="0" w:color="auto"/>
              <w:left w:val="single" w:sz="8" w:space="0" w:color="auto"/>
              <w:bottom w:val="nil"/>
              <w:right w:val="nil"/>
            </w:tcBorders>
            <w:shd w:val="clear" w:color="auto" w:fill="auto"/>
            <w:noWrap/>
            <w:vAlign w:val="center"/>
            <w:hideMark/>
          </w:tcPr>
          <w:p w14:paraId="08565100" w14:textId="77777777" w:rsidR="00740115" w:rsidRPr="00AE4DC5" w:rsidRDefault="00740115" w:rsidP="00740115">
            <w:pPr>
              <w:spacing w:line="240" w:lineRule="auto"/>
              <w:jc w:val="left"/>
              <w:rPr>
                <w:rFonts w:ascii="Calibri" w:eastAsia="Times New Roman" w:hAnsi="Calibri" w:cs="Calibri"/>
                <w:b/>
                <w:bCs/>
                <w:color w:val="000000"/>
                <w:sz w:val="16"/>
                <w:szCs w:val="16"/>
                <w:lang w:val="en-US" w:eastAsia="pt-PT"/>
              </w:rPr>
            </w:pPr>
            <w:r w:rsidRPr="00AE4DC5">
              <w:rPr>
                <w:rFonts w:ascii="Calibri" w:eastAsia="Times New Roman" w:hAnsi="Calibri" w:cs="Calibri"/>
                <w:b/>
                <w:bCs/>
                <w:color w:val="000000"/>
                <w:sz w:val="16"/>
                <w:szCs w:val="16"/>
                <w:lang w:val="en-US" w:eastAsia="pt-PT"/>
              </w:rPr>
              <w:t>Female sex, n (%)</w:t>
            </w:r>
          </w:p>
        </w:tc>
        <w:tc>
          <w:tcPr>
            <w:tcW w:w="2324" w:type="dxa"/>
            <w:tcBorders>
              <w:top w:val="single" w:sz="4" w:space="0" w:color="auto"/>
              <w:left w:val="nil"/>
              <w:bottom w:val="single" w:sz="8" w:space="0" w:color="auto"/>
              <w:right w:val="nil"/>
            </w:tcBorders>
            <w:shd w:val="clear" w:color="auto" w:fill="auto"/>
            <w:noWrap/>
            <w:vAlign w:val="bottom"/>
            <w:hideMark/>
          </w:tcPr>
          <w:p w14:paraId="726E2AF7"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32 (76.2%)</w:t>
            </w:r>
          </w:p>
        </w:tc>
        <w:tc>
          <w:tcPr>
            <w:tcW w:w="2324" w:type="dxa"/>
            <w:tcBorders>
              <w:top w:val="single" w:sz="4" w:space="0" w:color="auto"/>
              <w:left w:val="nil"/>
              <w:bottom w:val="single" w:sz="8" w:space="0" w:color="auto"/>
              <w:right w:val="single" w:sz="8" w:space="0" w:color="auto"/>
            </w:tcBorders>
            <w:shd w:val="clear" w:color="auto" w:fill="auto"/>
            <w:noWrap/>
            <w:vAlign w:val="bottom"/>
            <w:hideMark/>
          </w:tcPr>
          <w:p w14:paraId="077327E4"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14 (60.9%)</w:t>
            </w:r>
          </w:p>
        </w:tc>
      </w:tr>
      <w:tr w:rsidR="00740115" w:rsidRPr="00AE4DC5" w14:paraId="46F41886" w14:textId="77777777" w:rsidTr="00BB2A0C">
        <w:trPr>
          <w:trHeight w:val="20"/>
          <w:jc w:val="center"/>
        </w:trPr>
        <w:tc>
          <w:tcPr>
            <w:tcW w:w="4139" w:type="dxa"/>
            <w:tcBorders>
              <w:top w:val="single" w:sz="8" w:space="0" w:color="auto"/>
              <w:left w:val="single" w:sz="8" w:space="0" w:color="auto"/>
              <w:bottom w:val="single" w:sz="8" w:space="0" w:color="auto"/>
              <w:right w:val="nil"/>
            </w:tcBorders>
            <w:shd w:val="clear" w:color="auto" w:fill="auto"/>
            <w:noWrap/>
            <w:vAlign w:val="center"/>
            <w:hideMark/>
          </w:tcPr>
          <w:p w14:paraId="6602CA1C" w14:textId="77777777" w:rsidR="00740115" w:rsidRPr="00AE4DC5" w:rsidRDefault="00740115" w:rsidP="00740115">
            <w:pPr>
              <w:spacing w:line="240" w:lineRule="auto"/>
              <w:jc w:val="left"/>
              <w:rPr>
                <w:rFonts w:ascii="Calibri" w:eastAsia="Times New Roman" w:hAnsi="Calibri" w:cs="Calibri"/>
                <w:b/>
                <w:bCs/>
                <w:color w:val="000000"/>
                <w:sz w:val="16"/>
                <w:szCs w:val="16"/>
                <w:lang w:val="en-US" w:eastAsia="pt-PT"/>
              </w:rPr>
            </w:pPr>
            <w:r w:rsidRPr="00AE4DC5">
              <w:rPr>
                <w:rFonts w:ascii="Calibri" w:eastAsia="Times New Roman" w:hAnsi="Calibri" w:cs="Calibri"/>
                <w:b/>
                <w:bCs/>
                <w:color w:val="000000"/>
                <w:sz w:val="16"/>
                <w:szCs w:val="16"/>
                <w:lang w:val="en-US" w:eastAsia="pt-PT"/>
              </w:rPr>
              <w:t>Age (years), average (SD)</w:t>
            </w:r>
          </w:p>
        </w:tc>
        <w:tc>
          <w:tcPr>
            <w:tcW w:w="2324" w:type="dxa"/>
            <w:tcBorders>
              <w:top w:val="single" w:sz="8" w:space="0" w:color="auto"/>
              <w:left w:val="nil"/>
              <w:bottom w:val="single" w:sz="8" w:space="0" w:color="auto"/>
              <w:right w:val="nil"/>
            </w:tcBorders>
            <w:shd w:val="clear" w:color="auto" w:fill="auto"/>
            <w:noWrap/>
            <w:vAlign w:val="bottom"/>
            <w:hideMark/>
          </w:tcPr>
          <w:p w14:paraId="141083BE"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53.5 (16.5)</w:t>
            </w:r>
          </w:p>
        </w:tc>
        <w:tc>
          <w:tcPr>
            <w:tcW w:w="2324" w:type="dxa"/>
            <w:tcBorders>
              <w:top w:val="single" w:sz="8" w:space="0" w:color="auto"/>
              <w:left w:val="nil"/>
              <w:bottom w:val="single" w:sz="8" w:space="0" w:color="auto"/>
              <w:right w:val="single" w:sz="8" w:space="0" w:color="auto"/>
            </w:tcBorders>
            <w:shd w:val="clear" w:color="auto" w:fill="auto"/>
            <w:noWrap/>
            <w:vAlign w:val="bottom"/>
            <w:hideMark/>
          </w:tcPr>
          <w:p w14:paraId="589AD542"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15.9 (60.6)</w:t>
            </w:r>
          </w:p>
        </w:tc>
      </w:tr>
      <w:tr w:rsidR="00740115" w:rsidRPr="00AE4DC5" w14:paraId="73E0E354" w14:textId="77777777" w:rsidTr="00BB2A0C">
        <w:trPr>
          <w:trHeight w:val="20"/>
          <w:jc w:val="center"/>
        </w:trPr>
        <w:tc>
          <w:tcPr>
            <w:tcW w:w="4139" w:type="dxa"/>
            <w:tcBorders>
              <w:top w:val="nil"/>
              <w:left w:val="single" w:sz="8" w:space="0" w:color="auto"/>
              <w:bottom w:val="nil"/>
              <w:right w:val="nil"/>
            </w:tcBorders>
            <w:shd w:val="clear" w:color="auto" w:fill="auto"/>
            <w:noWrap/>
            <w:vAlign w:val="center"/>
            <w:hideMark/>
          </w:tcPr>
          <w:p w14:paraId="1D5D9477" w14:textId="05B2B52E" w:rsidR="00740115" w:rsidRPr="00AE4DC5" w:rsidRDefault="00740115" w:rsidP="00740115">
            <w:pPr>
              <w:spacing w:line="240" w:lineRule="auto"/>
              <w:jc w:val="left"/>
              <w:rPr>
                <w:rFonts w:ascii="Calibri" w:eastAsia="Times New Roman" w:hAnsi="Calibri" w:cs="Calibri"/>
                <w:b/>
                <w:bCs/>
                <w:color w:val="000000"/>
                <w:sz w:val="16"/>
                <w:szCs w:val="16"/>
                <w:lang w:val="en-US" w:eastAsia="pt-PT"/>
              </w:rPr>
            </w:pPr>
            <w:r w:rsidRPr="00AE4DC5">
              <w:rPr>
                <w:rFonts w:ascii="Calibri" w:eastAsia="Times New Roman" w:hAnsi="Calibri" w:cs="Calibri"/>
                <w:b/>
                <w:bCs/>
                <w:color w:val="000000"/>
                <w:sz w:val="16"/>
                <w:szCs w:val="16"/>
                <w:lang w:val="en-US" w:eastAsia="pt-PT"/>
              </w:rPr>
              <w:t>Age (years)</w:t>
            </w:r>
            <w:r w:rsidR="002E2E88" w:rsidRPr="00AE4DC5">
              <w:rPr>
                <w:rFonts w:ascii="Calibri" w:eastAsia="Times New Roman" w:hAnsi="Calibri" w:cs="Calibri"/>
                <w:b/>
                <w:bCs/>
                <w:color w:val="000000"/>
                <w:sz w:val="16"/>
                <w:szCs w:val="16"/>
                <w:lang w:val="en-US" w:eastAsia="pt-PT"/>
              </w:rPr>
              <w:t xml:space="preserve"> , n (%)</w:t>
            </w:r>
          </w:p>
        </w:tc>
        <w:tc>
          <w:tcPr>
            <w:tcW w:w="2324" w:type="dxa"/>
            <w:tcBorders>
              <w:top w:val="single" w:sz="8" w:space="0" w:color="auto"/>
              <w:left w:val="nil"/>
              <w:bottom w:val="nil"/>
              <w:right w:val="nil"/>
            </w:tcBorders>
            <w:shd w:val="clear" w:color="auto" w:fill="auto"/>
            <w:noWrap/>
            <w:vAlign w:val="bottom"/>
            <w:hideMark/>
          </w:tcPr>
          <w:p w14:paraId="2A154D28" w14:textId="77777777" w:rsidR="00740115" w:rsidRPr="00AE4DC5" w:rsidRDefault="00740115" w:rsidP="00740115">
            <w:pPr>
              <w:jc w:val="center"/>
              <w:rPr>
                <w:rFonts w:asciiTheme="majorHAnsi" w:eastAsiaTheme="minorHAnsi" w:hAnsiTheme="majorHAnsi" w:cstheme="majorHAnsi"/>
                <w:color w:val="000000"/>
                <w:sz w:val="16"/>
                <w:szCs w:val="16"/>
                <w:lang w:val="en-US"/>
              </w:rPr>
            </w:pPr>
          </w:p>
        </w:tc>
        <w:tc>
          <w:tcPr>
            <w:tcW w:w="2324" w:type="dxa"/>
            <w:tcBorders>
              <w:top w:val="single" w:sz="8" w:space="0" w:color="auto"/>
              <w:left w:val="nil"/>
              <w:bottom w:val="nil"/>
              <w:right w:val="single" w:sz="8" w:space="0" w:color="auto"/>
            </w:tcBorders>
            <w:shd w:val="clear" w:color="auto" w:fill="auto"/>
            <w:noWrap/>
            <w:vAlign w:val="bottom"/>
            <w:hideMark/>
          </w:tcPr>
          <w:p w14:paraId="0E3DCCA7" w14:textId="77777777" w:rsidR="00740115" w:rsidRPr="00AE4DC5" w:rsidRDefault="00740115" w:rsidP="00740115">
            <w:pPr>
              <w:jc w:val="center"/>
              <w:rPr>
                <w:rFonts w:asciiTheme="majorHAnsi" w:eastAsiaTheme="minorHAnsi" w:hAnsiTheme="majorHAnsi" w:cstheme="majorHAnsi"/>
                <w:color w:val="000000"/>
                <w:sz w:val="16"/>
                <w:szCs w:val="16"/>
                <w:lang w:val="en-US"/>
              </w:rPr>
            </w:pPr>
          </w:p>
        </w:tc>
      </w:tr>
      <w:tr w:rsidR="00740115" w:rsidRPr="00AE4DC5" w14:paraId="6B4CEAA1" w14:textId="77777777" w:rsidTr="00BB2A0C">
        <w:trPr>
          <w:trHeight w:val="20"/>
          <w:jc w:val="center"/>
        </w:trPr>
        <w:tc>
          <w:tcPr>
            <w:tcW w:w="4139" w:type="dxa"/>
            <w:tcBorders>
              <w:top w:val="nil"/>
              <w:left w:val="single" w:sz="8" w:space="0" w:color="auto"/>
              <w:bottom w:val="nil"/>
              <w:right w:val="nil"/>
            </w:tcBorders>
            <w:shd w:val="clear" w:color="auto" w:fill="auto"/>
            <w:noWrap/>
            <w:vAlign w:val="center"/>
            <w:hideMark/>
          </w:tcPr>
          <w:p w14:paraId="157E045B" w14:textId="77777777" w:rsidR="00740115" w:rsidRPr="00AE4DC5" w:rsidRDefault="00740115" w:rsidP="00740115">
            <w:pPr>
              <w:spacing w:line="240" w:lineRule="auto"/>
              <w:jc w:val="left"/>
              <w:rPr>
                <w:rFonts w:ascii="Calibri Light" w:eastAsia="Times New Roman" w:hAnsi="Calibri Light" w:cs="Calibri Light"/>
                <w:color w:val="000000"/>
                <w:sz w:val="16"/>
                <w:szCs w:val="16"/>
                <w:lang w:val="en-US" w:eastAsia="pt-PT"/>
              </w:rPr>
            </w:pPr>
            <w:r w:rsidRPr="00AE4DC5">
              <w:rPr>
                <w:rFonts w:ascii="Calibri Light" w:eastAsia="Times New Roman" w:hAnsi="Calibri Light" w:cs="Calibri Light"/>
                <w:color w:val="000000"/>
                <w:sz w:val="16"/>
                <w:szCs w:val="16"/>
                <w:lang w:val="en-US" w:eastAsia="pt-PT"/>
              </w:rPr>
              <w:t>≤65 years</w:t>
            </w:r>
          </w:p>
        </w:tc>
        <w:tc>
          <w:tcPr>
            <w:tcW w:w="2324" w:type="dxa"/>
            <w:tcBorders>
              <w:top w:val="nil"/>
              <w:left w:val="nil"/>
              <w:right w:val="nil"/>
            </w:tcBorders>
            <w:shd w:val="clear" w:color="auto" w:fill="auto"/>
            <w:noWrap/>
            <w:vAlign w:val="bottom"/>
            <w:hideMark/>
          </w:tcPr>
          <w:p w14:paraId="1E79CDD5"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33 (78.6%)</w:t>
            </w:r>
          </w:p>
        </w:tc>
        <w:tc>
          <w:tcPr>
            <w:tcW w:w="2324" w:type="dxa"/>
            <w:tcBorders>
              <w:top w:val="nil"/>
              <w:left w:val="nil"/>
              <w:right w:val="single" w:sz="8" w:space="0" w:color="auto"/>
            </w:tcBorders>
            <w:shd w:val="clear" w:color="auto" w:fill="auto"/>
            <w:noWrap/>
            <w:vAlign w:val="bottom"/>
            <w:hideMark/>
          </w:tcPr>
          <w:p w14:paraId="41DA35C0"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11 (47.8%)</w:t>
            </w:r>
          </w:p>
        </w:tc>
      </w:tr>
      <w:tr w:rsidR="00740115" w:rsidRPr="00AE4DC5" w14:paraId="270531ED" w14:textId="77777777" w:rsidTr="00BB2A0C">
        <w:trPr>
          <w:trHeight w:val="20"/>
          <w:jc w:val="center"/>
        </w:trPr>
        <w:tc>
          <w:tcPr>
            <w:tcW w:w="4139" w:type="dxa"/>
            <w:tcBorders>
              <w:top w:val="nil"/>
              <w:left w:val="single" w:sz="8" w:space="0" w:color="auto"/>
              <w:bottom w:val="single" w:sz="8" w:space="0" w:color="auto"/>
              <w:right w:val="nil"/>
            </w:tcBorders>
            <w:shd w:val="clear" w:color="auto" w:fill="auto"/>
            <w:noWrap/>
            <w:vAlign w:val="center"/>
            <w:hideMark/>
          </w:tcPr>
          <w:p w14:paraId="00D20134" w14:textId="77777777" w:rsidR="00740115" w:rsidRPr="00AE4DC5" w:rsidRDefault="00740115" w:rsidP="00740115">
            <w:pPr>
              <w:spacing w:line="240" w:lineRule="auto"/>
              <w:jc w:val="left"/>
              <w:rPr>
                <w:rFonts w:ascii="Calibri Light" w:eastAsia="Times New Roman" w:hAnsi="Calibri Light" w:cs="Calibri Light"/>
                <w:color w:val="000000"/>
                <w:sz w:val="16"/>
                <w:szCs w:val="16"/>
                <w:lang w:val="en-US" w:eastAsia="pt-PT"/>
              </w:rPr>
            </w:pPr>
            <w:r w:rsidRPr="00AE4DC5">
              <w:rPr>
                <w:rFonts w:ascii="Calibri Light" w:eastAsia="Times New Roman" w:hAnsi="Calibri Light" w:cs="Calibri Light"/>
                <w:color w:val="000000"/>
                <w:sz w:val="16"/>
                <w:szCs w:val="16"/>
                <w:lang w:val="en-US" w:eastAsia="pt-PT"/>
              </w:rPr>
              <w:t>&gt;65 years</w:t>
            </w:r>
          </w:p>
        </w:tc>
        <w:tc>
          <w:tcPr>
            <w:tcW w:w="2324" w:type="dxa"/>
            <w:tcBorders>
              <w:top w:val="nil"/>
              <w:left w:val="nil"/>
              <w:bottom w:val="single" w:sz="8" w:space="0" w:color="auto"/>
              <w:right w:val="nil"/>
            </w:tcBorders>
            <w:shd w:val="clear" w:color="auto" w:fill="auto"/>
            <w:noWrap/>
            <w:vAlign w:val="bottom"/>
            <w:hideMark/>
          </w:tcPr>
          <w:p w14:paraId="1384CBC9"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9 (21.4%)</w:t>
            </w:r>
          </w:p>
        </w:tc>
        <w:tc>
          <w:tcPr>
            <w:tcW w:w="2324" w:type="dxa"/>
            <w:tcBorders>
              <w:top w:val="nil"/>
              <w:left w:val="nil"/>
              <w:bottom w:val="single" w:sz="8" w:space="0" w:color="auto"/>
              <w:right w:val="single" w:sz="8" w:space="0" w:color="auto"/>
            </w:tcBorders>
            <w:shd w:val="clear" w:color="auto" w:fill="auto"/>
            <w:noWrap/>
            <w:vAlign w:val="bottom"/>
            <w:hideMark/>
          </w:tcPr>
          <w:p w14:paraId="688A91B8"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12 (52.2%)</w:t>
            </w:r>
          </w:p>
        </w:tc>
      </w:tr>
      <w:tr w:rsidR="00740115" w:rsidRPr="00AE4DC5" w14:paraId="2019FF8B" w14:textId="77777777" w:rsidTr="00BB2A0C">
        <w:trPr>
          <w:trHeight w:val="20"/>
          <w:jc w:val="center"/>
        </w:trPr>
        <w:tc>
          <w:tcPr>
            <w:tcW w:w="4139" w:type="dxa"/>
            <w:tcBorders>
              <w:top w:val="nil"/>
              <w:left w:val="single" w:sz="8" w:space="0" w:color="auto"/>
              <w:bottom w:val="single" w:sz="8" w:space="0" w:color="auto"/>
              <w:right w:val="nil"/>
            </w:tcBorders>
            <w:shd w:val="clear" w:color="auto" w:fill="auto"/>
            <w:noWrap/>
            <w:vAlign w:val="center"/>
            <w:hideMark/>
          </w:tcPr>
          <w:p w14:paraId="0D590673" w14:textId="1FFEC020" w:rsidR="00740115" w:rsidRPr="00AE4DC5" w:rsidRDefault="00740115" w:rsidP="00740115">
            <w:pPr>
              <w:spacing w:line="240" w:lineRule="auto"/>
              <w:jc w:val="left"/>
              <w:rPr>
                <w:rFonts w:ascii="Calibri" w:eastAsia="Times New Roman" w:hAnsi="Calibri" w:cs="Calibri"/>
                <w:b/>
                <w:bCs/>
                <w:color w:val="000000"/>
                <w:sz w:val="16"/>
                <w:szCs w:val="16"/>
                <w:lang w:val="en-US" w:eastAsia="pt-PT"/>
              </w:rPr>
            </w:pPr>
            <w:r w:rsidRPr="00AE4DC5">
              <w:rPr>
                <w:rFonts w:ascii="Calibri" w:eastAsia="Times New Roman" w:hAnsi="Calibri" w:cs="Calibri"/>
                <w:b/>
                <w:bCs/>
                <w:color w:val="000000"/>
                <w:sz w:val="16"/>
                <w:szCs w:val="16"/>
                <w:lang w:val="en-US" w:eastAsia="pt-PT"/>
              </w:rPr>
              <w:t>BMI (kg/cm</w:t>
            </w:r>
            <w:r w:rsidRPr="00AE4DC5">
              <w:rPr>
                <w:rFonts w:ascii="Calibri" w:eastAsia="Times New Roman" w:hAnsi="Calibri" w:cs="Calibri"/>
                <w:b/>
                <w:bCs/>
                <w:color w:val="000000"/>
                <w:sz w:val="16"/>
                <w:szCs w:val="16"/>
                <w:vertAlign w:val="superscript"/>
                <w:lang w:val="en-US" w:eastAsia="pt-PT"/>
              </w:rPr>
              <w:t>2</w:t>
            </w:r>
            <w:r w:rsidRPr="00AE4DC5">
              <w:rPr>
                <w:rFonts w:ascii="Calibri" w:eastAsia="Times New Roman" w:hAnsi="Calibri" w:cs="Calibri"/>
                <w:b/>
                <w:bCs/>
                <w:color w:val="000000"/>
                <w:sz w:val="16"/>
                <w:szCs w:val="16"/>
                <w:lang w:val="en-US" w:eastAsia="pt-PT"/>
              </w:rPr>
              <w:t>)</w:t>
            </w:r>
            <w:r w:rsidR="002E2E88" w:rsidRPr="00AE4DC5">
              <w:rPr>
                <w:rFonts w:ascii="Calibri" w:eastAsia="Times New Roman" w:hAnsi="Calibri" w:cs="Calibri"/>
                <w:b/>
                <w:bCs/>
                <w:color w:val="000000"/>
                <w:sz w:val="16"/>
                <w:szCs w:val="16"/>
                <w:lang w:val="en-US" w:eastAsia="pt-PT"/>
              </w:rPr>
              <w:t>‡</w:t>
            </w:r>
            <w:r w:rsidRPr="00AE4DC5">
              <w:rPr>
                <w:rFonts w:ascii="Calibri" w:eastAsia="Times New Roman" w:hAnsi="Calibri" w:cs="Calibri"/>
                <w:b/>
                <w:bCs/>
                <w:color w:val="000000"/>
                <w:sz w:val="16"/>
                <w:szCs w:val="16"/>
                <w:lang w:val="en-US" w:eastAsia="pt-PT"/>
              </w:rPr>
              <w:t>, average (SD),</w:t>
            </w:r>
            <w:r w:rsidRPr="00AE4DC5">
              <w:rPr>
                <w:rFonts w:ascii="Calibri Light" w:eastAsia="Times New Roman" w:hAnsi="Calibri Light" w:cs="Calibri Light"/>
                <w:color w:val="000000"/>
                <w:sz w:val="16"/>
                <w:szCs w:val="16"/>
                <w:lang w:val="en-US" w:eastAsia="pt-PT"/>
              </w:rPr>
              <w:t xml:space="preserve"> </w:t>
            </w:r>
          </w:p>
        </w:tc>
        <w:tc>
          <w:tcPr>
            <w:tcW w:w="2324" w:type="dxa"/>
            <w:tcBorders>
              <w:top w:val="single" w:sz="8" w:space="0" w:color="auto"/>
              <w:left w:val="nil"/>
              <w:bottom w:val="single" w:sz="8" w:space="0" w:color="auto"/>
              <w:right w:val="nil"/>
            </w:tcBorders>
            <w:shd w:val="clear" w:color="auto" w:fill="auto"/>
            <w:noWrap/>
            <w:vAlign w:val="bottom"/>
            <w:hideMark/>
          </w:tcPr>
          <w:p w14:paraId="2B5929D8"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0.6 (0.9)</w:t>
            </w:r>
          </w:p>
        </w:tc>
        <w:tc>
          <w:tcPr>
            <w:tcW w:w="2324" w:type="dxa"/>
            <w:tcBorders>
              <w:top w:val="single" w:sz="8" w:space="0" w:color="auto"/>
              <w:left w:val="nil"/>
              <w:bottom w:val="single" w:sz="8" w:space="0" w:color="auto"/>
              <w:right w:val="single" w:sz="8" w:space="0" w:color="auto"/>
            </w:tcBorders>
            <w:shd w:val="clear" w:color="auto" w:fill="auto"/>
            <w:noWrap/>
            <w:vAlign w:val="bottom"/>
            <w:hideMark/>
          </w:tcPr>
          <w:p w14:paraId="16A70290"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0.6 (0.9)</w:t>
            </w:r>
          </w:p>
        </w:tc>
      </w:tr>
      <w:tr w:rsidR="00740115" w:rsidRPr="00AE4DC5" w14:paraId="13AECD8C" w14:textId="77777777" w:rsidTr="00BB2A0C">
        <w:trPr>
          <w:trHeight w:val="20"/>
          <w:jc w:val="center"/>
        </w:trPr>
        <w:tc>
          <w:tcPr>
            <w:tcW w:w="4139" w:type="dxa"/>
            <w:tcBorders>
              <w:top w:val="nil"/>
              <w:left w:val="single" w:sz="8" w:space="0" w:color="auto"/>
              <w:bottom w:val="nil"/>
              <w:right w:val="nil"/>
            </w:tcBorders>
            <w:shd w:val="clear" w:color="auto" w:fill="auto"/>
            <w:noWrap/>
            <w:vAlign w:val="center"/>
            <w:hideMark/>
          </w:tcPr>
          <w:p w14:paraId="206D37F0" w14:textId="14600306" w:rsidR="00740115" w:rsidRPr="00AE4DC5" w:rsidRDefault="00740115" w:rsidP="00740115">
            <w:pPr>
              <w:spacing w:line="240" w:lineRule="auto"/>
              <w:jc w:val="left"/>
              <w:rPr>
                <w:rFonts w:ascii="Calibri" w:eastAsia="Times New Roman" w:hAnsi="Calibri" w:cs="Calibri"/>
                <w:b/>
                <w:bCs/>
                <w:color w:val="000000"/>
                <w:sz w:val="16"/>
                <w:szCs w:val="16"/>
                <w:lang w:val="en-US" w:eastAsia="pt-PT"/>
              </w:rPr>
            </w:pPr>
            <w:r w:rsidRPr="00AE4DC5">
              <w:rPr>
                <w:rFonts w:ascii="Calibri" w:eastAsia="Times New Roman" w:hAnsi="Calibri" w:cs="Calibri"/>
                <w:b/>
                <w:bCs/>
                <w:color w:val="000000"/>
                <w:sz w:val="16"/>
                <w:szCs w:val="16"/>
                <w:lang w:val="en-US" w:eastAsia="pt-PT"/>
              </w:rPr>
              <w:t>Smoking status</w:t>
            </w:r>
            <w:r w:rsidR="002E2E88" w:rsidRPr="00AE4DC5">
              <w:rPr>
                <w:rFonts w:ascii="Calibri" w:eastAsia="Times New Roman" w:hAnsi="Calibri" w:cs="Calibri"/>
                <w:b/>
                <w:bCs/>
                <w:color w:val="000000"/>
                <w:sz w:val="16"/>
                <w:szCs w:val="16"/>
                <w:lang w:val="en-US" w:eastAsia="pt-PT"/>
              </w:rPr>
              <w:t>‡</w:t>
            </w:r>
            <w:r w:rsidRPr="00AE4DC5">
              <w:rPr>
                <w:rFonts w:ascii="Calibri" w:eastAsia="Times New Roman" w:hAnsi="Calibri" w:cs="Calibri"/>
                <w:b/>
                <w:bCs/>
                <w:color w:val="000000"/>
                <w:sz w:val="16"/>
                <w:szCs w:val="16"/>
                <w:lang w:val="en-US" w:eastAsia="pt-PT"/>
              </w:rPr>
              <w:t xml:space="preserve">, n (%) </w:t>
            </w:r>
          </w:p>
        </w:tc>
        <w:tc>
          <w:tcPr>
            <w:tcW w:w="2324" w:type="dxa"/>
            <w:tcBorders>
              <w:top w:val="single" w:sz="8" w:space="0" w:color="auto"/>
              <w:left w:val="nil"/>
              <w:bottom w:val="nil"/>
              <w:right w:val="nil"/>
            </w:tcBorders>
            <w:shd w:val="clear" w:color="auto" w:fill="auto"/>
            <w:noWrap/>
            <w:vAlign w:val="bottom"/>
            <w:hideMark/>
          </w:tcPr>
          <w:p w14:paraId="1907ADC2" w14:textId="77777777" w:rsidR="00740115" w:rsidRPr="00AE4DC5" w:rsidRDefault="00740115" w:rsidP="00740115">
            <w:pPr>
              <w:jc w:val="center"/>
              <w:rPr>
                <w:rFonts w:asciiTheme="majorHAnsi" w:eastAsiaTheme="minorHAnsi" w:hAnsiTheme="majorHAnsi" w:cstheme="majorHAnsi"/>
                <w:color w:val="000000"/>
                <w:sz w:val="16"/>
                <w:szCs w:val="16"/>
                <w:lang w:val="en-US"/>
              </w:rPr>
            </w:pPr>
          </w:p>
        </w:tc>
        <w:tc>
          <w:tcPr>
            <w:tcW w:w="2324" w:type="dxa"/>
            <w:tcBorders>
              <w:top w:val="single" w:sz="8" w:space="0" w:color="auto"/>
              <w:left w:val="nil"/>
              <w:bottom w:val="nil"/>
              <w:right w:val="single" w:sz="8" w:space="0" w:color="auto"/>
            </w:tcBorders>
            <w:shd w:val="clear" w:color="auto" w:fill="auto"/>
            <w:noWrap/>
            <w:vAlign w:val="bottom"/>
            <w:hideMark/>
          </w:tcPr>
          <w:p w14:paraId="56A1AE76" w14:textId="77777777" w:rsidR="00740115" w:rsidRPr="00AE4DC5" w:rsidRDefault="00740115" w:rsidP="00740115">
            <w:pPr>
              <w:jc w:val="center"/>
              <w:rPr>
                <w:rFonts w:asciiTheme="majorHAnsi" w:eastAsiaTheme="minorHAnsi" w:hAnsiTheme="majorHAnsi" w:cstheme="majorHAnsi"/>
                <w:color w:val="000000"/>
                <w:sz w:val="16"/>
                <w:szCs w:val="16"/>
                <w:lang w:val="en-US"/>
              </w:rPr>
            </w:pPr>
          </w:p>
        </w:tc>
      </w:tr>
      <w:tr w:rsidR="00740115" w:rsidRPr="00AE4DC5" w14:paraId="4A3F6687" w14:textId="77777777" w:rsidTr="00BB2A0C">
        <w:trPr>
          <w:trHeight w:val="20"/>
          <w:jc w:val="center"/>
        </w:trPr>
        <w:tc>
          <w:tcPr>
            <w:tcW w:w="4139" w:type="dxa"/>
            <w:tcBorders>
              <w:top w:val="nil"/>
              <w:left w:val="single" w:sz="8" w:space="0" w:color="auto"/>
              <w:bottom w:val="nil"/>
              <w:right w:val="nil"/>
            </w:tcBorders>
            <w:shd w:val="clear" w:color="auto" w:fill="auto"/>
            <w:noWrap/>
            <w:vAlign w:val="center"/>
            <w:hideMark/>
          </w:tcPr>
          <w:p w14:paraId="34101DD2" w14:textId="77777777" w:rsidR="00740115" w:rsidRPr="00AE4DC5" w:rsidRDefault="00740115" w:rsidP="00740115">
            <w:pPr>
              <w:spacing w:line="240" w:lineRule="auto"/>
              <w:jc w:val="left"/>
              <w:rPr>
                <w:rFonts w:ascii="Calibri Light" w:eastAsia="Times New Roman" w:hAnsi="Calibri Light" w:cs="Calibri Light"/>
                <w:color w:val="000000"/>
                <w:sz w:val="16"/>
                <w:szCs w:val="16"/>
                <w:lang w:val="en-US" w:eastAsia="pt-PT"/>
              </w:rPr>
            </w:pPr>
            <w:r w:rsidRPr="00AE4DC5">
              <w:rPr>
                <w:rFonts w:ascii="Calibri Light" w:eastAsia="Times New Roman" w:hAnsi="Calibri Light" w:cs="Calibri Light"/>
                <w:color w:val="000000"/>
                <w:sz w:val="16"/>
                <w:szCs w:val="16"/>
                <w:lang w:val="en-US" w:eastAsia="pt-PT"/>
              </w:rPr>
              <w:t xml:space="preserve">Nonsmoker (never smoked)/ Second-hand smoker </w:t>
            </w:r>
          </w:p>
        </w:tc>
        <w:tc>
          <w:tcPr>
            <w:tcW w:w="2324" w:type="dxa"/>
            <w:tcBorders>
              <w:top w:val="nil"/>
              <w:left w:val="nil"/>
              <w:bottom w:val="nil"/>
              <w:right w:val="nil"/>
            </w:tcBorders>
            <w:shd w:val="clear" w:color="auto" w:fill="auto"/>
            <w:noWrap/>
            <w:vAlign w:val="bottom"/>
            <w:hideMark/>
          </w:tcPr>
          <w:p w14:paraId="6954D056"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28 (66.7%)</w:t>
            </w:r>
          </w:p>
        </w:tc>
        <w:tc>
          <w:tcPr>
            <w:tcW w:w="2324" w:type="dxa"/>
            <w:tcBorders>
              <w:top w:val="nil"/>
              <w:left w:val="nil"/>
              <w:bottom w:val="nil"/>
              <w:right w:val="single" w:sz="8" w:space="0" w:color="auto"/>
            </w:tcBorders>
            <w:shd w:val="clear" w:color="auto" w:fill="auto"/>
            <w:noWrap/>
            <w:vAlign w:val="bottom"/>
            <w:hideMark/>
          </w:tcPr>
          <w:p w14:paraId="75C96548"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15 (65.2%)</w:t>
            </w:r>
          </w:p>
        </w:tc>
      </w:tr>
      <w:tr w:rsidR="00740115" w:rsidRPr="00AE4DC5" w14:paraId="52EC786E" w14:textId="77777777" w:rsidTr="00BB2A0C">
        <w:trPr>
          <w:trHeight w:val="20"/>
          <w:jc w:val="center"/>
        </w:trPr>
        <w:tc>
          <w:tcPr>
            <w:tcW w:w="4139" w:type="dxa"/>
            <w:tcBorders>
              <w:top w:val="nil"/>
              <w:left w:val="single" w:sz="8" w:space="0" w:color="auto"/>
              <w:bottom w:val="nil"/>
              <w:right w:val="nil"/>
            </w:tcBorders>
            <w:shd w:val="clear" w:color="auto" w:fill="auto"/>
            <w:noWrap/>
            <w:vAlign w:val="center"/>
            <w:hideMark/>
          </w:tcPr>
          <w:p w14:paraId="7D4D2E1E" w14:textId="77777777" w:rsidR="00740115" w:rsidRPr="00AE4DC5" w:rsidRDefault="00740115" w:rsidP="00740115">
            <w:pPr>
              <w:spacing w:line="240" w:lineRule="auto"/>
              <w:jc w:val="left"/>
              <w:rPr>
                <w:rFonts w:ascii="Calibri Light" w:eastAsia="Times New Roman" w:hAnsi="Calibri Light" w:cs="Calibri Light"/>
                <w:color w:val="000000"/>
                <w:sz w:val="16"/>
                <w:szCs w:val="16"/>
                <w:lang w:val="en-US" w:eastAsia="pt-PT"/>
              </w:rPr>
            </w:pPr>
            <w:r w:rsidRPr="00AE4DC5">
              <w:rPr>
                <w:rFonts w:ascii="Calibri Light" w:eastAsia="Times New Roman" w:hAnsi="Calibri Light" w:cs="Calibri Light"/>
                <w:color w:val="000000"/>
                <w:sz w:val="16"/>
                <w:szCs w:val="16"/>
                <w:lang w:val="en-US" w:eastAsia="pt-PT"/>
              </w:rPr>
              <w:t>Ex-smoker</w:t>
            </w:r>
          </w:p>
        </w:tc>
        <w:tc>
          <w:tcPr>
            <w:tcW w:w="2324" w:type="dxa"/>
            <w:tcBorders>
              <w:top w:val="nil"/>
              <w:left w:val="nil"/>
              <w:bottom w:val="nil"/>
              <w:right w:val="nil"/>
            </w:tcBorders>
            <w:shd w:val="clear" w:color="auto" w:fill="auto"/>
            <w:noWrap/>
            <w:vAlign w:val="bottom"/>
            <w:hideMark/>
          </w:tcPr>
          <w:p w14:paraId="14EF3661"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5 (11.9%)</w:t>
            </w:r>
          </w:p>
        </w:tc>
        <w:tc>
          <w:tcPr>
            <w:tcW w:w="2324" w:type="dxa"/>
            <w:tcBorders>
              <w:top w:val="nil"/>
              <w:left w:val="nil"/>
              <w:bottom w:val="nil"/>
              <w:right w:val="single" w:sz="8" w:space="0" w:color="auto"/>
            </w:tcBorders>
            <w:shd w:val="clear" w:color="auto" w:fill="auto"/>
            <w:noWrap/>
            <w:vAlign w:val="bottom"/>
            <w:hideMark/>
          </w:tcPr>
          <w:p w14:paraId="3805D5EB"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5 (21.7%)</w:t>
            </w:r>
          </w:p>
        </w:tc>
      </w:tr>
      <w:tr w:rsidR="00740115" w:rsidRPr="00AE4DC5" w14:paraId="0D371A6A" w14:textId="77777777" w:rsidTr="00BB2A0C">
        <w:trPr>
          <w:trHeight w:val="20"/>
          <w:jc w:val="center"/>
        </w:trPr>
        <w:tc>
          <w:tcPr>
            <w:tcW w:w="4139" w:type="dxa"/>
            <w:tcBorders>
              <w:top w:val="nil"/>
              <w:left w:val="single" w:sz="8" w:space="0" w:color="auto"/>
              <w:bottom w:val="nil"/>
              <w:right w:val="nil"/>
            </w:tcBorders>
            <w:shd w:val="clear" w:color="auto" w:fill="auto"/>
            <w:noWrap/>
            <w:vAlign w:val="center"/>
            <w:hideMark/>
          </w:tcPr>
          <w:p w14:paraId="54D4E88E" w14:textId="77777777" w:rsidR="00740115" w:rsidRPr="00AE4DC5" w:rsidRDefault="00740115" w:rsidP="00740115">
            <w:pPr>
              <w:spacing w:line="240" w:lineRule="auto"/>
              <w:jc w:val="left"/>
              <w:rPr>
                <w:rFonts w:ascii="Calibri Light" w:eastAsia="Times New Roman" w:hAnsi="Calibri Light" w:cs="Calibri Light"/>
                <w:color w:val="000000"/>
                <w:sz w:val="16"/>
                <w:szCs w:val="16"/>
                <w:lang w:val="en-US" w:eastAsia="pt-PT"/>
              </w:rPr>
            </w:pPr>
            <w:r w:rsidRPr="00AE4DC5">
              <w:rPr>
                <w:rFonts w:ascii="Calibri Light" w:eastAsia="Times New Roman" w:hAnsi="Calibri Light" w:cs="Calibri Light"/>
                <w:color w:val="000000"/>
                <w:sz w:val="16"/>
                <w:szCs w:val="16"/>
                <w:lang w:val="en-US" w:eastAsia="pt-PT"/>
              </w:rPr>
              <w:t>Smoker</w:t>
            </w:r>
          </w:p>
        </w:tc>
        <w:tc>
          <w:tcPr>
            <w:tcW w:w="2324" w:type="dxa"/>
            <w:tcBorders>
              <w:top w:val="nil"/>
              <w:left w:val="nil"/>
              <w:bottom w:val="nil"/>
              <w:right w:val="nil"/>
            </w:tcBorders>
            <w:shd w:val="clear" w:color="auto" w:fill="auto"/>
            <w:noWrap/>
            <w:vAlign w:val="bottom"/>
            <w:hideMark/>
          </w:tcPr>
          <w:p w14:paraId="06EA6C33"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7 (16.7%)</w:t>
            </w:r>
          </w:p>
        </w:tc>
        <w:tc>
          <w:tcPr>
            <w:tcW w:w="2324" w:type="dxa"/>
            <w:tcBorders>
              <w:top w:val="nil"/>
              <w:left w:val="nil"/>
              <w:bottom w:val="nil"/>
              <w:right w:val="single" w:sz="8" w:space="0" w:color="auto"/>
            </w:tcBorders>
            <w:shd w:val="clear" w:color="auto" w:fill="auto"/>
            <w:noWrap/>
            <w:vAlign w:val="bottom"/>
            <w:hideMark/>
          </w:tcPr>
          <w:p w14:paraId="6A45A77B" w14:textId="57A820F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0 (0</w:t>
            </w:r>
            <w:r w:rsidR="00FC7068" w:rsidRPr="00AE4DC5">
              <w:rPr>
                <w:rFonts w:asciiTheme="majorHAnsi" w:eastAsiaTheme="minorHAnsi" w:hAnsiTheme="majorHAnsi" w:cstheme="majorHAnsi"/>
                <w:color w:val="000000"/>
                <w:sz w:val="16"/>
                <w:szCs w:val="16"/>
                <w:lang w:val="en-US"/>
              </w:rPr>
              <w:t>.0</w:t>
            </w:r>
            <w:r w:rsidRPr="00AE4DC5">
              <w:rPr>
                <w:rFonts w:asciiTheme="majorHAnsi" w:eastAsiaTheme="minorHAnsi" w:hAnsiTheme="majorHAnsi" w:cstheme="majorHAnsi"/>
                <w:color w:val="000000"/>
                <w:sz w:val="16"/>
                <w:szCs w:val="16"/>
                <w:lang w:val="en-US"/>
              </w:rPr>
              <w:t>%)</w:t>
            </w:r>
          </w:p>
        </w:tc>
      </w:tr>
      <w:tr w:rsidR="00740115" w:rsidRPr="00AE4DC5" w14:paraId="0E1E414C" w14:textId="77777777" w:rsidTr="00BB2A0C">
        <w:trPr>
          <w:trHeight w:val="20"/>
          <w:jc w:val="center"/>
        </w:trPr>
        <w:tc>
          <w:tcPr>
            <w:tcW w:w="4139" w:type="dxa"/>
            <w:tcBorders>
              <w:top w:val="nil"/>
              <w:left w:val="single" w:sz="8" w:space="0" w:color="auto"/>
              <w:bottom w:val="nil"/>
              <w:right w:val="nil"/>
            </w:tcBorders>
            <w:shd w:val="clear" w:color="auto" w:fill="auto"/>
            <w:noWrap/>
            <w:vAlign w:val="center"/>
            <w:hideMark/>
          </w:tcPr>
          <w:p w14:paraId="52F3BC2E" w14:textId="35B616CE" w:rsidR="00740115" w:rsidRPr="00AE4DC5" w:rsidRDefault="00740115" w:rsidP="00740115">
            <w:pPr>
              <w:spacing w:line="240" w:lineRule="auto"/>
              <w:rPr>
                <w:rFonts w:ascii="Calibri" w:eastAsia="Times New Roman" w:hAnsi="Calibri" w:cs="Calibri"/>
                <w:b/>
                <w:bCs/>
                <w:color w:val="000000"/>
                <w:sz w:val="16"/>
                <w:szCs w:val="16"/>
                <w:lang w:val="en-US" w:eastAsia="pt-PT"/>
              </w:rPr>
            </w:pPr>
            <w:r w:rsidRPr="00AE4DC5">
              <w:rPr>
                <w:rFonts w:ascii="Calibri" w:eastAsia="Times New Roman" w:hAnsi="Calibri" w:cs="Calibri"/>
                <w:b/>
                <w:bCs/>
                <w:color w:val="000000"/>
                <w:sz w:val="16"/>
                <w:szCs w:val="16"/>
                <w:lang w:val="en-US" w:eastAsia="pt-PT"/>
              </w:rPr>
              <w:t>GINA step</w:t>
            </w:r>
            <w:r w:rsidR="002E2E88" w:rsidRPr="00AE4DC5">
              <w:rPr>
                <w:rFonts w:ascii="Calibri" w:eastAsia="Times New Roman" w:hAnsi="Calibri" w:cs="Calibri"/>
                <w:b/>
                <w:bCs/>
                <w:color w:val="000000"/>
                <w:sz w:val="16"/>
                <w:szCs w:val="16"/>
                <w:lang w:val="en-US" w:eastAsia="pt-PT"/>
              </w:rPr>
              <w:t>, n (%)</w:t>
            </w:r>
          </w:p>
        </w:tc>
        <w:tc>
          <w:tcPr>
            <w:tcW w:w="2324" w:type="dxa"/>
            <w:tcBorders>
              <w:top w:val="nil"/>
              <w:left w:val="nil"/>
              <w:bottom w:val="nil"/>
              <w:right w:val="nil"/>
            </w:tcBorders>
            <w:shd w:val="clear" w:color="auto" w:fill="auto"/>
            <w:noWrap/>
            <w:vAlign w:val="bottom"/>
            <w:hideMark/>
          </w:tcPr>
          <w:p w14:paraId="6B8704A1" w14:textId="77777777" w:rsidR="00740115" w:rsidRPr="00AE4DC5" w:rsidRDefault="00740115" w:rsidP="00740115">
            <w:pPr>
              <w:jc w:val="center"/>
              <w:rPr>
                <w:rFonts w:asciiTheme="majorHAnsi" w:eastAsiaTheme="minorHAnsi" w:hAnsiTheme="majorHAnsi" w:cstheme="majorHAnsi"/>
                <w:color w:val="000000"/>
                <w:sz w:val="16"/>
                <w:szCs w:val="16"/>
                <w:lang w:val="en-US"/>
              </w:rPr>
            </w:pPr>
          </w:p>
        </w:tc>
        <w:tc>
          <w:tcPr>
            <w:tcW w:w="2324" w:type="dxa"/>
            <w:tcBorders>
              <w:top w:val="nil"/>
              <w:left w:val="nil"/>
              <w:bottom w:val="nil"/>
              <w:right w:val="single" w:sz="8" w:space="0" w:color="auto"/>
            </w:tcBorders>
            <w:shd w:val="clear" w:color="auto" w:fill="auto"/>
            <w:noWrap/>
            <w:vAlign w:val="bottom"/>
            <w:hideMark/>
          </w:tcPr>
          <w:p w14:paraId="35C97F1D" w14:textId="77777777" w:rsidR="00740115" w:rsidRPr="00AE4DC5" w:rsidRDefault="00740115" w:rsidP="00740115">
            <w:pPr>
              <w:jc w:val="center"/>
              <w:rPr>
                <w:rFonts w:asciiTheme="majorHAnsi" w:eastAsiaTheme="minorHAnsi" w:hAnsiTheme="majorHAnsi" w:cstheme="majorHAnsi"/>
                <w:color w:val="000000"/>
                <w:sz w:val="16"/>
                <w:szCs w:val="16"/>
                <w:lang w:val="en-US"/>
              </w:rPr>
            </w:pPr>
          </w:p>
        </w:tc>
      </w:tr>
      <w:tr w:rsidR="00740115" w:rsidRPr="00AE4DC5" w14:paraId="47102B2F" w14:textId="77777777" w:rsidTr="00BB2A0C">
        <w:trPr>
          <w:trHeight w:val="20"/>
          <w:jc w:val="center"/>
        </w:trPr>
        <w:tc>
          <w:tcPr>
            <w:tcW w:w="4139" w:type="dxa"/>
            <w:tcBorders>
              <w:top w:val="nil"/>
              <w:left w:val="single" w:sz="8" w:space="0" w:color="auto"/>
              <w:bottom w:val="nil"/>
              <w:right w:val="nil"/>
            </w:tcBorders>
            <w:shd w:val="clear" w:color="auto" w:fill="auto"/>
            <w:noWrap/>
            <w:vAlign w:val="center"/>
            <w:hideMark/>
          </w:tcPr>
          <w:p w14:paraId="39BBB835" w14:textId="77777777" w:rsidR="00740115" w:rsidRPr="00AE4DC5" w:rsidRDefault="00740115" w:rsidP="00740115">
            <w:pPr>
              <w:spacing w:line="240" w:lineRule="auto"/>
              <w:rPr>
                <w:rFonts w:ascii="Calibri Light" w:eastAsia="Times New Roman" w:hAnsi="Calibri Light" w:cs="Calibri Light"/>
                <w:color w:val="000000"/>
                <w:sz w:val="16"/>
                <w:szCs w:val="16"/>
                <w:lang w:val="en-US" w:eastAsia="pt-PT"/>
              </w:rPr>
            </w:pPr>
            <w:r w:rsidRPr="00AE4DC5">
              <w:rPr>
                <w:rFonts w:ascii="Calibri Light" w:eastAsia="Times New Roman" w:hAnsi="Calibri Light" w:cs="Calibri Light"/>
                <w:color w:val="000000"/>
                <w:sz w:val="16"/>
                <w:szCs w:val="16"/>
                <w:lang w:val="en-US" w:eastAsia="pt-PT"/>
              </w:rPr>
              <w:t>Step 3</w:t>
            </w:r>
          </w:p>
        </w:tc>
        <w:tc>
          <w:tcPr>
            <w:tcW w:w="2324" w:type="dxa"/>
            <w:tcBorders>
              <w:top w:val="nil"/>
              <w:left w:val="nil"/>
              <w:bottom w:val="nil"/>
              <w:right w:val="nil"/>
            </w:tcBorders>
            <w:shd w:val="clear" w:color="auto" w:fill="auto"/>
            <w:noWrap/>
            <w:vAlign w:val="bottom"/>
            <w:hideMark/>
          </w:tcPr>
          <w:p w14:paraId="71969A8C"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3 (7.1%)</w:t>
            </w:r>
          </w:p>
        </w:tc>
        <w:tc>
          <w:tcPr>
            <w:tcW w:w="2324" w:type="dxa"/>
            <w:tcBorders>
              <w:top w:val="nil"/>
              <w:left w:val="nil"/>
              <w:bottom w:val="nil"/>
              <w:right w:val="single" w:sz="8" w:space="0" w:color="auto"/>
            </w:tcBorders>
            <w:shd w:val="clear" w:color="auto" w:fill="auto"/>
            <w:noWrap/>
            <w:vAlign w:val="bottom"/>
            <w:hideMark/>
          </w:tcPr>
          <w:p w14:paraId="39B3F022" w14:textId="5B3AE1C6"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0 (0</w:t>
            </w:r>
            <w:r w:rsidR="00FC7068" w:rsidRPr="00AE4DC5">
              <w:rPr>
                <w:rFonts w:asciiTheme="majorHAnsi" w:eastAsiaTheme="minorHAnsi" w:hAnsiTheme="majorHAnsi" w:cstheme="majorHAnsi"/>
                <w:color w:val="000000"/>
                <w:sz w:val="16"/>
                <w:szCs w:val="16"/>
                <w:lang w:val="en-US"/>
              </w:rPr>
              <w:t>.0</w:t>
            </w:r>
            <w:r w:rsidRPr="00AE4DC5">
              <w:rPr>
                <w:rFonts w:asciiTheme="majorHAnsi" w:eastAsiaTheme="minorHAnsi" w:hAnsiTheme="majorHAnsi" w:cstheme="majorHAnsi"/>
                <w:color w:val="000000"/>
                <w:sz w:val="16"/>
                <w:szCs w:val="16"/>
                <w:lang w:val="en-US"/>
              </w:rPr>
              <w:t>%)</w:t>
            </w:r>
          </w:p>
        </w:tc>
      </w:tr>
      <w:tr w:rsidR="00740115" w:rsidRPr="00AE4DC5" w14:paraId="3446E3FB" w14:textId="77777777" w:rsidTr="00BB2A0C">
        <w:trPr>
          <w:trHeight w:val="20"/>
          <w:jc w:val="center"/>
        </w:trPr>
        <w:tc>
          <w:tcPr>
            <w:tcW w:w="4139" w:type="dxa"/>
            <w:tcBorders>
              <w:top w:val="nil"/>
              <w:left w:val="single" w:sz="8" w:space="0" w:color="auto"/>
              <w:bottom w:val="nil"/>
              <w:right w:val="nil"/>
            </w:tcBorders>
            <w:shd w:val="clear" w:color="auto" w:fill="auto"/>
            <w:noWrap/>
            <w:vAlign w:val="center"/>
            <w:hideMark/>
          </w:tcPr>
          <w:p w14:paraId="525573F4" w14:textId="77777777" w:rsidR="00740115" w:rsidRPr="00AE4DC5" w:rsidRDefault="00740115" w:rsidP="00740115">
            <w:pPr>
              <w:spacing w:line="240" w:lineRule="auto"/>
              <w:rPr>
                <w:rFonts w:ascii="Calibri Light" w:eastAsia="Times New Roman" w:hAnsi="Calibri Light" w:cs="Calibri Light"/>
                <w:color w:val="000000"/>
                <w:sz w:val="16"/>
                <w:szCs w:val="16"/>
                <w:lang w:val="en-US" w:eastAsia="pt-PT"/>
              </w:rPr>
            </w:pPr>
            <w:r w:rsidRPr="00AE4DC5">
              <w:rPr>
                <w:rFonts w:ascii="Calibri Light" w:eastAsia="Times New Roman" w:hAnsi="Calibri Light" w:cs="Calibri Light"/>
                <w:color w:val="000000"/>
                <w:sz w:val="16"/>
                <w:szCs w:val="16"/>
                <w:lang w:val="en-US" w:eastAsia="pt-PT"/>
              </w:rPr>
              <w:t>Step 4</w:t>
            </w:r>
          </w:p>
        </w:tc>
        <w:tc>
          <w:tcPr>
            <w:tcW w:w="2324" w:type="dxa"/>
            <w:tcBorders>
              <w:top w:val="nil"/>
              <w:left w:val="nil"/>
              <w:right w:val="nil"/>
            </w:tcBorders>
            <w:shd w:val="clear" w:color="auto" w:fill="auto"/>
            <w:noWrap/>
            <w:vAlign w:val="bottom"/>
            <w:hideMark/>
          </w:tcPr>
          <w:p w14:paraId="334E353A" w14:textId="40CC5B96"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21 (50</w:t>
            </w:r>
            <w:r w:rsidR="00FC7068" w:rsidRPr="00AE4DC5">
              <w:rPr>
                <w:rFonts w:asciiTheme="majorHAnsi" w:eastAsiaTheme="minorHAnsi" w:hAnsiTheme="majorHAnsi" w:cstheme="majorHAnsi"/>
                <w:color w:val="000000"/>
                <w:sz w:val="16"/>
                <w:szCs w:val="16"/>
                <w:lang w:val="en-US"/>
              </w:rPr>
              <w:t>.0</w:t>
            </w:r>
            <w:r w:rsidRPr="00AE4DC5">
              <w:rPr>
                <w:rFonts w:asciiTheme="majorHAnsi" w:eastAsiaTheme="minorHAnsi" w:hAnsiTheme="majorHAnsi" w:cstheme="majorHAnsi"/>
                <w:color w:val="000000"/>
                <w:sz w:val="16"/>
                <w:szCs w:val="16"/>
                <w:lang w:val="en-US"/>
              </w:rPr>
              <w:t>%)</w:t>
            </w:r>
          </w:p>
        </w:tc>
        <w:tc>
          <w:tcPr>
            <w:tcW w:w="2324" w:type="dxa"/>
            <w:tcBorders>
              <w:top w:val="nil"/>
              <w:left w:val="nil"/>
              <w:right w:val="single" w:sz="8" w:space="0" w:color="auto"/>
            </w:tcBorders>
            <w:shd w:val="clear" w:color="auto" w:fill="auto"/>
            <w:noWrap/>
            <w:vAlign w:val="bottom"/>
            <w:hideMark/>
          </w:tcPr>
          <w:p w14:paraId="5A5CC6E3"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7 (30.4%)</w:t>
            </w:r>
          </w:p>
        </w:tc>
      </w:tr>
      <w:tr w:rsidR="00740115" w:rsidRPr="00AE4DC5" w14:paraId="799E54FA" w14:textId="77777777" w:rsidTr="00BB2A0C">
        <w:trPr>
          <w:trHeight w:val="20"/>
          <w:jc w:val="center"/>
        </w:trPr>
        <w:tc>
          <w:tcPr>
            <w:tcW w:w="4139" w:type="dxa"/>
            <w:tcBorders>
              <w:top w:val="nil"/>
              <w:left w:val="single" w:sz="8" w:space="0" w:color="auto"/>
              <w:bottom w:val="single" w:sz="8" w:space="0" w:color="auto"/>
              <w:right w:val="nil"/>
            </w:tcBorders>
            <w:shd w:val="clear" w:color="auto" w:fill="auto"/>
            <w:noWrap/>
            <w:vAlign w:val="center"/>
            <w:hideMark/>
          </w:tcPr>
          <w:p w14:paraId="1EA4F525" w14:textId="77777777" w:rsidR="00740115" w:rsidRPr="00AE4DC5" w:rsidRDefault="00740115" w:rsidP="00740115">
            <w:pPr>
              <w:spacing w:line="240" w:lineRule="auto"/>
              <w:rPr>
                <w:rFonts w:ascii="Calibri Light" w:eastAsia="Times New Roman" w:hAnsi="Calibri Light" w:cs="Calibri Light"/>
                <w:color w:val="000000"/>
                <w:sz w:val="16"/>
                <w:szCs w:val="16"/>
                <w:lang w:val="en-US" w:eastAsia="pt-PT"/>
              </w:rPr>
            </w:pPr>
            <w:r w:rsidRPr="00AE4DC5">
              <w:rPr>
                <w:rFonts w:ascii="Calibri Light" w:eastAsia="Times New Roman" w:hAnsi="Calibri Light" w:cs="Calibri Light"/>
                <w:color w:val="000000"/>
                <w:sz w:val="16"/>
                <w:szCs w:val="16"/>
                <w:lang w:val="en-US" w:eastAsia="pt-PT"/>
              </w:rPr>
              <w:t>Step 5</w:t>
            </w:r>
          </w:p>
        </w:tc>
        <w:tc>
          <w:tcPr>
            <w:tcW w:w="2324" w:type="dxa"/>
            <w:tcBorders>
              <w:top w:val="nil"/>
              <w:left w:val="nil"/>
              <w:bottom w:val="single" w:sz="8" w:space="0" w:color="auto"/>
              <w:right w:val="nil"/>
            </w:tcBorders>
            <w:shd w:val="clear" w:color="auto" w:fill="auto"/>
            <w:noWrap/>
            <w:vAlign w:val="bottom"/>
            <w:hideMark/>
          </w:tcPr>
          <w:p w14:paraId="395D4191"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18 (42.9%)</w:t>
            </w:r>
          </w:p>
        </w:tc>
        <w:tc>
          <w:tcPr>
            <w:tcW w:w="2324" w:type="dxa"/>
            <w:tcBorders>
              <w:top w:val="nil"/>
              <w:left w:val="nil"/>
              <w:bottom w:val="single" w:sz="8" w:space="0" w:color="auto"/>
              <w:right w:val="single" w:sz="8" w:space="0" w:color="auto"/>
            </w:tcBorders>
            <w:shd w:val="clear" w:color="auto" w:fill="auto"/>
            <w:noWrap/>
            <w:vAlign w:val="bottom"/>
            <w:hideMark/>
          </w:tcPr>
          <w:p w14:paraId="49A92933"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16 (69.6%)</w:t>
            </w:r>
          </w:p>
        </w:tc>
      </w:tr>
      <w:tr w:rsidR="00740115" w:rsidRPr="00AE4DC5" w14:paraId="73498D5F" w14:textId="77777777" w:rsidTr="00BB2A0C">
        <w:trPr>
          <w:trHeight w:val="20"/>
          <w:jc w:val="center"/>
        </w:trPr>
        <w:tc>
          <w:tcPr>
            <w:tcW w:w="4139" w:type="dxa"/>
            <w:tcBorders>
              <w:top w:val="nil"/>
              <w:left w:val="single" w:sz="8" w:space="0" w:color="auto"/>
              <w:bottom w:val="nil"/>
              <w:right w:val="nil"/>
            </w:tcBorders>
            <w:shd w:val="clear" w:color="auto" w:fill="auto"/>
            <w:noWrap/>
            <w:vAlign w:val="center"/>
            <w:hideMark/>
          </w:tcPr>
          <w:p w14:paraId="4A2EF7A7" w14:textId="5997A45F" w:rsidR="00740115" w:rsidRPr="00AE4DC5" w:rsidRDefault="00740115" w:rsidP="00740115">
            <w:pPr>
              <w:spacing w:line="240" w:lineRule="auto"/>
              <w:rPr>
                <w:rFonts w:ascii="Calibri" w:eastAsia="Times New Roman" w:hAnsi="Calibri" w:cs="Calibri"/>
                <w:b/>
                <w:bCs/>
                <w:color w:val="000000"/>
                <w:sz w:val="16"/>
                <w:szCs w:val="16"/>
                <w:lang w:val="en-US" w:eastAsia="pt-PT"/>
              </w:rPr>
            </w:pPr>
            <w:r w:rsidRPr="00AE4DC5">
              <w:rPr>
                <w:rFonts w:ascii="Calibri" w:eastAsia="Times New Roman" w:hAnsi="Calibri" w:cs="Calibri"/>
                <w:b/>
                <w:bCs/>
                <w:color w:val="000000"/>
                <w:sz w:val="16"/>
                <w:szCs w:val="16"/>
                <w:lang w:val="en-US" w:eastAsia="pt-PT"/>
              </w:rPr>
              <w:t>Self-reported adherence to ICS-LABA [If current user]‡</w:t>
            </w:r>
            <w:r w:rsidR="002E2E88" w:rsidRPr="00AE4DC5">
              <w:rPr>
                <w:rFonts w:ascii="Calibri" w:eastAsia="Times New Roman" w:hAnsi="Calibri" w:cs="Calibri"/>
                <w:b/>
                <w:bCs/>
                <w:color w:val="000000"/>
                <w:sz w:val="16"/>
                <w:szCs w:val="16"/>
                <w:lang w:val="en-US" w:eastAsia="pt-PT"/>
              </w:rPr>
              <w:t xml:space="preserve"> , n (%)</w:t>
            </w:r>
          </w:p>
        </w:tc>
        <w:tc>
          <w:tcPr>
            <w:tcW w:w="2324" w:type="dxa"/>
            <w:tcBorders>
              <w:top w:val="single" w:sz="8" w:space="0" w:color="auto"/>
              <w:left w:val="nil"/>
              <w:bottom w:val="nil"/>
              <w:right w:val="nil"/>
            </w:tcBorders>
            <w:shd w:val="clear" w:color="auto" w:fill="auto"/>
            <w:noWrap/>
            <w:vAlign w:val="bottom"/>
            <w:hideMark/>
          </w:tcPr>
          <w:p w14:paraId="06DF8CD3" w14:textId="77777777" w:rsidR="00740115" w:rsidRPr="00AE4DC5" w:rsidRDefault="00740115" w:rsidP="00740115">
            <w:pPr>
              <w:jc w:val="center"/>
              <w:rPr>
                <w:rFonts w:asciiTheme="majorHAnsi" w:eastAsiaTheme="minorHAnsi" w:hAnsiTheme="majorHAnsi" w:cstheme="majorHAnsi"/>
                <w:color w:val="000000"/>
                <w:sz w:val="16"/>
                <w:szCs w:val="16"/>
                <w:lang w:val="en-US"/>
              </w:rPr>
            </w:pPr>
          </w:p>
        </w:tc>
        <w:tc>
          <w:tcPr>
            <w:tcW w:w="2324" w:type="dxa"/>
            <w:tcBorders>
              <w:top w:val="single" w:sz="8" w:space="0" w:color="auto"/>
              <w:left w:val="nil"/>
              <w:bottom w:val="nil"/>
              <w:right w:val="single" w:sz="8" w:space="0" w:color="auto"/>
            </w:tcBorders>
            <w:shd w:val="clear" w:color="auto" w:fill="auto"/>
            <w:noWrap/>
            <w:vAlign w:val="bottom"/>
            <w:hideMark/>
          </w:tcPr>
          <w:p w14:paraId="492A353F" w14:textId="77777777" w:rsidR="00740115" w:rsidRPr="00AE4DC5" w:rsidRDefault="00740115" w:rsidP="00740115">
            <w:pPr>
              <w:jc w:val="center"/>
              <w:rPr>
                <w:rFonts w:asciiTheme="majorHAnsi" w:eastAsiaTheme="minorHAnsi" w:hAnsiTheme="majorHAnsi" w:cstheme="majorHAnsi"/>
                <w:color w:val="000000"/>
                <w:sz w:val="16"/>
                <w:szCs w:val="16"/>
                <w:lang w:val="en-US"/>
              </w:rPr>
            </w:pPr>
          </w:p>
        </w:tc>
      </w:tr>
      <w:tr w:rsidR="00740115" w:rsidRPr="00AE4DC5" w14:paraId="2CA9B9AC" w14:textId="77777777" w:rsidTr="00BB2A0C">
        <w:trPr>
          <w:trHeight w:val="20"/>
          <w:jc w:val="center"/>
        </w:trPr>
        <w:tc>
          <w:tcPr>
            <w:tcW w:w="4139" w:type="dxa"/>
            <w:tcBorders>
              <w:top w:val="nil"/>
              <w:left w:val="single" w:sz="8" w:space="0" w:color="auto"/>
              <w:bottom w:val="nil"/>
              <w:right w:val="nil"/>
            </w:tcBorders>
            <w:shd w:val="clear" w:color="auto" w:fill="auto"/>
            <w:noWrap/>
            <w:vAlign w:val="center"/>
            <w:hideMark/>
          </w:tcPr>
          <w:p w14:paraId="67C16D65" w14:textId="77777777" w:rsidR="00740115" w:rsidRPr="00AE4DC5" w:rsidRDefault="00740115" w:rsidP="00740115">
            <w:pPr>
              <w:spacing w:line="240" w:lineRule="auto"/>
              <w:rPr>
                <w:rFonts w:ascii="Calibri" w:eastAsia="Times New Roman" w:hAnsi="Calibri" w:cs="Calibri"/>
                <w:color w:val="000000"/>
                <w:sz w:val="16"/>
                <w:szCs w:val="16"/>
                <w:lang w:val="en-US" w:eastAsia="pt-PT"/>
              </w:rPr>
            </w:pPr>
            <w:r w:rsidRPr="00AE4DC5">
              <w:rPr>
                <w:rFonts w:ascii="Calibri" w:eastAsia="Times New Roman" w:hAnsi="Calibri" w:cs="Calibri"/>
                <w:color w:val="000000"/>
                <w:sz w:val="16"/>
                <w:szCs w:val="16"/>
                <w:lang w:val="en-US" w:eastAsia="pt-PT"/>
              </w:rPr>
              <w:t>‘I use it every day’</w:t>
            </w:r>
          </w:p>
        </w:tc>
        <w:tc>
          <w:tcPr>
            <w:tcW w:w="2324" w:type="dxa"/>
            <w:tcBorders>
              <w:top w:val="nil"/>
              <w:left w:val="nil"/>
              <w:right w:val="nil"/>
            </w:tcBorders>
            <w:shd w:val="clear" w:color="auto" w:fill="auto"/>
            <w:noWrap/>
            <w:vAlign w:val="bottom"/>
            <w:hideMark/>
          </w:tcPr>
          <w:p w14:paraId="028EAD83" w14:textId="59C50CE3"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38 (95</w:t>
            </w:r>
            <w:r w:rsidR="00FC7068" w:rsidRPr="00AE4DC5">
              <w:rPr>
                <w:rFonts w:asciiTheme="majorHAnsi" w:eastAsiaTheme="minorHAnsi" w:hAnsiTheme="majorHAnsi" w:cstheme="majorHAnsi"/>
                <w:color w:val="000000"/>
                <w:sz w:val="16"/>
                <w:szCs w:val="16"/>
                <w:lang w:val="en-US"/>
              </w:rPr>
              <w:t>.0</w:t>
            </w:r>
            <w:r w:rsidRPr="00AE4DC5">
              <w:rPr>
                <w:rFonts w:asciiTheme="majorHAnsi" w:eastAsiaTheme="minorHAnsi" w:hAnsiTheme="majorHAnsi" w:cstheme="majorHAnsi"/>
                <w:color w:val="000000"/>
                <w:sz w:val="16"/>
                <w:szCs w:val="16"/>
                <w:lang w:val="en-US"/>
              </w:rPr>
              <w:t>%)</w:t>
            </w:r>
          </w:p>
        </w:tc>
        <w:tc>
          <w:tcPr>
            <w:tcW w:w="2324" w:type="dxa"/>
            <w:tcBorders>
              <w:top w:val="nil"/>
              <w:left w:val="nil"/>
              <w:right w:val="single" w:sz="8" w:space="0" w:color="auto"/>
            </w:tcBorders>
            <w:shd w:val="clear" w:color="auto" w:fill="auto"/>
            <w:noWrap/>
            <w:vAlign w:val="bottom"/>
            <w:hideMark/>
          </w:tcPr>
          <w:p w14:paraId="36A32AB2"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21 (95.5%)</w:t>
            </w:r>
          </w:p>
        </w:tc>
      </w:tr>
      <w:tr w:rsidR="00740115" w:rsidRPr="00AE4DC5" w14:paraId="235A8234" w14:textId="77777777" w:rsidTr="00BB2A0C">
        <w:trPr>
          <w:trHeight w:val="20"/>
          <w:jc w:val="center"/>
        </w:trPr>
        <w:tc>
          <w:tcPr>
            <w:tcW w:w="4139" w:type="dxa"/>
            <w:tcBorders>
              <w:top w:val="nil"/>
              <w:left w:val="single" w:sz="8" w:space="0" w:color="auto"/>
              <w:bottom w:val="single" w:sz="8" w:space="0" w:color="auto"/>
              <w:right w:val="nil"/>
            </w:tcBorders>
            <w:shd w:val="clear" w:color="auto" w:fill="auto"/>
            <w:noWrap/>
            <w:vAlign w:val="center"/>
            <w:hideMark/>
          </w:tcPr>
          <w:p w14:paraId="0644BF26" w14:textId="77777777" w:rsidR="00740115" w:rsidRPr="00AE4DC5" w:rsidRDefault="00740115" w:rsidP="00740115">
            <w:pPr>
              <w:spacing w:line="240" w:lineRule="auto"/>
              <w:rPr>
                <w:rFonts w:ascii="Calibri" w:eastAsia="Times New Roman" w:hAnsi="Calibri" w:cs="Calibri"/>
                <w:color w:val="000000"/>
                <w:sz w:val="16"/>
                <w:szCs w:val="16"/>
                <w:lang w:val="en-US" w:eastAsia="pt-PT"/>
              </w:rPr>
            </w:pPr>
            <w:r w:rsidRPr="00AE4DC5">
              <w:rPr>
                <w:rFonts w:ascii="Calibri" w:eastAsia="Times New Roman" w:hAnsi="Calibri" w:cs="Calibri"/>
                <w:color w:val="000000"/>
                <w:sz w:val="16"/>
                <w:szCs w:val="16"/>
                <w:lang w:val="en-US" w:eastAsia="pt-PT"/>
              </w:rPr>
              <w:t>Other</w:t>
            </w:r>
          </w:p>
        </w:tc>
        <w:tc>
          <w:tcPr>
            <w:tcW w:w="2324" w:type="dxa"/>
            <w:tcBorders>
              <w:top w:val="nil"/>
              <w:left w:val="nil"/>
              <w:bottom w:val="single" w:sz="8" w:space="0" w:color="auto"/>
              <w:right w:val="nil"/>
            </w:tcBorders>
            <w:shd w:val="clear" w:color="auto" w:fill="auto"/>
            <w:noWrap/>
            <w:vAlign w:val="bottom"/>
            <w:hideMark/>
          </w:tcPr>
          <w:p w14:paraId="1665C91C" w14:textId="1B18D621"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2 (5</w:t>
            </w:r>
            <w:r w:rsidR="00FC7068" w:rsidRPr="00AE4DC5">
              <w:rPr>
                <w:rFonts w:asciiTheme="majorHAnsi" w:eastAsiaTheme="minorHAnsi" w:hAnsiTheme="majorHAnsi" w:cstheme="majorHAnsi"/>
                <w:color w:val="000000"/>
                <w:sz w:val="16"/>
                <w:szCs w:val="16"/>
                <w:lang w:val="en-US"/>
              </w:rPr>
              <w:t>.0</w:t>
            </w:r>
            <w:r w:rsidRPr="00AE4DC5">
              <w:rPr>
                <w:rFonts w:asciiTheme="majorHAnsi" w:eastAsiaTheme="minorHAnsi" w:hAnsiTheme="majorHAnsi" w:cstheme="majorHAnsi"/>
                <w:color w:val="000000"/>
                <w:sz w:val="16"/>
                <w:szCs w:val="16"/>
                <w:lang w:val="en-US"/>
              </w:rPr>
              <w:t>%)</w:t>
            </w:r>
          </w:p>
        </w:tc>
        <w:tc>
          <w:tcPr>
            <w:tcW w:w="2324" w:type="dxa"/>
            <w:tcBorders>
              <w:top w:val="nil"/>
              <w:left w:val="nil"/>
              <w:bottom w:val="single" w:sz="8" w:space="0" w:color="auto"/>
              <w:right w:val="single" w:sz="8" w:space="0" w:color="auto"/>
            </w:tcBorders>
            <w:shd w:val="clear" w:color="auto" w:fill="auto"/>
            <w:noWrap/>
            <w:vAlign w:val="bottom"/>
            <w:hideMark/>
          </w:tcPr>
          <w:p w14:paraId="59E0E267"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1 (4.5%)</w:t>
            </w:r>
          </w:p>
        </w:tc>
      </w:tr>
      <w:tr w:rsidR="00740115" w:rsidRPr="00AE4DC5" w14:paraId="3B795B2D" w14:textId="77777777" w:rsidTr="00BB2A0C">
        <w:trPr>
          <w:trHeight w:val="20"/>
          <w:jc w:val="center"/>
        </w:trPr>
        <w:tc>
          <w:tcPr>
            <w:tcW w:w="4139" w:type="dxa"/>
            <w:tcBorders>
              <w:top w:val="nil"/>
              <w:left w:val="single" w:sz="8" w:space="0" w:color="auto"/>
              <w:bottom w:val="nil"/>
              <w:right w:val="nil"/>
            </w:tcBorders>
            <w:shd w:val="clear" w:color="auto" w:fill="auto"/>
            <w:noWrap/>
            <w:vAlign w:val="center"/>
            <w:hideMark/>
          </w:tcPr>
          <w:p w14:paraId="7EC44176" w14:textId="77777777" w:rsidR="00740115" w:rsidRPr="00AE4DC5" w:rsidRDefault="00740115" w:rsidP="00740115">
            <w:pPr>
              <w:spacing w:line="240" w:lineRule="auto"/>
              <w:rPr>
                <w:rFonts w:ascii="Calibri" w:eastAsia="Times New Roman" w:hAnsi="Calibri" w:cs="Calibri"/>
                <w:b/>
                <w:bCs/>
                <w:color w:val="000000"/>
                <w:sz w:val="16"/>
                <w:szCs w:val="16"/>
                <w:lang w:val="en-US" w:eastAsia="pt-PT"/>
              </w:rPr>
            </w:pPr>
            <w:r w:rsidRPr="00AE4DC5">
              <w:rPr>
                <w:rFonts w:ascii="Calibri" w:eastAsia="Times New Roman" w:hAnsi="Calibri" w:cs="Calibri"/>
                <w:b/>
                <w:bCs/>
                <w:color w:val="000000"/>
                <w:sz w:val="16"/>
                <w:szCs w:val="16"/>
                <w:lang w:val="en-US" w:eastAsia="pt-PT"/>
              </w:rPr>
              <w:t>Comorbidities [YES]†, n (%)</w:t>
            </w:r>
          </w:p>
        </w:tc>
        <w:tc>
          <w:tcPr>
            <w:tcW w:w="2324" w:type="dxa"/>
            <w:tcBorders>
              <w:top w:val="single" w:sz="8" w:space="0" w:color="auto"/>
              <w:left w:val="nil"/>
              <w:bottom w:val="nil"/>
              <w:right w:val="nil"/>
            </w:tcBorders>
            <w:shd w:val="clear" w:color="auto" w:fill="auto"/>
            <w:noWrap/>
            <w:vAlign w:val="bottom"/>
            <w:hideMark/>
          </w:tcPr>
          <w:p w14:paraId="4A10597B" w14:textId="77777777" w:rsidR="00740115" w:rsidRPr="00AE4DC5" w:rsidRDefault="00740115" w:rsidP="00740115">
            <w:pPr>
              <w:jc w:val="center"/>
              <w:rPr>
                <w:rFonts w:asciiTheme="majorHAnsi" w:eastAsiaTheme="minorHAnsi" w:hAnsiTheme="majorHAnsi" w:cstheme="majorHAnsi"/>
                <w:color w:val="000000"/>
                <w:sz w:val="16"/>
                <w:szCs w:val="16"/>
                <w:lang w:val="en-US"/>
              </w:rPr>
            </w:pPr>
          </w:p>
        </w:tc>
        <w:tc>
          <w:tcPr>
            <w:tcW w:w="2324" w:type="dxa"/>
            <w:tcBorders>
              <w:top w:val="single" w:sz="8" w:space="0" w:color="auto"/>
              <w:left w:val="nil"/>
              <w:bottom w:val="nil"/>
              <w:right w:val="single" w:sz="8" w:space="0" w:color="auto"/>
            </w:tcBorders>
            <w:shd w:val="clear" w:color="auto" w:fill="auto"/>
            <w:noWrap/>
            <w:vAlign w:val="bottom"/>
            <w:hideMark/>
          </w:tcPr>
          <w:p w14:paraId="7045A935" w14:textId="77777777" w:rsidR="00740115" w:rsidRPr="00AE4DC5" w:rsidRDefault="00740115" w:rsidP="00740115">
            <w:pPr>
              <w:jc w:val="center"/>
              <w:rPr>
                <w:rFonts w:asciiTheme="majorHAnsi" w:eastAsiaTheme="minorHAnsi" w:hAnsiTheme="majorHAnsi" w:cstheme="majorHAnsi"/>
                <w:color w:val="000000"/>
                <w:sz w:val="16"/>
                <w:szCs w:val="16"/>
                <w:lang w:val="en-US"/>
              </w:rPr>
            </w:pPr>
          </w:p>
        </w:tc>
      </w:tr>
      <w:tr w:rsidR="00740115" w:rsidRPr="00AE4DC5" w14:paraId="297A97DF" w14:textId="77777777" w:rsidTr="00BB2A0C">
        <w:trPr>
          <w:trHeight w:val="20"/>
          <w:jc w:val="center"/>
        </w:trPr>
        <w:tc>
          <w:tcPr>
            <w:tcW w:w="4139" w:type="dxa"/>
            <w:tcBorders>
              <w:top w:val="nil"/>
              <w:left w:val="single" w:sz="8" w:space="0" w:color="auto"/>
              <w:bottom w:val="nil"/>
              <w:right w:val="nil"/>
            </w:tcBorders>
            <w:shd w:val="clear" w:color="auto" w:fill="auto"/>
            <w:noWrap/>
            <w:vAlign w:val="center"/>
            <w:hideMark/>
          </w:tcPr>
          <w:p w14:paraId="39ABB02E" w14:textId="77777777" w:rsidR="00740115" w:rsidRPr="00AE4DC5" w:rsidRDefault="00740115" w:rsidP="00740115">
            <w:pPr>
              <w:spacing w:line="240" w:lineRule="auto"/>
              <w:rPr>
                <w:rFonts w:ascii="Calibri Light" w:eastAsia="Times New Roman" w:hAnsi="Calibri Light" w:cs="Calibri Light"/>
                <w:color w:val="000000"/>
                <w:sz w:val="16"/>
                <w:szCs w:val="16"/>
                <w:lang w:val="en-US" w:eastAsia="pt-PT"/>
              </w:rPr>
            </w:pPr>
            <w:r w:rsidRPr="00AE4DC5">
              <w:rPr>
                <w:rFonts w:ascii="Calibri Light" w:eastAsia="Times New Roman" w:hAnsi="Calibri Light" w:cs="Calibri Light"/>
                <w:color w:val="000000"/>
                <w:sz w:val="16"/>
                <w:szCs w:val="16"/>
                <w:lang w:val="en-US" w:eastAsia="pt-PT"/>
              </w:rPr>
              <w:t>Anxiety</w:t>
            </w:r>
          </w:p>
        </w:tc>
        <w:tc>
          <w:tcPr>
            <w:tcW w:w="2324" w:type="dxa"/>
            <w:tcBorders>
              <w:top w:val="nil"/>
              <w:left w:val="nil"/>
              <w:bottom w:val="nil"/>
              <w:right w:val="nil"/>
            </w:tcBorders>
            <w:shd w:val="clear" w:color="auto" w:fill="auto"/>
            <w:noWrap/>
            <w:vAlign w:val="bottom"/>
            <w:hideMark/>
          </w:tcPr>
          <w:p w14:paraId="0A929E98"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16 (38.1%)</w:t>
            </w:r>
          </w:p>
        </w:tc>
        <w:tc>
          <w:tcPr>
            <w:tcW w:w="2324" w:type="dxa"/>
            <w:tcBorders>
              <w:top w:val="nil"/>
              <w:left w:val="nil"/>
              <w:bottom w:val="nil"/>
              <w:right w:val="single" w:sz="8" w:space="0" w:color="auto"/>
            </w:tcBorders>
            <w:shd w:val="clear" w:color="auto" w:fill="auto"/>
            <w:noWrap/>
            <w:vAlign w:val="bottom"/>
            <w:hideMark/>
          </w:tcPr>
          <w:p w14:paraId="35DAE471"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11 (47.8%)</w:t>
            </w:r>
          </w:p>
        </w:tc>
      </w:tr>
      <w:tr w:rsidR="00740115" w:rsidRPr="00AE4DC5" w14:paraId="04F5C31F" w14:textId="77777777" w:rsidTr="00BB2A0C">
        <w:trPr>
          <w:trHeight w:val="20"/>
          <w:jc w:val="center"/>
        </w:trPr>
        <w:tc>
          <w:tcPr>
            <w:tcW w:w="4139" w:type="dxa"/>
            <w:tcBorders>
              <w:top w:val="nil"/>
              <w:left w:val="single" w:sz="8" w:space="0" w:color="auto"/>
              <w:bottom w:val="nil"/>
              <w:right w:val="nil"/>
            </w:tcBorders>
            <w:shd w:val="clear" w:color="auto" w:fill="auto"/>
            <w:noWrap/>
            <w:vAlign w:val="center"/>
            <w:hideMark/>
          </w:tcPr>
          <w:p w14:paraId="5F21112A" w14:textId="77777777" w:rsidR="00740115" w:rsidRPr="00AE4DC5" w:rsidRDefault="00740115" w:rsidP="00740115">
            <w:pPr>
              <w:spacing w:line="240" w:lineRule="auto"/>
              <w:rPr>
                <w:rFonts w:ascii="Calibri Light" w:eastAsia="Times New Roman" w:hAnsi="Calibri Light" w:cs="Calibri Light"/>
                <w:color w:val="000000"/>
                <w:sz w:val="16"/>
                <w:szCs w:val="16"/>
                <w:lang w:val="en-US" w:eastAsia="pt-PT"/>
              </w:rPr>
            </w:pPr>
            <w:r w:rsidRPr="00AE4DC5">
              <w:rPr>
                <w:rFonts w:ascii="Calibri Light" w:eastAsia="Times New Roman" w:hAnsi="Calibri Light" w:cs="Calibri Light"/>
                <w:color w:val="000000"/>
                <w:sz w:val="16"/>
                <w:szCs w:val="16"/>
                <w:lang w:val="en-US" w:eastAsia="pt-PT"/>
              </w:rPr>
              <w:t>Rhinitis</w:t>
            </w:r>
          </w:p>
        </w:tc>
        <w:tc>
          <w:tcPr>
            <w:tcW w:w="2324" w:type="dxa"/>
            <w:tcBorders>
              <w:top w:val="nil"/>
              <w:left w:val="nil"/>
              <w:bottom w:val="nil"/>
              <w:right w:val="nil"/>
            </w:tcBorders>
            <w:shd w:val="clear" w:color="auto" w:fill="auto"/>
            <w:noWrap/>
            <w:vAlign w:val="bottom"/>
            <w:hideMark/>
          </w:tcPr>
          <w:p w14:paraId="129C5938"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18 (42.9%)</w:t>
            </w:r>
          </w:p>
        </w:tc>
        <w:tc>
          <w:tcPr>
            <w:tcW w:w="2324" w:type="dxa"/>
            <w:tcBorders>
              <w:top w:val="nil"/>
              <w:left w:val="nil"/>
              <w:bottom w:val="nil"/>
              <w:right w:val="single" w:sz="8" w:space="0" w:color="auto"/>
            </w:tcBorders>
            <w:shd w:val="clear" w:color="auto" w:fill="auto"/>
            <w:noWrap/>
            <w:vAlign w:val="bottom"/>
            <w:hideMark/>
          </w:tcPr>
          <w:p w14:paraId="13176E79"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10 (43.5%)</w:t>
            </w:r>
          </w:p>
        </w:tc>
      </w:tr>
      <w:tr w:rsidR="00740115" w:rsidRPr="00AE4DC5" w14:paraId="3F7BAB5C" w14:textId="77777777" w:rsidTr="00BB2A0C">
        <w:trPr>
          <w:trHeight w:val="20"/>
          <w:jc w:val="center"/>
        </w:trPr>
        <w:tc>
          <w:tcPr>
            <w:tcW w:w="4139" w:type="dxa"/>
            <w:tcBorders>
              <w:top w:val="nil"/>
              <w:left w:val="single" w:sz="8" w:space="0" w:color="auto"/>
              <w:bottom w:val="nil"/>
              <w:right w:val="nil"/>
            </w:tcBorders>
            <w:shd w:val="clear" w:color="auto" w:fill="auto"/>
            <w:noWrap/>
            <w:vAlign w:val="center"/>
            <w:hideMark/>
          </w:tcPr>
          <w:p w14:paraId="634B2159" w14:textId="77777777" w:rsidR="00740115" w:rsidRPr="00AE4DC5" w:rsidRDefault="00740115" w:rsidP="00740115">
            <w:pPr>
              <w:spacing w:line="240" w:lineRule="auto"/>
              <w:rPr>
                <w:rFonts w:ascii="Calibri Light" w:eastAsia="Times New Roman" w:hAnsi="Calibri Light" w:cs="Calibri Light"/>
                <w:color w:val="000000"/>
                <w:sz w:val="16"/>
                <w:szCs w:val="16"/>
                <w:lang w:val="en-US" w:eastAsia="pt-PT"/>
              </w:rPr>
            </w:pPr>
            <w:r w:rsidRPr="00AE4DC5">
              <w:rPr>
                <w:rFonts w:ascii="Calibri Light" w:eastAsia="Times New Roman" w:hAnsi="Calibri Light" w:cs="Calibri Light"/>
                <w:color w:val="000000"/>
                <w:sz w:val="16"/>
                <w:szCs w:val="16"/>
                <w:lang w:val="en-US" w:eastAsia="pt-PT"/>
              </w:rPr>
              <w:t>Hypertension</w:t>
            </w:r>
          </w:p>
        </w:tc>
        <w:tc>
          <w:tcPr>
            <w:tcW w:w="2324" w:type="dxa"/>
            <w:tcBorders>
              <w:top w:val="nil"/>
              <w:left w:val="nil"/>
              <w:bottom w:val="nil"/>
              <w:right w:val="nil"/>
            </w:tcBorders>
            <w:shd w:val="clear" w:color="auto" w:fill="auto"/>
            <w:noWrap/>
            <w:vAlign w:val="bottom"/>
            <w:hideMark/>
          </w:tcPr>
          <w:p w14:paraId="544B5029"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12 (28.6%)</w:t>
            </w:r>
          </w:p>
        </w:tc>
        <w:tc>
          <w:tcPr>
            <w:tcW w:w="2324" w:type="dxa"/>
            <w:tcBorders>
              <w:top w:val="nil"/>
              <w:left w:val="nil"/>
              <w:bottom w:val="nil"/>
              <w:right w:val="single" w:sz="8" w:space="0" w:color="auto"/>
            </w:tcBorders>
            <w:shd w:val="clear" w:color="auto" w:fill="auto"/>
            <w:noWrap/>
            <w:vAlign w:val="bottom"/>
            <w:hideMark/>
          </w:tcPr>
          <w:p w14:paraId="684F2642"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9 (39.1%)</w:t>
            </w:r>
          </w:p>
        </w:tc>
      </w:tr>
      <w:tr w:rsidR="00740115" w:rsidRPr="00AE4DC5" w14:paraId="0A94B9AD" w14:textId="77777777" w:rsidTr="00BB2A0C">
        <w:trPr>
          <w:trHeight w:val="20"/>
          <w:jc w:val="center"/>
        </w:trPr>
        <w:tc>
          <w:tcPr>
            <w:tcW w:w="4139" w:type="dxa"/>
            <w:tcBorders>
              <w:top w:val="nil"/>
              <w:left w:val="single" w:sz="8" w:space="0" w:color="auto"/>
              <w:bottom w:val="nil"/>
              <w:right w:val="nil"/>
            </w:tcBorders>
            <w:shd w:val="clear" w:color="auto" w:fill="auto"/>
            <w:noWrap/>
            <w:vAlign w:val="center"/>
            <w:hideMark/>
          </w:tcPr>
          <w:p w14:paraId="0669CC28" w14:textId="77777777" w:rsidR="00740115" w:rsidRPr="00AE4DC5" w:rsidRDefault="00740115" w:rsidP="00740115">
            <w:pPr>
              <w:spacing w:line="240" w:lineRule="auto"/>
              <w:rPr>
                <w:rFonts w:ascii="Calibri Light" w:eastAsia="Times New Roman" w:hAnsi="Calibri Light" w:cs="Calibri Light"/>
                <w:color w:val="000000"/>
                <w:sz w:val="16"/>
                <w:szCs w:val="16"/>
                <w:lang w:val="en-US" w:eastAsia="pt-PT"/>
              </w:rPr>
            </w:pPr>
            <w:r w:rsidRPr="00AE4DC5">
              <w:rPr>
                <w:rFonts w:ascii="Calibri Light" w:eastAsia="Times New Roman" w:hAnsi="Calibri Light" w:cs="Calibri Light"/>
                <w:color w:val="000000"/>
                <w:sz w:val="16"/>
                <w:szCs w:val="16"/>
                <w:lang w:val="en-US" w:eastAsia="pt-PT"/>
              </w:rPr>
              <w:t>Sinusitis</w:t>
            </w:r>
          </w:p>
        </w:tc>
        <w:tc>
          <w:tcPr>
            <w:tcW w:w="2324" w:type="dxa"/>
            <w:tcBorders>
              <w:top w:val="nil"/>
              <w:left w:val="nil"/>
              <w:bottom w:val="nil"/>
              <w:right w:val="nil"/>
            </w:tcBorders>
            <w:shd w:val="clear" w:color="auto" w:fill="auto"/>
            <w:noWrap/>
            <w:vAlign w:val="bottom"/>
            <w:hideMark/>
          </w:tcPr>
          <w:p w14:paraId="23C9C4F1"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14 (33.3%)</w:t>
            </w:r>
          </w:p>
        </w:tc>
        <w:tc>
          <w:tcPr>
            <w:tcW w:w="2324" w:type="dxa"/>
            <w:tcBorders>
              <w:top w:val="nil"/>
              <w:left w:val="nil"/>
              <w:bottom w:val="nil"/>
              <w:right w:val="single" w:sz="8" w:space="0" w:color="auto"/>
            </w:tcBorders>
            <w:shd w:val="clear" w:color="auto" w:fill="auto"/>
            <w:noWrap/>
            <w:vAlign w:val="bottom"/>
            <w:hideMark/>
          </w:tcPr>
          <w:p w14:paraId="0E95240D"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9 (39.1%)</w:t>
            </w:r>
          </w:p>
        </w:tc>
      </w:tr>
      <w:tr w:rsidR="00740115" w:rsidRPr="00AE4DC5" w14:paraId="1424F3C1" w14:textId="77777777" w:rsidTr="00BB2A0C">
        <w:trPr>
          <w:trHeight w:val="20"/>
          <w:jc w:val="center"/>
        </w:trPr>
        <w:tc>
          <w:tcPr>
            <w:tcW w:w="4139" w:type="dxa"/>
            <w:tcBorders>
              <w:top w:val="nil"/>
              <w:left w:val="single" w:sz="8" w:space="0" w:color="auto"/>
              <w:bottom w:val="nil"/>
              <w:right w:val="nil"/>
            </w:tcBorders>
            <w:shd w:val="clear" w:color="auto" w:fill="auto"/>
            <w:noWrap/>
            <w:vAlign w:val="center"/>
            <w:hideMark/>
          </w:tcPr>
          <w:p w14:paraId="06A3E91C" w14:textId="77777777" w:rsidR="00740115" w:rsidRPr="00AE4DC5" w:rsidRDefault="00740115" w:rsidP="00740115">
            <w:pPr>
              <w:spacing w:line="240" w:lineRule="auto"/>
              <w:rPr>
                <w:rFonts w:ascii="Calibri Light" w:eastAsia="Times New Roman" w:hAnsi="Calibri Light" w:cs="Calibri Light"/>
                <w:color w:val="000000"/>
                <w:sz w:val="16"/>
                <w:szCs w:val="16"/>
                <w:lang w:val="en-US" w:eastAsia="pt-PT"/>
              </w:rPr>
            </w:pPr>
            <w:r w:rsidRPr="00AE4DC5">
              <w:rPr>
                <w:rFonts w:ascii="Calibri Light" w:eastAsia="Times New Roman" w:hAnsi="Calibri Light" w:cs="Calibri Light"/>
                <w:color w:val="000000"/>
                <w:sz w:val="16"/>
                <w:szCs w:val="16"/>
                <w:lang w:val="en-US" w:eastAsia="pt-PT"/>
              </w:rPr>
              <w:t>Depression</w:t>
            </w:r>
          </w:p>
        </w:tc>
        <w:tc>
          <w:tcPr>
            <w:tcW w:w="2324" w:type="dxa"/>
            <w:tcBorders>
              <w:top w:val="nil"/>
              <w:left w:val="nil"/>
              <w:bottom w:val="nil"/>
              <w:right w:val="nil"/>
            </w:tcBorders>
            <w:shd w:val="clear" w:color="auto" w:fill="auto"/>
            <w:noWrap/>
            <w:vAlign w:val="bottom"/>
            <w:hideMark/>
          </w:tcPr>
          <w:p w14:paraId="593280AE" w14:textId="0C938EF1"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8 (19</w:t>
            </w:r>
            <w:r w:rsidR="00FC7068" w:rsidRPr="00AE4DC5">
              <w:rPr>
                <w:rFonts w:asciiTheme="majorHAnsi" w:eastAsiaTheme="minorHAnsi" w:hAnsiTheme="majorHAnsi" w:cstheme="majorHAnsi"/>
                <w:color w:val="000000"/>
                <w:sz w:val="16"/>
                <w:szCs w:val="16"/>
                <w:lang w:val="en-US"/>
              </w:rPr>
              <w:t>.0</w:t>
            </w:r>
            <w:r w:rsidRPr="00AE4DC5">
              <w:rPr>
                <w:rFonts w:asciiTheme="majorHAnsi" w:eastAsiaTheme="minorHAnsi" w:hAnsiTheme="majorHAnsi" w:cstheme="majorHAnsi"/>
                <w:color w:val="000000"/>
                <w:sz w:val="16"/>
                <w:szCs w:val="16"/>
                <w:lang w:val="en-US"/>
              </w:rPr>
              <w:t>%)</w:t>
            </w:r>
          </w:p>
        </w:tc>
        <w:tc>
          <w:tcPr>
            <w:tcW w:w="2324" w:type="dxa"/>
            <w:tcBorders>
              <w:top w:val="nil"/>
              <w:left w:val="nil"/>
              <w:bottom w:val="nil"/>
              <w:right w:val="single" w:sz="8" w:space="0" w:color="auto"/>
            </w:tcBorders>
            <w:shd w:val="clear" w:color="auto" w:fill="auto"/>
            <w:noWrap/>
            <w:vAlign w:val="bottom"/>
            <w:hideMark/>
          </w:tcPr>
          <w:p w14:paraId="017F852E"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7 (30.4%)</w:t>
            </w:r>
          </w:p>
        </w:tc>
      </w:tr>
      <w:tr w:rsidR="00740115" w:rsidRPr="00AE4DC5" w14:paraId="7016AC31" w14:textId="77777777" w:rsidTr="00BB2A0C">
        <w:trPr>
          <w:trHeight w:val="20"/>
          <w:jc w:val="center"/>
        </w:trPr>
        <w:tc>
          <w:tcPr>
            <w:tcW w:w="4139" w:type="dxa"/>
            <w:tcBorders>
              <w:top w:val="nil"/>
              <w:left w:val="single" w:sz="8" w:space="0" w:color="auto"/>
              <w:bottom w:val="nil"/>
              <w:right w:val="nil"/>
            </w:tcBorders>
            <w:shd w:val="clear" w:color="auto" w:fill="auto"/>
            <w:noWrap/>
            <w:vAlign w:val="center"/>
            <w:hideMark/>
          </w:tcPr>
          <w:p w14:paraId="68A7F5E0" w14:textId="77777777" w:rsidR="00740115" w:rsidRPr="00AE4DC5" w:rsidRDefault="00740115" w:rsidP="00740115">
            <w:pPr>
              <w:spacing w:line="240" w:lineRule="auto"/>
              <w:rPr>
                <w:rFonts w:ascii="Calibri Light" w:eastAsia="Times New Roman" w:hAnsi="Calibri Light" w:cs="Calibri Light"/>
                <w:color w:val="000000"/>
                <w:sz w:val="16"/>
                <w:szCs w:val="16"/>
                <w:lang w:val="en-US" w:eastAsia="pt-PT"/>
              </w:rPr>
            </w:pPr>
            <w:r w:rsidRPr="00AE4DC5">
              <w:rPr>
                <w:rFonts w:ascii="Calibri Light" w:eastAsia="Times New Roman" w:hAnsi="Calibri Light" w:cs="Calibri Light"/>
                <w:color w:val="000000"/>
                <w:sz w:val="16"/>
                <w:szCs w:val="16"/>
                <w:lang w:val="en-US" w:eastAsia="pt-PT"/>
              </w:rPr>
              <w:t>Conjunctivitis</w:t>
            </w:r>
          </w:p>
        </w:tc>
        <w:tc>
          <w:tcPr>
            <w:tcW w:w="2324" w:type="dxa"/>
            <w:tcBorders>
              <w:top w:val="nil"/>
              <w:left w:val="nil"/>
              <w:bottom w:val="nil"/>
              <w:right w:val="nil"/>
            </w:tcBorders>
            <w:shd w:val="clear" w:color="auto" w:fill="auto"/>
            <w:noWrap/>
            <w:vAlign w:val="bottom"/>
            <w:hideMark/>
          </w:tcPr>
          <w:p w14:paraId="0E9071A6"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9 (21.4%)</w:t>
            </w:r>
          </w:p>
        </w:tc>
        <w:tc>
          <w:tcPr>
            <w:tcW w:w="2324" w:type="dxa"/>
            <w:tcBorders>
              <w:top w:val="nil"/>
              <w:left w:val="nil"/>
              <w:bottom w:val="nil"/>
              <w:right w:val="single" w:sz="8" w:space="0" w:color="auto"/>
            </w:tcBorders>
            <w:shd w:val="clear" w:color="auto" w:fill="auto"/>
            <w:noWrap/>
            <w:vAlign w:val="bottom"/>
            <w:hideMark/>
          </w:tcPr>
          <w:p w14:paraId="5664B23D"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6 (26.1%)</w:t>
            </w:r>
          </w:p>
        </w:tc>
      </w:tr>
      <w:tr w:rsidR="00740115" w:rsidRPr="00AE4DC5" w14:paraId="10276725" w14:textId="77777777" w:rsidTr="00BB2A0C">
        <w:trPr>
          <w:trHeight w:val="20"/>
          <w:jc w:val="center"/>
        </w:trPr>
        <w:tc>
          <w:tcPr>
            <w:tcW w:w="4139" w:type="dxa"/>
            <w:tcBorders>
              <w:top w:val="nil"/>
              <w:left w:val="single" w:sz="8" w:space="0" w:color="auto"/>
              <w:bottom w:val="nil"/>
              <w:right w:val="nil"/>
            </w:tcBorders>
            <w:shd w:val="clear" w:color="auto" w:fill="auto"/>
            <w:noWrap/>
            <w:vAlign w:val="center"/>
            <w:hideMark/>
          </w:tcPr>
          <w:p w14:paraId="30D8D26E" w14:textId="77777777" w:rsidR="00740115" w:rsidRPr="00AE4DC5" w:rsidRDefault="00740115" w:rsidP="00740115">
            <w:pPr>
              <w:spacing w:line="240" w:lineRule="auto"/>
              <w:rPr>
                <w:rFonts w:ascii="Calibri Light" w:eastAsia="Times New Roman" w:hAnsi="Calibri Light" w:cs="Calibri Light"/>
                <w:color w:val="000000"/>
                <w:sz w:val="16"/>
                <w:szCs w:val="16"/>
                <w:lang w:val="en-US" w:eastAsia="pt-PT"/>
              </w:rPr>
            </w:pPr>
            <w:r w:rsidRPr="00AE4DC5">
              <w:rPr>
                <w:rFonts w:ascii="Calibri Light" w:eastAsia="Times New Roman" w:hAnsi="Calibri Light" w:cs="Calibri Light"/>
                <w:color w:val="000000"/>
                <w:sz w:val="16"/>
                <w:szCs w:val="16"/>
                <w:lang w:val="en-US" w:eastAsia="pt-PT"/>
              </w:rPr>
              <w:t>Osteoporosis</w:t>
            </w:r>
          </w:p>
        </w:tc>
        <w:tc>
          <w:tcPr>
            <w:tcW w:w="2324" w:type="dxa"/>
            <w:tcBorders>
              <w:top w:val="nil"/>
              <w:left w:val="nil"/>
              <w:bottom w:val="nil"/>
              <w:right w:val="nil"/>
            </w:tcBorders>
            <w:shd w:val="clear" w:color="auto" w:fill="auto"/>
            <w:noWrap/>
            <w:vAlign w:val="bottom"/>
            <w:hideMark/>
          </w:tcPr>
          <w:p w14:paraId="090D9EE8"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6 (14.3%)</w:t>
            </w:r>
          </w:p>
        </w:tc>
        <w:tc>
          <w:tcPr>
            <w:tcW w:w="2324" w:type="dxa"/>
            <w:tcBorders>
              <w:top w:val="nil"/>
              <w:left w:val="nil"/>
              <w:bottom w:val="nil"/>
              <w:right w:val="single" w:sz="8" w:space="0" w:color="auto"/>
            </w:tcBorders>
            <w:shd w:val="clear" w:color="auto" w:fill="auto"/>
            <w:noWrap/>
            <w:vAlign w:val="bottom"/>
            <w:hideMark/>
          </w:tcPr>
          <w:p w14:paraId="6A95CEB2"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9 (39.1%)</w:t>
            </w:r>
          </w:p>
        </w:tc>
      </w:tr>
      <w:tr w:rsidR="00740115" w:rsidRPr="00AE4DC5" w14:paraId="3C86316A" w14:textId="77777777" w:rsidTr="00BB2A0C">
        <w:trPr>
          <w:trHeight w:val="20"/>
          <w:jc w:val="center"/>
        </w:trPr>
        <w:tc>
          <w:tcPr>
            <w:tcW w:w="4139" w:type="dxa"/>
            <w:tcBorders>
              <w:top w:val="nil"/>
              <w:left w:val="single" w:sz="8" w:space="0" w:color="auto"/>
              <w:bottom w:val="nil"/>
              <w:right w:val="nil"/>
            </w:tcBorders>
            <w:shd w:val="clear" w:color="auto" w:fill="auto"/>
            <w:noWrap/>
            <w:vAlign w:val="center"/>
            <w:hideMark/>
          </w:tcPr>
          <w:p w14:paraId="52ACC02C" w14:textId="77777777" w:rsidR="00740115" w:rsidRPr="00AE4DC5" w:rsidRDefault="00740115" w:rsidP="00740115">
            <w:pPr>
              <w:spacing w:line="240" w:lineRule="auto"/>
              <w:rPr>
                <w:rFonts w:ascii="Calibri Light" w:eastAsia="Times New Roman" w:hAnsi="Calibri Light" w:cs="Calibri Light"/>
                <w:color w:val="000000"/>
                <w:sz w:val="16"/>
                <w:szCs w:val="16"/>
                <w:lang w:val="en-US" w:eastAsia="pt-PT"/>
              </w:rPr>
            </w:pPr>
            <w:r w:rsidRPr="00AE4DC5">
              <w:rPr>
                <w:rFonts w:ascii="Calibri Light" w:eastAsia="Times New Roman" w:hAnsi="Calibri Light" w:cs="Calibri Light"/>
                <w:color w:val="000000"/>
                <w:sz w:val="16"/>
                <w:szCs w:val="16"/>
                <w:lang w:val="en-US" w:eastAsia="pt-PT"/>
              </w:rPr>
              <w:t>Diabetes</w:t>
            </w:r>
          </w:p>
        </w:tc>
        <w:tc>
          <w:tcPr>
            <w:tcW w:w="2324" w:type="dxa"/>
            <w:tcBorders>
              <w:top w:val="nil"/>
              <w:left w:val="nil"/>
              <w:bottom w:val="nil"/>
              <w:right w:val="nil"/>
            </w:tcBorders>
            <w:shd w:val="clear" w:color="auto" w:fill="auto"/>
            <w:noWrap/>
            <w:vAlign w:val="bottom"/>
            <w:hideMark/>
          </w:tcPr>
          <w:p w14:paraId="485527A2"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2 (4.8%)</w:t>
            </w:r>
          </w:p>
        </w:tc>
        <w:tc>
          <w:tcPr>
            <w:tcW w:w="2324" w:type="dxa"/>
            <w:tcBorders>
              <w:top w:val="nil"/>
              <w:left w:val="nil"/>
              <w:bottom w:val="nil"/>
              <w:right w:val="single" w:sz="8" w:space="0" w:color="auto"/>
            </w:tcBorders>
            <w:shd w:val="clear" w:color="auto" w:fill="auto"/>
            <w:noWrap/>
            <w:vAlign w:val="bottom"/>
            <w:hideMark/>
          </w:tcPr>
          <w:p w14:paraId="05DE4EEB"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4 (17.4%)</w:t>
            </w:r>
          </w:p>
        </w:tc>
      </w:tr>
      <w:tr w:rsidR="00740115" w:rsidRPr="00AE4DC5" w14:paraId="183957DA" w14:textId="77777777" w:rsidTr="00BB2A0C">
        <w:trPr>
          <w:trHeight w:val="20"/>
          <w:jc w:val="center"/>
        </w:trPr>
        <w:tc>
          <w:tcPr>
            <w:tcW w:w="4139" w:type="dxa"/>
            <w:tcBorders>
              <w:top w:val="nil"/>
              <w:left w:val="single" w:sz="8" w:space="0" w:color="auto"/>
              <w:bottom w:val="nil"/>
              <w:right w:val="nil"/>
            </w:tcBorders>
            <w:shd w:val="clear" w:color="auto" w:fill="auto"/>
            <w:noWrap/>
            <w:vAlign w:val="center"/>
            <w:hideMark/>
          </w:tcPr>
          <w:p w14:paraId="03227126" w14:textId="77777777" w:rsidR="00740115" w:rsidRPr="00AE4DC5" w:rsidRDefault="00740115" w:rsidP="00740115">
            <w:pPr>
              <w:spacing w:line="240" w:lineRule="auto"/>
              <w:rPr>
                <w:rFonts w:ascii="Calibri Light" w:eastAsia="Times New Roman" w:hAnsi="Calibri Light" w:cs="Calibri Light"/>
                <w:color w:val="000000"/>
                <w:sz w:val="16"/>
                <w:szCs w:val="16"/>
                <w:lang w:val="en-US" w:eastAsia="pt-PT"/>
              </w:rPr>
            </w:pPr>
            <w:r w:rsidRPr="00AE4DC5">
              <w:rPr>
                <w:rFonts w:ascii="Calibri Light" w:eastAsia="Times New Roman" w:hAnsi="Calibri Light" w:cs="Calibri Light"/>
                <w:color w:val="000000"/>
                <w:sz w:val="16"/>
                <w:szCs w:val="16"/>
                <w:lang w:val="en-US" w:eastAsia="pt-PT"/>
              </w:rPr>
              <w:t>Sleep apnea</w:t>
            </w:r>
          </w:p>
        </w:tc>
        <w:tc>
          <w:tcPr>
            <w:tcW w:w="2324" w:type="dxa"/>
            <w:tcBorders>
              <w:top w:val="nil"/>
              <w:left w:val="nil"/>
              <w:bottom w:val="nil"/>
              <w:right w:val="nil"/>
            </w:tcBorders>
            <w:shd w:val="clear" w:color="auto" w:fill="auto"/>
            <w:noWrap/>
            <w:vAlign w:val="bottom"/>
            <w:hideMark/>
          </w:tcPr>
          <w:p w14:paraId="5B5B76C6"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3 (7.1%)</w:t>
            </w:r>
          </w:p>
        </w:tc>
        <w:tc>
          <w:tcPr>
            <w:tcW w:w="2324" w:type="dxa"/>
            <w:tcBorders>
              <w:top w:val="nil"/>
              <w:left w:val="nil"/>
              <w:bottom w:val="nil"/>
              <w:right w:val="single" w:sz="8" w:space="0" w:color="auto"/>
            </w:tcBorders>
            <w:shd w:val="clear" w:color="auto" w:fill="auto"/>
            <w:noWrap/>
            <w:vAlign w:val="bottom"/>
            <w:hideMark/>
          </w:tcPr>
          <w:p w14:paraId="5EE87E12"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5 (21.7%)</w:t>
            </w:r>
          </w:p>
        </w:tc>
      </w:tr>
      <w:tr w:rsidR="00740115" w:rsidRPr="00AE4DC5" w14:paraId="6FC8C0A4" w14:textId="77777777" w:rsidTr="00BB2A0C">
        <w:trPr>
          <w:trHeight w:val="20"/>
          <w:jc w:val="center"/>
        </w:trPr>
        <w:tc>
          <w:tcPr>
            <w:tcW w:w="4139" w:type="dxa"/>
            <w:tcBorders>
              <w:top w:val="nil"/>
              <w:left w:val="single" w:sz="8" w:space="0" w:color="auto"/>
              <w:bottom w:val="nil"/>
              <w:right w:val="nil"/>
            </w:tcBorders>
            <w:shd w:val="clear" w:color="auto" w:fill="auto"/>
            <w:noWrap/>
            <w:vAlign w:val="center"/>
            <w:hideMark/>
          </w:tcPr>
          <w:p w14:paraId="6AEBFB78" w14:textId="77777777" w:rsidR="00740115" w:rsidRPr="00AE4DC5" w:rsidRDefault="00740115" w:rsidP="00740115">
            <w:pPr>
              <w:spacing w:line="240" w:lineRule="auto"/>
              <w:rPr>
                <w:rFonts w:ascii="Calibri Light" w:eastAsia="Times New Roman" w:hAnsi="Calibri Light" w:cs="Calibri Light"/>
                <w:color w:val="000000"/>
                <w:sz w:val="16"/>
                <w:szCs w:val="16"/>
                <w:lang w:val="en-US" w:eastAsia="pt-PT"/>
              </w:rPr>
            </w:pPr>
            <w:r w:rsidRPr="00AE4DC5">
              <w:rPr>
                <w:rFonts w:ascii="Calibri Light" w:eastAsia="Times New Roman" w:hAnsi="Calibri Light" w:cs="Calibri Light"/>
                <w:color w:val="000000"/>
                <w:sz w:val="16"/>
                <w:szCs w:val="16"/>
                <w:lang w:val="en-US" w:eastAsia="pt-PT"/>
              </w:rPr>
              <w:t>Cataracts</w:t>
            </w:r>
          </w:p>
        </w:tc>
        <w:tc>
          <w:tcPr>
            <w:tcW w:w="2324" w:type="dxa"/>
            <w:tcBorders>
              <w:top w:val="nil"/>
              <w:left w:val="nil"/>
              <w:bottom w:val="nil"/>
              <w:right w:val="nil"/>
            </w:tcBorders>
            <w:shd w:val="clear" w:color="auto" w:fill="auto"/>
            <w:noWrap/>
            <w:vAlign w:val="bottom"/>
            <w:hideMark/>
          </w:tcPr>
          <w:p w14:paraId="7A1B0A0D"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4 (9.5%)</w:t>
            </w:r>
          </w:p>
        </w:tc>
        <w:tc>
          <w:tcPr>
            <w:tcW w:w="2324" w:type="dxa"/>
            <w:tcBorders>
              <w:top w:val="nil"/>
              <w:left w:val="nil"/>
              <w:bottom w:val="nil"/>
              <w:right w:val="single" w:sz="8" w:space="0" w:color="auto"/>
            </w:tcBorders>
            <w:shd w:val="clear" w:color="auto" w:fill="auto"/>
            <w:noWrap/>
            <w:vAlign w:val="bottom"/>
            <w:hideMark/>
          </w:tcPr>
          <w:p w14:paraId="7A5D7E71" w14:textId="7A7AE07D"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3 (13</w:t>
            </w:r>
            <w:r w:rsidR="00FC7068" w:rsidRPr="00AE4DC5">
              <w:rPr>
                <w:rFonts w:asciiTheme="majorHAnsi" w:eastAsiaTheme="minorHAnsi" w:hAnsiTheme="majorHAnsi" w:cstheme="majorHAnsi"/>
                <w:color w:val="000000"/>
                <w:sz w:val="16"/>
                <w:szCs w:val="16"/>
                <w:lang w:val="en-US"/>
              </w:rPr>
              <w:t>.0</w:t>
            </w:r>
            <w:r w:rsidRPr="00AE4DC5">
              <w:rPr>
                <w:rFonts w:asciiTheme="majorHAnsi" w:eastAsiaTheme="minorHAnsi" w:hAnsiTheme="majorHAnsi" w:cstheme="majorHAnsi"/>
                <w:color w:val="000000"/>
                <w:sz w:val="16"/>
                <w:szCs w:val="16"/>
                <w:lang w:val="en-US"/>
              </w:rPr>
              <w:t>%)</w:t>
            </w:r>
          </w:p>
        </w:tc>
      </w:tr>
      <w:tr w:rsidR="00740115" w:rsidRPr="00AE4DC5" w14:paraId="65D009F1" w14:textId="77777777" w:rsidTr="00BB2A0C">
        <w:trPr>
          <w:trHeight w:val="20"/>
          <w:jc w:val="center"/>
        </w:trPr>
        <w:tc>
          <w:tcPr>
            <w:tcW w:w="4139" w:type="dxa"/>
            <w:tcBorders>
              <w:top w:val="nil"/>
              <w:left w:val="single" w:sz="8" w:space="0" w:color="auto"/>
              <w:bottom w:val="nil"/>
              <w:right w:val="nil"/>
            </w:tcBorders>
            <w:shd w:val="clear" w:color="auto" w:fill="auto"/>
            <w:noWrap/>
            <w:vAlign w:val="center"/>
            <w:hideMark/>
          </w:tcPr>
          <w:p w14:paraId="03933CB5" w14:textId="77777777" w:rsidR="00740115" w:rsidRPr="00AE4DC5" w:rsidRDefault="00740115" w:rsidP="00740115">
            <w:pPr>
              <w:spacing w:line="240" w:lineRule="auto"/>
              <w:rPr>
                <w:rFonts w:ascii="Calibri Light" w:eastAsia="Times New Roman" w:hAnsi="Calibri Light" w:cs="Calibri Light"/>
                <w:color w:val="000000"/>
                <w:sz w:val="16"/>
                <w:szCs w:val="16"/>
                <w:lang w:val="en-US" w:eastAsia="pt-PT"/>
              </w:rPr>
            </w:pPr>
            <w:r w:rsidRPr="00AE4DC5">
              <w:rPr>
                <w:rFonts w:ascii="Calibri Light" w:eastAsia="Times New Roman" w:hAnsi="Calibri Light" w:cs="Calibri Light"/>
                <w:color w:val="000000"/>
                <w:sz w:val="16"/>
                <w:szCs w:val="16"/>
                <w:lang w:val="en-US" w:eastAsia="pt-PT"/>
              </w:rPr>
              <w:t>Gastrointestinal Disease</w:t>
            </w:r>
          </w:p>
        </w:tc>
        <w:tc>
          <w:tcPr>
            <w:tcW w:w="2324" w:type="dxa"/>
            <w:tcBorders>
              <w:top w:val="nil"/>
              <w:left w:val="nil"/>
              <w:bottom w:val="nil"/>
              <w:right w:val="nil"/>
            </w:tcBorders>
            <w:shd w:val="clear" w:color="auto" w:fill="auto"/>
            <w:noWrap/>
            <w:vAlign w:val="bottom"/>
            <w:hideMark/>
          </w:tcPr>
          <w:p w14:paraId="428C993C"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5 (11.9%)</w:t>
            </w:r>
          </w:p>
        </w:tc>
        <w:tc>
          <w:tcPr>
            <w:tcW w:w="2324" w:type="dxa"/>
            <w:tcBorders>
              <w:top w:val="nil"/>
              <w:left w:val="nil"/>
              <w:bottom w:val="nil"/>
              <w:right w:val="single" w:sz="8" w:space="0" w:color="auto"/>
            </w:tcBorders>
            <w:shd w:val="clear" w:color="auto" w:fill="auto"/>
            <w:noWrap/>
            <w:vAlign w:val="bottom"/>
            <w:hideMark/>
          </w:tcPr>
          <w:p w14:paraId="26DF7674" w14:textId="2F245251"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3 (13</w:t>
            </w:r>
            <w:r w:rsidR="00FC7068" w:rsidRPr="00AE4DC5">
              <w:rPr>
                <w:rFonts w:asciiTheme="majorHAnsi" w:eastAsiaTheme="minorHAnsi" w:hAnsiTheme="majorHAnsi" w:cstheme="majorHAnsi"/>
                <w:color w:val="000000"/>
                <w:sz w:val="16"/>
                <w:szCs w:val="16"/>
                <w:lang w:val="en-US"/>
              </w:rPr>
              <w:t>.0</w:t>
            </w:r>
            <w:r w:rsidRPr="00AE4DC5">
              <w:rPr>
                <w:rFonts w:asciiTheme="majorHAnsi" w:eastAsiaTheme="minorHAnsi" w:hAnsiTheme="majorHAnsi" w:cstheme="majorHAnsi"/>
                <w:color w:val="000000"/>
                <w:sz w:val="16"/>
                <w:szCs w:val="16"/>
                <w:lang w:val="en-US"/>
              </w:rPr>
              <w:t>%)</w:t>
            </w:r>
          </w:p>
        </w:tc>
      </w:tr>
      <w:tr w:rsidR="00740115" w:rsidRPr="00AE4DC5" w14:paraId="341C5886" w14:textId="77777777" w:rsidTr="00BB2A0C">
        <w:trPr>
          <w:trHeight w:val="20"/>
          <w:jc w:val="center"/>
        </w:trPr>
        <w:tc>
          <w:tcPr>
            <w:tcW w:w="4139" w:type="dxa"/>
            <w:tcBorders>
              <w:top w:val="nil"/>
              <w:left w:val="single" w:sz="8" w:space="0" w:color="auto"/>
              <w:bottom w:val="nil"/>
              <w:right w:val="nil"/>
            </w:tcBorders>
            <w:shd w:val="clear" w:color="auto" w:fill="auto"/>
            <w:noWrap/>
            <w:vAlign w:val="center"/>
            <w:hideMark/>
          </w:tcPr>
          <w:p w14:paraId="791A5F87" w14:textId="77777777" w:rsidR="00740115" w:rsidRPr="00AE4DC5" w:rsidRDefault="00740115" w:rsidP="00740115">
            <w:pPr>
              <w:spacing w:line="240" w:lineRule="auto"/>
              <w:rPr>
                <w:rFonts w:ascii="Calibri Light" w:eastAsia="Times New Roman" w:hAnsi="Calibri Light" w:cs="Calibri Light"/>
                <w:color w:val="000000"/>
                <w:sz w:val="16"/>
                <w:szCs w:val="16"/>
                <w:lang w:val="en-US" w:eastAsia="pt-PT"/>
              </w:rPr>
            </w:pPr>
            <w:r w:rsidRPr="00AE4DC5">
              <w:rPr>
                <w:rFonts w:ascii="Calibri Light" w:eastAsia="Times New Roman" w:hAnsi="Calibri Light" w:cs="Calibri Light"/>
                <w:color w:val="000000"/>
                <w:sz w:val="16"/>
                <w:szCs w:val="16"/>
                <w:lang w:val="en-US" w:eastAsia="pt-PT"/>
              </w:rPr>
              <w:t>Arthritis</w:t>
            </w:r>
          </w:p>
        </w:tc>
        <w:tc>
          <w:tcPr>
            <w:tcW w:w="2324" w:type="dxa"/>
            <w:tcBorders>
              <w:top w:val="nil"/>
              <w:left w:val="nil"/>
              <w:bottom w:val="nil"/>
              <w:right w:val="nil"/>
            </w:tcBorders>
            <w:shd w:val="clear" w:color="auto" w:fill="auto"/>
            <w:noWrap/>
            <w:vAlign w:val="bottom"/>
            <w:hideMark/>
          </w:tcPr>
          <w:p w14:paraId="03CFBD5A"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1 (2.4%)</w:t>
            </w:r>
          </w:p>
        </w:tc>
        <w:tc>
          <w:tcPr>
            <w:tcW w:w="2324" w:type="dxa"/>
            <w:tcBorders>
              <w:top w:val="nil"/>
              <w:left w:val="nil"/>
              <w:bottom w:val="nil"/>
              <w:right w:val="single" w:sz="8" w:space="0" w:color="auto"/>
            </w:tcBorders>
            <w:shd w:val="clear" w:color="auto" w:fill="auto"/>
            <w:noWrap/>
            <w:vAlign w:val="bottom"/>
            <w:hideMark/>
          </w:tcPr>
          <w:p w14:paraId="539FCA2F"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6 (26.1%)</w:t>
            </w:r>
          </w:p>
        </w:tc>
      </w:tr>
      <w:tr w:rsidR="00740115" w:rsidRPr="00AE4DC5" w14:paraId="63D80D73" w14:textId="77777777" w:rsidTr="00BB2A0C">
        <w:trPr>
          <w:trHeight w:val="20"/>
          <w:jc w:val="center"/>
        </w:trPr>
        <w:tc>
          <w:tcPr>
            <w:tcW w:w="4139" w:type="dxa"/>
            <w:tcBorders>
              <w:top w:val="nil"/>
              <w:left w:val="single" w:sz="8" w:space="0" w:color="auto"/>
              <w:bottom w:val="nil"/>
              <w:right w:val="nil"/>
            </w:tcBorders>
            <w:shd w:val="clear" w:color="auto" w:fill="auto"/>
            <w:noWrap/>
            <w:vAlign w:val="center"/>
            <w:hideMark/>
          </w:tcPr>
          <w:p w14:paraId="3E7CD24A" w14:textId="77777777" w:rsidR="00740115" w:rsidRPr="00AE4DC5" w:rsidRDefault="00740115" w:rsidP="00740115">
            <w:pPr>
              <w:spacing w:line="240" w:lineRule="auto"/>
              <w:rPr>
                <w:rFonts w:ascii="Calibri Light" w:eastAsia="Times New Roman" w:hAnsi="Calibri Light" w:cs="Calibri Light"/>
                <w:color w:val="000000"/>
                <w:sz w:val="16"/>
                <w:szCs w:val="16"/>
                <w:lang w:val="en-US" w:eastAsia="pt-PT"/>
              </w:rPr>
            </w:pPr>
            <w:r w:rsidRPr="00AE4DC5">
              <w:rPr>
                <w:rFonts w:ascii="Calibri Light" w:eastAsia="Times New Roman" w:hAnsi="Calibri Light" w:cs="Calibri Light"/>
                <w:color w:val="000000"/>
                <w:sz w:val="16"/>
                <w:szCs w:val="16"/>
                <w:lang w:val="en-US" w:eastAsia="pt-PT"/>
              </w:rPr>
              <w:t xml:space="preserve">Glaucoma </w:t>
            </w:r>
          </w:p>
        </w:tc>
        <w:tc>
          <w:tcPr>
            <w:tcW w:w="2324" w:type="dxa"/>
            <w:tcBorders>
              <w:top w:val="nil"/>
              <w:left w:val="nil"/>
              <w:right w:val="nil"/>
            </w:tcBorders>
            <w:shd w:val="clear" w:color="auto" w:fill="auto"/>
            <w:noWrap/>
            <w:vAlign w:val="bottom"/>
            <w:hideMark/>
          </w:tcPr>
          <w:p w14:paraId="559C30E8" w14:textId="7AABECA9"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0 (0</w:t>
            </w:r>
            <w:r w:rsidR="00FC7068" w:rsidRPr="00AE4DC5">
              <w:rPr>
                <w:rFonts w:asciiTheme="majorHAnsi" w:eastAsiaTheme="minorHAnsi" w:hAnsiTheme="majorHAnsi" w:cstheme="majorHAnsi"/>
                <w:color w:val="000000"/>
                <w:sz w:val="16"/>
                <w:szCs w:val="16"/>
                <w:lang w:val="en-US"/>
              </w:rPr>
              <w:t>.0</w:t>
            </w:r>
            <w:r w:rsidRPr="00AE4DC5">
              <w:rPr>
                <w:rFonts w:asciiTheme="majorHAnsi" w:eastAsiaTheme="minorHAnsi" w:hAnsiTheme="majorHAnsi" w:cstheme="majorHAnsi"/>
                <w:color w:val="000000"/>
                <w:sz w:val="16"/>
                <w:szCs w:val="16"/>
                <w:lang w:val="en-US"/>
              </w:rPr>
              <w:t>%)</w:t>
            </w:r>
          </w:p>
        </w:tc>
        <w:tc>
          <w:tcPr>
            <w:tcW w:w="2324" w:type="dxa"/>
            <w:tcBorders>
              <w:top w:val="nil"/>
              <w:left w:val="nil"/>
              <w:right w:val="single" w:sz="8" w:space="0" w:color="auto"/>
            </w:tcBorders>
            <w:shd w:val="clear" w:color="auto" w:fill="auto"/>
            <w:noWrap/>
            <w:vAlign w:val="bottom"/>
            <w:hideMark/>
          </w:tcPr>
          <w:p w14:paraId="640D0DD2"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2 (8.7%)</w:t>
            </w:r>
          </w:p>
        </w:tc>
      </w:tr>
      <w:tr w:rsidR="00740115" w:rsidRPr="00AE4DC5" w14:paraId="6A49C013" w14:textId="77777777" w:rsidTr="00BB2A0C">
        <w:trPr>
          <w:trHeight w:val="20"/>
          <w:jc w:val="center"/>
        </w:trPr>
        <w:tc>
          <w:tcPr>
            <w:tcW w:w="4139" w:type="dxa"/>
            <w:tcBorders>
              <w:top w:val="nil"/>
              <w:left w:val="single" w:sz="8" w:space="0" w:color="auto"/>
              <w:bottom w:val="nil"/>
              <w:right w:val="nil"/>
            </w:tcBorders>
            <w:shd w:val="clear" w:color="auto" w:fill="auto"/>
            <w:noWrap/>
            <w:vAlign w:val="center"/>
            <w:hideMark/>
          </w:tcPr>
          <w:p w14:paraId="7288DEA6" w14:textId="35273C33" w:rsidR="00740115" w:rsidRPr="00AE4DC5" w:rsidRDefault="00740115" w:rsidP="00740115">
            <w:pPr>
              <w:spacing w:line="240" w:lineRule="auto"/>
              <w:rPr>
                <w:rFonts w:ascii="Calibri Light" w:eastAsia="Times New Roman" w:hAnsi="Calibri Light" w:cs="Calibri Light"/>
                <w:color w:val="000000"/>
                <w:sz w:val="16"/>
                <w:szCs w:val="16"/>
                <w:lang w:val="en-US" w:eastAsia="pt-PT"/>
              </w:rPr>
            </w:pPr>
            <w:r w:rsidRPr="00AE4DC5">
              <w:rPr>
                <w:rFonts w:ascii="Calibri Light" w:eastAsia="Times New Roman" w:hAnsi="Calibri Light" w:cs="Calibri Light"/>
                <w:color w:val="000000"/>
                <w:sz w:val="16"/>
                <w:szCs w:val="16"/>
                <w:lang w:val="en-US" w:eastAsia="pt-PT"/>
              </w:rPr>
              <w:t>Other</w:t>
            </w:r>
          </w:p>
        </w:tc>
        <w:tc>
          <w:tcPr>
            <w:tcW w:w="2324" w:type="dxa"/>
            <w:tcBorders>
              <w:top w:val="nil"/>
              <w:left w:val="nil"/>
              <w:bottom w:val="single" w:sz="8" w:space="0" w:color="auto"/>
              <w:right w:val="nil"/>
            </w:tcBorders>
            <w:shd w:val="clear" w:color="auto" w:fill="auto"/>
            <w:noWrap/>
            <w:vAlign w:val="bottom"/>
            <w:hideMark/>
          </w:tcPr>
          <w:p w14:paraId="07D27966" w14:textId="7AA2D203"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0 (0</w:t>
            </w:r>
            <w:r w:rsidR="00FC7068" w:rsidRPr="00AE4DC5">
              <w:rPr>
                <w:rFonts w:asciiTheme="majorHAnsi" w:eastAsiaTheme="minorHAnsi" w:hAnsiTheme="majorHAnsi" w:cstheme="majorHAnsi"/>
                <w:color w:val="000000"/>
                <w:sz w:val="16"/>
                <w:szCs w:val="16"/>
                <w:lang w:val="en-US"/>
              </w:rPr>
              <w:t>.0</w:t>
            </w:r>
            <w:r w:rsidRPr="00AE4DC5">
              <w:rPr>
                <w:rFonts w:asciiTheme="majorHAnsi" w:eastAsiaTheme="minorHAnsi" w:hAnsiTheme="majorHAnsi" w:cstheme="majorHAnsi"/>
                <w:color w:val="000000"/>
                <w:sz w:val="16"/>
                <w:szCs w:val="16"/>
                <w:lang w:val="en-US"/>
              </w:rPr>
              <w:t>%)</w:t>
            </w:r>
          </w:p>
        </w:tc>
        <w:tc>
          <w:tcPr>
            <w:tcW w:w="2324" w:type="dxa"/>
            <w:tcBorders>
              <w:top w:val="nil"/>
              <w:left w:val="nil"/>
              <w:bottom w:val="single" w:sz="8" w:space="0" w:color="auto"/>
              <w:right w:val="single" w:sz="8" w:space="0" w:color="auto"/>
            </w:tcBorders>
            <w:shd w:val="clear" w:color="auto" w:fill="auto"/>
            <w:noWrap/>
            <w:vAlign w:val="bottom"/>
            <w:hideMark/>
          </w:tcPr>
          <w:p w14:paraId="3087F188"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1 (4.3%)</w:t>
            </w:r>
          </w:p>
        </w:tc>
      </w:tr>
      <w:tr w:rsidR="00740115" w:rsidRPr="00AE4DC5" w14:paraId="53066FFC" w14:textId="77777777" w:rsidTr="00BB2A0C">
        <w:trPr>
          <w:trHeight w:val="20"/>
          <w:jc w:val="center"/>
        </w:trPr>
        <w:tc>
          <w:tcPr>
            <w:tcW w:w="4139" w:type="dxa"/>
            <w:tcBorders>
              <w:top w:val="single" w:sz="8" w:space="0" w:color="auto"/>
              <w:left w:val="single" w:sz="8" w:space="0" w:color="auto"/>
              <w:right w:val="nil"/>
            </w:tcBorders>
            <w:shd w:val="clear" w:color="auto" w:fill="auto"/>
            <w:vAlign w:val="center"/>
            <w:hideMark/>
          </w:tcPr>
          <w:p w14:paraId="2A5A98A8" w14:textId="3D6A00B7" w:rsidR="00740115" w:rsidRPr="00AE4DC5" w:rsidRDefault="00740115" w:rsidP="00740115">
            <w:pPr>
              <w:spacing w:line="240" w:lineRule="auto"/>
              <w:jc w:val="left"/>
              <w:rPr>
                <w:rFonts w:ascii="Calibri" w:eastAsia="Times New Roman" w:hAnsi="Calibri" w:cs="Calibri"/>
                <w:b/>
                <w:bCs/>
                <w:color w:val="000000"/>
                <w:sz w:val="16"/>
                <w:szCs w:val="16"/>
                <w:lang w:val="en-US" w:eastAsia="pt-PT"/>
              </w:rPr>
            </w:pPr>
            <w:r w:rsidRPr="00AE4DC5">
              <w:rPr>
                <w:rFonts w:ascii="Calibri" w:eastAsia="Times New Roman" w:hAnsi="Calibri" w:cs="Calibri"/>
                <w:b/>
                <w:bCs/>
                <w:color w:val="000000"/>
                <w:sz w:val="16"/>
                <w:szCs w:val="16"/>
                <w:lang w:val="en-US" w:eastAsia="pt-PT"/>
              </w:rPr>
              <w:t>Routine medical appointments</w:t>
            </w:r>
            <w:r w:rsidR="002E2E88" w:rsidRPr="00AE4DC5">
              <w:rPr>
                <w:rFonts w:ascii="Calibri" w:eastAsia="Times New Roman" w:hAnsi="Calibri" w:cs="Calibri"/>
                <w:b/>
                <w:bCs/>
                <w:color w:val="000000"/>
                <w:sz w:val="16"/>
                <w:szCs w:val="16"/>
                <w:lang w:val="en-US" w:eastAsia="pt-PT"/>
              </w:rPr>
              <w:t>‡</w:t>
            </w:r>
            <w:r w:rsidRPr="00AE4DC5">
              <w:rPr>
                <w:rFonts w:ascii="Calibri" w:eastAsia="Times New Roman" w:hAnsi="Calibri" w:cs="Calibri"/>
                <w:b/>
                <w:bCs/>
                <w:color w:val="000000"/>
                <w:sz w:val="16"/>
                <w:szCs w:val="16"/>
                <w:lang w:val="en-US" w:eastAsia="pt-PT"/>
              </w:rPr>
              <w:t>, n (%)</w:t>
            </w:r>
          </w:p>
        </w:tc>
        <w:tc>
          <w:tcPr>
            <w:tcW w:w="2324" w:type="dxa"/>
            <w:tcBorders>
              <w:top w:val="single" w:sz="8" w:space="0" w:color="auto"/>
              <w:left w:val="nil"/>
              <w:right w:val="nil"/>
            </w:tcBorders>
            <w:shd w:val="clear" w:color="auto" w:fill="auto"/>
            <w:noWrap/>
            <w:vAlign w:val="bottom"/>
            <w:hideMark/>
          </w:tcPr>
          <w:p w14:paraId="709F3341" w14:textId="77777777" w:rsidR="00740115" w:rsidRPr="00AE4DC5" w:rsidRDefault="00740115" w:rsidP="00740115">
            <w:pPr>
              <w:jc w:val="center"/>
              <w:rPr>
                <w:rFonts w:asciiTheme="majorHAnsi" w:eastAsiaTheme="minorHAnsi" w:hAnsiTheme="majorHAnsi" w:cstheme="majorHAnsi"/>
                <w:color w:val="000000"/>
                <w:sz w:val="16"/>
                <w:szCs w:val="16"/>
                <w:lang w:val="en-US"/>
              </w:rPr>
            </w:pPr>
          </w:p>
        </w:tc>
        <w:tc>
          <w:tcPr>
            <w:tcW w:w="2324" w:type="dxa"/>
            <w:tcBorders>
              <w:top w:val="single" w:sz="8" w:space="0" w:color="auto"/>
              <w:left w:val="nil"/>
              <w:right w:val="single" w:sz="8" w:space="0" w:color="auto"/>
            </w:tcBorders>
            <w:shd w:val="clear" w:color="auto" w:fill="auto"/>
            <w:noWrap/>
            <w:vAlign w:val="bottom"/>
            <w:hideMark/>
          </w:tcPr>
          <w:p w14:paraId="267E36BB" w14:textId="77777777" w:rsidR="00740115" w:rsidRPr="00AE4DC5" w:rsidRDefault="00740115" w:rsidP="00740115">
            <w:pPr>
              <w:jc w:val="center"/>
              <w:rPr>
                <w:rFonts w:asciiTheme="majorHAnsi" w:eastAsiaTheme="minorHAnsi" w:hAnsiTheme="majorHAnsi" w:cstheme="majorHAnsi"/>
                <w:color w:val="000000"/>
                <w:sz w:val="16"/>
                <w:szCs w:val="16"/>
                <w:lang w:val="en-US"/>
              </w:rPr>
            </w:pPr>
          </w:p>
        </w:tc>
      </w:tr>
      <w:tr w:rsidR="00740115" w:rsidRPr="00AE4DC5" w14:paraId="6D60DB73" w14:textId="77777777" w:rsidTr="00BB2A0C">
        <w:trPr>
          <w:trHeight w:val="20"/>
          <w:jc w:val="center"/>
        </w:trPr>
        <w:tc>
          <w:tcPr>
            <w:tcW w:w="4139" w:type="dxa"/>
            <w:tcBorders>
              <w:top w:val="nil"/>
              <w:left w:val="single" w:sz="8" w:space="0" w:color="auto"/>
              <w:bottom w:val="single" w:sz="8" w:space="0" w:color="auto"/>
              <w:right w:val="nil"/>
            </w:tcBorders>
            <w:shd w:val="clear" w:color="auto" w:fill="auto"/>
            <w:vAlign w:val="center"/>
            <w:hideMark/>
          </w:tcPr>
          <w:p w14:paraId="3902FE66" w14:textId="77777777" w:rsidR="00740115" w:rsidRPr="00AE4DC5" w:rsidRDefault="00740115" w:rsidP="00740115">
            <w:pPr>
              <w:spacing w:line="240" w:lineRule="auto"/>
              <w:jc w:val="left"/>
              <w:rPr>
                <w:rFonts w:ascii="Calibri Light" w:eastAsia="Times New Roman" w:hAnsi="Calibri Light" w:cs="Calibri Light"/>
                <w:color w:val="000000"/>
                <w:sz w:val="16"/>
                <w:szCs w:val="16"/>
                <w:lang w:val="en-US" w:eastAsia="pt-PT"/>
              </w:rPr>
            </w:pPr>
            <w:r w:rsidRPr="00AE4DC5">
              <w:rPr>
                <w:rFonts w:ascii="Calibri Light" w:eastAsia="Times New Roman" w:hAnsi="Calibri Light" w:cs="Calibri Light"/>
                <w:color w:val="000000"/>
                <w:sz w:val="16"/>
                <w:szCs w:val="16"/>
                <w:lang w:val="en-US" w:eastAsia="pt-PT"/>
              </w:rPr>
              <w:lastRenderedPageBreak/>
              <w:t>Yes</w:t>
            </w:r>
          </w:p>
        </w:tc>
        <w:tc>
          <w:tcPr>
            <w:tcW w:w="2324" w:type="dxa"/>
            <w:tcBorders>
              <w:top w:val="nil"/>
              <w:left w:val="nil"/>
              <w:bottom w:val="single" w:sz="8" w:space="0" w:color="auto"/>
              <w:right w:val="nil"/>
            </w:tcBorders>
            <w:shd w:val="clear" w:color="auto" w:fill="auto"/>
            <w:noWrap/>
            <w:vAlign w:val="bottom"/>
            <w:hideMark/>
          </w:tcPr>
          <w:p w14:paraId="42E65F74"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27 (67.5%)</w:t>
            </w:r>
          </w:p>
        </w:tc>
        <w:tc>
          <w:tcPr>
            <w:tcW w:w="2324" w:type="dxa"/>
            <w:tcBorders>
              <w:top w:val="nil"/>
              <w:left w:val="nil"/>
              <w:bottom w:val="single" w:sz="8" w:space="0" w:color="auto"/>
              <w:right w:val="single" w:sz="8" w:space="0" w:color="auto"/>
            </w:tcBorders>
            <w:shd w:val="clear" w:color="auto" w:fill="auto"/>
            <w:noWrap/>
            <w:vAlign w:val="bottom"/>
            <w:hideMark/>
          </w:tcPr>
          <w:p w14:paraId="1AE8BB29"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13 (65%)</w:t>
            </w:r>
          </w:p>
        </w:tc>
      </w:tr>
      <w:tr w:rsidR="00740115" w:rsidRPr="00AE4DC5" w14:paraId="2891614D" w14:textId="77777777" w:rsidTr="003332D3">
        <w:trPr>
          <w:trHeight w:val="20"/>
          <w:jc w:val="center"/>
        </w:trPr>
        <w:tc>
          <w:tcPr>
            <w:tcW w:w="4139" w:type="dxa"/>
            <w:tcBorders>
              <w:top w:val="single" w:sz="8" w:space="0" w:color="auto"/>
              <w:left w:val="single" w:sz="8" w:space="0" w:color="auto"/>
              <w:bottom w:val="single" w:sz="4" w:space="0" w:color="auto"/>
              <w:right w:val="nil"/>
            </w:tcBorders>
            <w:shd w:val="clear" w:color="auto" w:fill="auto"/>
            <w:vAlign w:val="center"/>
            <w:hideMark/>
          </w:tcPr>
          <w:p w14:paraId="2596F74A" w14:textId="63744657" w:rsidR="00740115" w:rsidRPr="00AE4DC5" w:rsidRDefault="00740115" w:rsidP="00740115">
            <w:pPr>
              <w:spacing w:line="240" w:lineRule="auto"/>
              <w:jc w:val="left"/>
              <w:rPr>
                <w:rFonts w:ascii="Calibri" w:eastAsia="Times New Roman" w:hAnsi="Calibri" w:cs="Calibri"/>
                <w:b/>
                <w:bCs/>
                <w:color w:val="000000"/>
                <w:sz w:val="16"/>
                <w:szCs w:val="16"/>
                <w:lang w:val="en-US" w:eastAsia="pt-PT"/>
              </w:rPr>
            </w:pPr>
            <w:r w:rsidRPr="00AE4DC5">
              <w:rPr>
                <w:rFonts w:ascii="Calibri" w:eastAsia="Times New Roman" w:hAnsi="Calibri" w:cs="Calibri"/>
                <w:b/>
                <w:bCs/>
                <w:color w:val="000000"/>
                <w:sz w:val="16"/>
                <w:szCs w:val="16"/>
                <w:lang w:val="en-US" w:eastAsia="pt-PT"/>
              </w:rPr>
              <w:t>Number of routine medical appointments</w:t>
            </w:r>
            <w:r w:rsidR="002E2E88" w:rsidRPr="00AE4DC5">
              <w:rPr>
                <w:rFonts w:ascii="Calibri" w:eastAsia="Times New Roman" w:hAnsi="Calibri" w:cs="Calibri"/>
                <w:b/>
                <w:bCs/>
                <w:color w:val="000000"/>
                <w:sz w:val="16"/>
                <w:szCs w:val="16"/>
                <w:lang w:val="en-US" w:eastAsia="pt-PT"/>
              </w:rPr>
              <w:t>‡</w:t>
            </w:r>
            <w:r w:rsidRPr="00AE4DC5">
              <w:rPr>
                <w:rFonts w:ascii="Calibri" w:eastAsia="Times New Roman" w:hAnsi="Calibri" w:cs="Calibri"/>
                <w:b/>
                <w:bCs/>
                <w:color w:val="000000"/>
                <w:sz w:val="16"/>
                <w:szCs w:val="16"/>
                <w:lang w:val="en-US" w:eastAsia="pt-PT"/>
              </w:rPr>
              <w:t>, average (SD)</w:t>
            </w:r>
          </w:p>
        </w:tc>
        <w:tc>
          <w:tcPr>
            <w:tcW w:w="2324" w:type="dxa"/>
            <w:tcBorders>
              <w:top w:val="single" w:sz="8" w:space="0" w:color="auto"/>
              <w:left w:val="nil"/>
              <w:bottom w:val="single" w:sz="8" w:space="0" w:color="auto"/>
              <w:right w:val="nil"/>
            </w:tcBorders>
            <w:shd w:val="clear" w:color="auto" w:fill="auto"/>
            <w:noWrap/>
            <w:vAlign w:val="bottom"/>
            <w:hideMark/>
          </w:tcPr>
          <w:p w14:paraId="2B9988A8" w14:textId="39BDE6B3"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1.4 (1</w:t>
            </w:r>
            <w:r w:rsidR="00FC7068" w:rsidRPr="00AE4DC5">
              <w:rPr>
                <w:rFonts w:asciiTheme="majorHAnsi" w:eastAsiaTheme="minorHAnsi" w:hAnsiTheme="majorHAnsi" w:cstheme="majorHAnsi"/>
                <w:color w:val="000000"/>
                <w:sz w:val="16"/>
                <w:szCs w:val="16"/>
                <w:lang w:val="en-US"/>
              </w:rPr>
              <w:t>.</w:t>
            </w:r>
            <w:r w:rsidRPr="00AE4DC5">
              <w:rPr>
                <w:rFonts w:asciiTheme="majorHAnsi" w:eastAsiaTheme="minorHAnsi" w:hAnsiTheme="majorHAnsi" w:cstheme="majorHAnsi"/>
                <w:color w:val="000000"/>
                <w:sz w:val="16"/>
                <w:szCs w:val="16"/>
                <w:lang w:val="en-US"/>
              </w:rPr>
              <w:t>3%)</w:t>
            </w:r>
          </w:p>
        </w:tc>
        <w:tc>
          <w:tcPr>
            <w:tcW w:w="2324" w:type="dxa"/>
            <w:tcBorders>
              <w:top w:val="single" w:sz="8" w:space="0" w:color="auto"/>
              <w:left w:val="nil"/>
              <w:bottom w:val="single" w:sz="8" w:space="0" w:color="auto"/>
              <w:right w:val="single" w:sz="8" w:space="0" w:color="auto"/>
            </w:tcBorders>
            <w:shd w:val="clear" w:color="auto" w:fill="auto"/>
            <w:noWrap/>
            <w:vAlign w:val="bottom"/>
            <w:hideMark/>
          </w:tcPr>
          <w:p w14:paraId="3C1C6667" w14:textId="2AA84C64"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2.3 (2</w:t>
            </w:r>
            <w:r w:rsidR="00FC7068" w:rsidRPr="00AE4DC5">
              <w:rPr>
                <w:rFonts w:asciiTheme="majorHAnsi" w:eastAsiaTheme="minorHAnsi" w:hAnsiTheme="majorHAnsi" w:cstheme="majorHAnsi"/>
                <w:color w:val="000000"/>
                <w:sz w:val="16"/>
                <w:szCs w:val="16"/>
                <w:lang w:val="en-US"/>
              </w:rPr>
              <w:t>.8</w:t>
            </w:r>
            <w:r w:rsidRPr="00AE4DC5">
              <w:rPr>
                <w:rFonts w:asciiTheme="majorHAnsi" w:eastAsiaTheme="minorHAnsi" w:hAnsiTheme="majorHAnsi" w:cstheme="majorHAnsi"/>
                <w:color w:val="000000"/>
                <w:sz w:val="16"/>
                <w:szCs w:val="16"/>
                <w:lang w:val="en-US"/>
              </w:rPr>
              <w:t>%)</w:t>
            </w:r>
          </w:p>
        </w:tc>
      </w:tr>
      <w:tr w:rsidR="00740115" w:rsidRPr="00AE4DC5" w14:paraId="6A8BB4E5" w14:textId="77777777" w:rsidTr="003332D3">
        <w:trPr>
          <w:trHeight w:val="122"/>
          <w:jc w:val="center"/>
        </w:trPr>
        <w:tc>
          <w:tcPr>
            <w:tcW w:w="4139" w:type="dxa"/>
            <w:tcBorders>
              <w:top w:val="single" w:sz="4" w:space="0" w:color="auto"/>
              <w:left w:val="single" w:sz="8" w:space="0" w:color="auto"/>
              <w:bottom w:val="nil"/>
              <w:right w:val="nil"/>
            </w:tcBorders>
            <w:shd w:val="clear" w:color="auto" w:fill="auto"/>
            <w:vAlign w:val="center"/>
            <w:hideMark/>
          </w:tcPr>
          <w:p w14:paraId="6C4E7F51" w14:textId="4260B886" w:rsidR="00740115" w:rsidRPr="00AE4DC5" w:rsidRDefault="00740115" w:rsidP="00740115">
            <w:pPr>
              <w:spacing w:line="240" w:lineRule="auto"/>
              <w:jc w:val="left"/>
              <w:rPr>
                <w:rFonts w:ascii="Calibri" w:eastAsia="Times New Roman" w:hAnsi="Calibri" w:cs="Calibri"/>
                <w:b/>
                <w:bCs/>
                <w:color w:val="000000"/>
                <w:sz w:val="16"/>
                <w:szCs w:val="16"/>
                <w:lang w:val="en-US" w:eastAsia="pt-PT"/>
              </w:rPr>
            </w:pPr>
            <w:r w:rsidRPr="00AE4DC5">
              <w:rPr>
                <w:rFonts w:ascii="Calibri" w:eastAsia="Times New Roman" w:hAnsi="Calibri" w:cs="Calibri"/>
                <w:b/>
                <w:bCs/>
                <w:color w:val="000000"/>
                <w:sz w:val="16"/>
                <w:szCs w:val="16"/>
                <w:lang w:val="en-US" w:eastAsia="pt-PT"/>
              </w:rPr>
              <w:t>Unscheduled consultations</w:t>
            </w:r>
            <w:r w:rsidR="002E2E88" w:rsidRPr="00AE4DC5">
              <w:rPr>
                <w:rFonts w:ascii="Calibri" w:eastAsia="Times New Roman" w:hAnsi="Calibri" w:cs="Calibri"/>
                <w:b/>
                <w:bCs/>
                <w:color w:val="000000"/>
                <w:sz w:val="16"/>
                <w:szCs w:val="16"/>
                <w:lang w:val="en-US" w:eastAsia="pt-PT"/>
              </w:rPr>
              <w:t>‡</w:t>
            </w:r>
            <w:r w:rsidRPr="00AE4DC5">
              <w:rPr>
                <w:rFonts w:ascii="Calibri" w:eastAsia="Times New Roman" w:hAnsi="Calibri" w:cs="Calibri"/>
                <w:b/>
                <w:bCs/>
                <w:color w:val="000000"/>
                <w:sz w:val="16"/>
                <w:szCs w:val="16"/>
                <w:lang w:val="en-US" w:eastAsia="pt-PT"/>
              </w:rPr>
              <w:t xml:space="preserve">, n (%) </w:t>
            </w:r>
          </w:p>
        </w:tc>
        <w:tc>
          <w:tcPr>
            <w:tcW w:w="2324" w:type="dxa"/>
            <w:tcBorders>
              <w:top w:val="single" w:sz="8" w:space="0" w:color="auto"/>
              <w:left w:val="nil"/>
              <w:right w:val="nil"/>
            </w:tcBorders>
            <w:shd w:val="clear" w:color="auto" w:fill="auto"/>
            <w:noWrap/>
            <w:vAlign w:val="bottom"/>
            <w:hideMark/>
          </w:tcPr>
          <w:p w14:paraId="1A77370C" w14:textId="77777777" w:rsidR="00740115" w:rsidRPr="00AE4DC5" w:rsidRDefault="00740115" w:rsidP="00740115">
            <w:pPr>
              <w:jc w:val="center"/>
              <w:rPr>
                <w:rFonts w:asciiTheme="majorHAnsi" w:eastAsiaTheme="minorHAnsi" w:hAnsiTheme="majorHAnsi" w:cstheme="majorHAnsi"/>
                <w:color w:val="000000"/>
                <w:sz w:val="16"/>
                <w:szCs w:val="16"/>
                <w:lang w:val="en-US"/>
              </w:rPr>
            </w:pPr>
          </w:p>
        </w:tc>
        <w:tc>
          <w:tcPr>
            <w:tcW w:w="2324" w:type="dxa"/>
            <w:tcBorders>
              <w:top w:val="single" w:sz="8" w:space="0" w:color="auto"/>
              <w:left w:val="nil"/>
              <w:right w:val="single" w:sz="8" w:space="0" w:color="auto"/>
            </w:tcBorders>
            <w:shd w:val="clear" w:color="auto" w:fill="auto"/>
            <w:noWrap/>
            <w:vAlign w:val="bottom"/>
            <w:hideMark/>
          </w:tcPr>
          <w:p w14:paraId="6A877B22" w14:textId="77777777" w:rsidR="00740115" w:rsidRPr="00AE4DC5" w:rsidRDefault="00740115" w:rsidP="00740115">
            <w:pPr>
              <w:jc w:val="center"/>
              <w:rPr>
                <w:rFonts w:asciiTheme="majorHAnsi" w:eastAsiaTheme="minorHAnsi" w:hAnsiTheme="majorHAnsi" w:cstheme="majorHAnsi"/>
                <w:color w:val="000000"/>
                <w:sz w:val="16"/>
                <w:szCs w:val="16"/>
                <w:lang w:val="en-US"/>
              </w:rPr>
            </w:pPr>
          </w:p>
        </w:tc>
      </w:tr>
      <w:tr w:rsidR="00740115" w:rsidRPr="00AE4DC5" w14:paraId="700AE0BF" w14:textId="77777777" w:rsidTr="00BB2A0C">
        <w:trPr>
          <w:trHeight w:val="20"/>
          <w:jc w:val="center"/>
        </w:trPr>
        <w:tc>
          <w:tcPr>
            <w:tcW w:w="4139" w:type="dxa"/>
            <w:tcBorders>
              <w:top w:val="nil"/>
              <w:left w:val="single" w:sz="8" w:space="0" w:color="auto"/>
              <w:bottom w:val="nil"/>
              <w:right w:val="nil"/>
            </w:tcBorders>
            <w:shd w:val="clear" w:color="auto" w:fill="auto"/>
            <w:vAlign w:val="center"/>
            <w:hideMark/>
          </w:tcPr>
          <w:p w14:paraId="0CA7A477" w14:textId="77777777" w:rsidR="00740115" w:rsidRPr="00AE4DC5" w:rsidRDefault="00740115" w:rsidP="00740115">
            <w:pPr>
              <w:spacing w:line="240" w:lineRule="auto"/>
              <w:jc w:val="left"/>
              <w:rPr>
                <w:rFonts w:ascii="Calibri Light" w:eastAsia="Times New Roman" w:hAnsi="Calibri Light" w:cs="Calibri Light"/>
                <w:color w:val="000000"/>
                <w:sz w:val="16"/>
                <w:szCs w:val="16"/>
                <w:lang w:val="en-US" w:eastAsia="pt-PT"/>
              </w:rPr>
            </w:pPr>
            <w:r w:rsidRPr="00AE4DC5">
              <w:rPr>
                <w:rFonts w:ascii="Calibri Light" w:eastAsia="Times New Roman" w:hAnsi="Calibri Light" w:cs="Calibri Light"/>
                <w:color w:val="000000"/>
                <w:sz w:val="16"/>
                <w:szCs w:val="16"/>
                <w:lang w:val="en-US" w:eastAsia="pt-PT"/>
              </w:rPr>
              <w:t>Yes</w:t>
            </w:r>
          </w:p>
        </w:tc>
        <w:tc>
          <w:tcPr>
            <w:tcW w:w="2324" w:type="dxa"/>
            <w:tcBorders>
              <w:top w:val="nil"/>
              <w:left w:val="nil"/>
              <w:bottom w:val="single" w:sz="8" w:space="0" w:color="auto"/>
              <w:right w:val="nil"/>
            </w:tcBorders>
            <w:shd w:val="clear" w:color="auto" w:fill="auto"/>
            <w:noWrap/>
            <w:vAlign w:val="bottom"/>
            <w:hideMark/>
          </w:tcPr>
          <w:p w14:paraId="165D1298"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15 (37.5%)</w:t>
            </w:r>
          </w:p>
        </w:tc>
        <w:tc>
          <w:tcPr>
            <w:tcW w:w="2324" w:type="dxa"/>
            <w:tcBorders>
              <w:top w:val="nil"/>
              <w:left w:val="nil"/>
              <w:bottom w:val="single" w:sz="8" w:space="0" w:color="auto"/>
              <w:right w:val="single" w:sz="8" w:space="0" w:color="auto"/>
            </w:tcBorders>
            <w:shd w:val="clear" w:color="auto" w:fill="auto"/>
            <w:noWrap/>
            <w:vAlign w:val="bottom"/>
            <w:hideMark/>
          </w:tcPr>
          <w:p w14:paraId="0B9F0EE3"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7 (35%)</w:t>
            </w:r>
          </w:p>
        </w:tc>
      </w:tr>
      <w:tr w:rsidR="00740115" w:rsidRPr="00AE4DC5" w14:paraId="70F2F34E" w14:textId="77777777" w:rsidTr="00BB2A0C">
        <w:trPr>
          <w:trHeight w:val="20"/>
          <w:jc w:val="center"/>
        </w:trPr>
        <w:tc>
          <w:tcPr>
            <w:tcW w:w="4139" w:type="dxa"/>
            <w:tcBorders>
              <w:top w:val="single" w:sz="8" w:space="0" w:color="auto"/>
              <w:left w:val="single" w:sz="8" w:space="0" w:color="auto"/>
              <w:bottom w:val="single" w:sz="8" w:space="0" w:color="auto"/>
              <w:right w:val="nil"/>
            </w:tcBorders>
            <w:shd w:val="clear" w:color="auto" w:fill="auto"/>
            <w:vAlign w:val="center"/>
            <w:hideMark/>
          </w:tcPr>
          <w:p w14:paraId="1F3DECBB" w14:textId="77777777" w:rsidR="00740115" w:rsidRPr="00AE4DC5" w:rsidRDefault="00740115" w:rsidP="00740115">
            <w:pPr>
              <w:spacing w:line="240" w:lineRule="auto"/>
              <w:jc w:val="left"/>
              <w:rPr>
                <w:rFonts w:ascii="Calibri" w:eastAsia="Times New Roman" w:hAnsi="Calibri" w:cs="Calibri"/>
                <w:b/>
                <w:bCs/>
                <w:color w:val="000000"/>
                <w:sz w:val="16"/>
                <w:szCs w:val="16"/>
                <w:lang w:val="en-US" w:eastAsia="pt-PT"/>
              </w:rPr>
            </w:pPr>
            <w:r w:rsidRPr="00AE4DC5">
              <w:rPr>
                <w:rFonts w:ascii="Calibri" w:eastAsia="Times New Roman" w:hAnsi="Calibri" w:cs="Calibri"/>
                <w:b/>
                <w:bCs/>
                <w:color w:val="000000"/>
                <w:sz w:val="16"/>
                <w:szCs w:val="16"/>
                <w:lang w:val="en-US" w:eastAsia="pt-PT"/>
              </w:rPr>
              <w:t xml:space="preserve">Number of unscheduled consultations‡, average (SD) </w:t>
            </w:r>
          </w:p>
        </w:tc>
        <w:tc>
          <w:tcPr>
            <w:tcW w:w="2324" w:type="dxa"/>
            <w:tcBorders>
              <w:top w:val="single" w:sz="8" w:space="0" w:color="auto"/>
              <w:left w:val="nil"/>
              <w:bottom w:val="single" w:sz="8" w:space="0" w:color="auto"/>
              <w:right w:val="nil"/>
            </w:tcBorders>
            <w:shd w:val="clear" w:color="auto" w:fill="auto"/>
            <w:noWrap/>
            <w:vAlign w:val="bottom"/>
            <w:hideMark/>
          </w:tcPr>
          <w:p w14:paraId="25AF8320"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0.6 (0.9)</w:t>
            </w:r>
          </w:p>
        </w:tc>
        <w:tc>
          <w:tcPr>
            <w:tcW w:w="2324" w:type="dxa"/>
            <w:tcBorders>
              <w:top w:val="single" w:sz="8" w:space="0" w:color="auto"/>
              <w:left w:val="nil"/>
              <w:bottom w:val="single" w:sz="8" w:space="0" w:color="auto"/>
              <w:right w:val="single" w:sz="8" w:space="0" w:color="auto"/>
            </w:tcBorders>
            <w:shd w:val="clear" w:color="auto" w:fill="auto"/>
            <w:noWrap/>
            <w:vAlign w:val="bottom"/>
            <w:hideMark/>
          </w:tcPr>
          <w:p w14:paraId="59461726"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0.7 (1.1)</w:t>
            </w:r>
          </w:p>
        </w:tc>
      </w:tr>
      <w:tr w:rsidR="00740115" w:rsidRPr="00AE4DC5" w14:paraId="7F0395CD" w14:textId="77777777" w:rsidTr="00BB2A0C">
        <w:trPr>
          <w:trHeight w:val="20"/>
          <w:jc w:val="center"/>
        </w:trPr>
        <w:tc>
          <w:tcPr>
            <w:tcW w:w="4139" w:type="dxa"/>
            <w:tcBorders>
              <w:top w:val="nil"/>
              <w:left w:val="single" w:sz="8" w:space="0" w:color="auto"/>
              <w:bottom w:val="nil"/>
              <w:right w:val="nil"/>
            </w:tcBorders>
            <w:shd w:val="clear" w:color="auto" w:fill="auto"/>
            <w:vAlign w:val="center"/>
            <w:hideMark/>
          </w:tcPr>
          <w:p w14:paraId="336CE3C2" w14:textId="23F32F31" w:rsidR="00740115" w:rsidRPr="00AE4DC5" w:rsidRDefault="00740115" w:rsidP="00740115">
            <w:pPr>
              <w:spacing w:line="240" w:lineRule="auto"/>
              <w:jc w:val="left"/>
              <w:rPr>
                <w:rFonts w:ascii="Calibri" w:eastAsia="Times New Roman" w:hAnsi="Calibri" w:cs="Calibri"/>
                <w:b/>
                <w:bCs/>
                <w:color w:val="000000"/>
                <w:sz w:val="16"/>
                <w:szCs w:val="16"/>
                <w:lang w:val="en-US" w:eastAsia="pt-PT"/>
              </w:rPr>
            </w:pPr>
            <w:r w:rsidRPr="00AE4DC5">
              <w:rPr>
                <w:rFonts w:ascii="Calibri" w:eastAsia="Times New Roman" w:hAnsi="Calibri" w:cs="Calibri"/>
                <w:b/>
                <w:bCs/>
                <w:color w:val="000000"/>
                <w:sz w:val="16"/>
                <w:szCs w:val="16"/>
                <w:lang w:val="en-US" w:eastAsia="pt-PT"/>
              </w:rPr>
              <w:t>Emergency Department visits</w:t>
            </w:r>
            <w:r w:rsidR="001039E1" w:rsidRPr="00AE4DC5">
              <w:rPr>
                <w:rFonts w:ascii="Calibri" w:eastAsia="Times New Roman" w:hAnsi="Calibri" w:cs="Calibri"/>
                <w:b/>
                <w:bCs/>
                <w:color w:val="000000"/>
                <w:sz w:val="16"/>
                <w:szCs w:val="16"/>
                <w:lang w:val="en-US" w:eastAsia="pt-PT"/>
              </w:rPr>
              <w:t>‡</w:t>
            </w:r>
            <w:r w:rsidRPr="00AE4DC5">
              <w:rPr>
                <w:rFonts w:ascii="Calibri" w:eastAsia="Times New Roman" w:hAnsi="Calibri" w:cs="Calibri"/>
                <w:b/>
                <w:bCs/>
                <w:color w:val="000000"/>
                <w:sz w:val="16"/>
                <w:szCs w:val="16"/>
                <w:lang w:val="en-US" w:eastAsia="pt-PT"/>
              </w:rPr>
              <w:t>, n (%)</w:t>
            </w:r>
          </w:p>
        </w:tc>
        <w:tc>
          <w:tcPr>
            <w:tcW w:w="2324" w:type="dxa"/>
            <w:tcBorders>
              <w:top w:val="single" w:sz="8" w:space="0" w:color="auto"/>
              <w:left w:val="nil"/>
              <w:right w:val="nil"/>
            </w:tcBorders>
            <w:shd w:val="clear" w:color="auto" w:fill="auto"/>
            <w:noWrap/>
            <w:vAlign w:val="bottom"/>
            <w:hideMark/>
          </w:tcPr>
          <w:p w14:paraId="736A5D05" w14:textId="77777777" w:rsidR="00740115" w:rsidRPr="00AE4DC5" w:rsidRDefault="00740115" w:rsidP="00740115">
            <w:pPr>
              <w:jc w:val="center"/>
              <w:rPr>
                <w:rFonts w:asciiTheme="majorHAnsi" w:eastAsiaTheme="minorHAnsi" w:hAnsiTheme="majorHAnsi" w:cstheme="majorHAnsi"/>
                <w:color w:val="000000"/>
                <w:sz w:val="16"/>
                <w:szCs w:val="16"/>
                <w:lang w:val="en-US"/>
              </w:rPr>
            </w:pPr>
          </w:p>
        </w:tc>
        <w:tc>
          <w:tcPr>
            <w:tcW w:w="2324" w:type="dxa"/>
            <w:tcBorders>
              <w:top w:val="single" w:sz="8" w:space="0" w:color="auto"/>
              <w:left w:val="nil"/>
              <w:right w:val="single" w:sz="8" w:space="0" w:color="auto"/>
            </w:tcBorders>
            <w:shd w:val="clear" w:color="auto" w:fill="auto"/>
            <w:noWrap/>
            <w:vAlign w:val="bottom"/>
            <w:hideMark/>
          </w:tcPr>
          <w:p w14:paraId="527F76F6" w14:textId="77777777" w:rsidR="00740115" w:rsidRPr="00AE4DC5" w:rsidRDefault="00740115" w:rsidP="00740115">
            <w:pPr>
              <w:jc w:val="center"/>
              <w:rPr>
                <w:rFonts w:asciiTheme="majorHAnsi" w:eastAsiaTheme="minorHAnsi" w:hAnsiTheme="majorHAnsi" w:cstheme="majorHAnsi"/>
                <w:color w:val="000000"/>
                <w:sz w:val="16"/>
                <w:szCs w:val="16"/>
                <w:lang w:val="en-US"/>
              </w:rPr>
            </w:pPr>
          </w:p>
        </w:tc>
      </w:tr>
      <w:tr w:rsidR="00740115" w:rsidRPr="00AE4DC5" w14:paraId="0DFD00B5" w14:textId="77777777" w:rsidTr="00BB2A0C">
        <w:trPr>
          <w:trHeight w:val="20"/>
          <w:jc w:val="center"/>
        </w:trPr>
        <w:tc>
          <w:tcPr>
            <w:tcW w:w="4139" w:type="dxa"/>
            <w:tcBorders>
              <w:top w:val="nil"/>
              <w:left w:val="single" w:sz="8" w:space="0" w:color="auto"/>
              <w:bottom w:val="nil"/>
              <w:right w:val="nil"/>
            </w:tcBorders>
            <w:shd w:val="clear" w:color="auto" w:fill="auto"/>
            <w:vAlign w:val="center"/>
            <w:hideMark/>
          </w:tcPr>
          <w:p w14:paraId="4796E2E4" w14:textId="77777777" w:rsidR="00740115" w:rsidRPr="00AE4DC5" w:rsidRDefault="00740115" w:rsidP="00740115">
            <w:pPr>
              <w:spacing w:line="240" w:lineRule="auto"/>
              <w:jc w:val="left"/>
              <w:rPr>
                <w:rFonts w:ascii="Calibri Light" w:eastAsia="Times New Roman" w:hAnsi="Calibri Light" w:cs="Calibri Light"/>
                <w:color w:val="000000"/>
                <w:sz w:val="16"/>
                <w:szCs w:val="16"/>
                <w:lang w:val="en-US" w:eastAsia="pt-PT"/>
              </w:rPr>
            </w:pPr>
            <w:r w:rsidRPr="00AE4DC5">
              <w:rPr>
                <w:rFonts w:ascii="Calibri Light" w:eastAsia="Times New Roman" w:hAnsi="Calibri Light" w:cs="Calibri Light"/>
                <w:color w:val="000000"/>
                <w:sz w:val="16"/>
                <w:szCs w:val="16"/>
                <w:lang w:val="en-US" w:eastAsia="pt-PT"/>
              </w:rPr>
              <w:t>Yes</w:t>
            </w:r>
          </w:p>
        </w:tc>
        <w:tc>
          <w:tcPr>
            <w:tcW w:w="2324" w:type="dxa"/>
            <w:tcBorders>
              <w:top w:val="nil"/>
              <w:left w:val="nil"/>
              <w:bottom w:val="single" w:sz="8" w:space="0" w:color="auto"/>
              <w:right w:val="nil"/>
            </w:tcBorders>
            <w:shd w:val="clear" w:color="auto" w:fill="auto"/>
            <w:noWrap/>
            <w:vAlign w:val="bottom"/>
            <w:hideMark/>
          </w:tcPr>
          <w:p w14:paraId="028B23C4"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16 (40%)</w:t>
            </w:r>
          </w:p>
        </w:tc>
        <w:tc>
          <w:tcPr>
            <w:tcW w:w="2324" w:type="dxa"/>
            <w:tcBorders>
              <w:top w:val="nil"/>
              <w:left w:val="nil"/>
              <w:bottom w:val="single" w:sz="8" w:space="0" w:color="auto"/>
              <w:right w:val="single" w:sz="8" w:space="0" w:color="auto"/>
            </w:tcBorders>
            <w:shd w:val="clear" w:color="auto" w:fill="auto"/>
            <w:noWrap/>
            <w:vAlign w:val="bottom"/>
            <w:hideMark/>
          </w:tcPr>
          <w:p w14:paraId="2EE7CF00"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5 (25%)</w:t>
            </w:r>
          </w:p>
        </w:tc>
      </w:tr>
      <w:tr w:rsidR="00740115" w:rsidRPr="00AE4DC5" w14:paraId="55C733C8" w14:textId="77777777" w:rsidTr="00BB2A0C">
        <w:trPr>
          <w:trHeight w:val="20"/>
          <w:jc w:val="center"/>
        </w:trPr>
        <w:tc>
          <w:tcPr>
            <w:tcW w:w="4139" w:type="dxa"/>
            <w:tcBorders>
              <w:top w:val="single" w:sz="8" w:space="0" w:color="auto"/>
              <w:left w:val="single" w:sz="8" w:space="0" w:color="auto"/>
              <w:bottom w:val="single" w:sz="8" w:space="0" w:color="auto"/>
              <w:right w:val="nil"/>
            </w:tcBorders>
            <w:shd w:val="clear" w:color="auto" w:fill="auto"/>
            <w:vAlign w:val="center"/>
            <w:hideMark/>
          </w:tcPr>
          <w:p w14:paraId="195CAB7D" w14:textId="181DC1E2" w:rsidR="00740115" w:rsidRPr="00AE4DC5" w:rsidRDefault="00740115" w:rsidP="00740115">
            <w:pPr>
              <w:spacing w:line="240" w:lineRule="auto"/>
              <w:jc w:val="left"/>
              <w:rPr>
                <w:rFonts w:ascii="Calibri" w:eastAsia="Times New Roman" w:hAnsi="Calibri" w:cs="Calibri"/>
                <w:b/>
                <w:bCs/>
                <w:color w:val="000000"/>
                <w:sz w:val="16"/>
                <w:szCs w:val="16"/>
                <w:lang w:val="en-US" w:eastAsia="pt-PT"/>
              </w:rPr>
            </w:pPr>
            <w:r w:rsidRPr="00AE4DC5">
              <w:rPr>
                <w:rFonts w:ascii="Calibri" w:eastAsia="Times New Roman" w:hAnsi="Calibri" w:cs="Calibri"/>
                <w:b/>
                <w:bCs/>
                <w:color w:val="000000"/>
                <w:sz w:val="16"/>
                <w:szCs w:val="16"/>
                <w:lang w:val="en-US" w:eastAsia="pt-PT"/>
              </w:rPr>
              <w:t>Number of Emergency Department visits</w:t>
            </w:r>
            <w:r w:rsidR="002E2E88" w:rsidRPr="00AE4DC5">
              <w:rPr>
                <w:rFonts w:ascii="Calibri" w:eastAsia="Times New Roman" w:hAnsi="Calibri" w:cs="Calibri"/>
                <w:b/>
                <w:bCs/>
                <w:color w:val="000000"/>
                <w:sz w:val="16"/>
                <w:szCs w:val="16"/>
                <w:lang w:val="en-US" w:eastAsia="pt-PT"/>
              </w:rPr>
              <w:t>‡</w:t>
            </w:r>
            <w:r w:rsidRPr="00AE4DC5">
              <w:rPr>
                <w:rFonts w:ascii="Calibri" w:eastAsia="Times New Roman" w:hAnsi="Calibri" w:cs="Calibri"/>
                <w:b/>
                <w:bCs/>
                <w:color w:val="000000"/>
                <w:sz w:val="16"/>
                <w:szCs w:val="16"/>
                <w:lang w:val="en-US" w:eastAsia="pt-PT"/>
              </w:rPr>
              <w:t>, average (SD)</w:t>
            </w:r>
          </w:p>
        </w:tc>
        <w:tc>
          <w:tcPr>
            <w:tcW w:w="2324" w:type="dxa"/>
            <w:tcBorders>
              <w:top w:val="single" w:sz="8" w:space="0" w:color="auto"/>
              <w:left w:val="nil"/>
              <w:bottom w:val="single" w:sz="8" w:space="0" w:color="auto"/>
              <w:right w:val="nil"/>
            </w:tcBorders>
            <w:shd w:val="clear" w:color="auto" w:fill="auto"/>
            <w:noWrap/>
            <w:vAlign w:val="bottom"/>
            <w:hideMark/>
          </w:tcPr>
          <w:p w14:paraId="132B9C80"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0.6 (80%)</w:t>
            </w:r>
          </w:p>
        </w:tc>
        <w:tc>
          <w:tcPr>
            <w:tcW w:w="2324" w:type="dxa"/>
            <w:tcBorders>
              <w:top w:val="single" w:sz="8" w:space="0" w:color="auto"/>
              <w:left w:val="nil"/>
              <w:bottom w:val="single" w:sz="8" w:space="0" w:color="auto"/>
              <w:right w:val="single" w:sz="8" w:space="0" w:color="auto"/>
            </w:tcBorders>
            <w:shd w:val="clear" w:color="auto" w:fill="auto"/>
            <w:noWrap/>
            <w:vAlign w:val="bottom"/>
            <w:hideMark/>
          </w:tcPr>
          <w:p w14:paraId="0B1F95EC"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0.7 (160%)</w:t>
            </w:r>
          </w:p>
        </w:tc>
      </w:tr>
      <w:tr w:rsidR="00740115" w:rsidRPr="00AE4DC5" w14:paraId="4A19B188" w14:textId="77777777" w:rsidTr="00BB2A0C">
        <w:trPr>
          <w:trHeight w:val="20"/>
          <w:jc w:val="center"/>
        </w:trPr>
        <w:tc>
          <w:tcPr>
            <w:tcW w:w="4139" w:type="dxa"/>
            <w:tcBorders>
              <w:top w:val="nil"/>
              <w:left w:val="single" w:sz="8" w:space="0" w:color="auto"/>
              <w:bottom w:val="nil"/>
              <w:right w:val="nil"/>
            </w:tcBorders>
            <w:shd w:val="clear" w:color="auto" w:fill="auto"/>
            <w:vAlign w:val="center"/>
            <w:hideMark/>
          </w:tcPr>
          <w:p w14:paraId="561A7092" w14:textId="6254629F" w:rsidR="00740115" w:rsidRPr="00AE4DC5" w:rsidRDefault="00740115" w:rsidP="002E2E88">
            <w:pPr>
              <w:spacing w:line="240" w:lineRule="auto"/>
              <w:ind w:firstLineChars="129" w:firstLine="207"/>
              <w:jc w:val="left"/>
              <w:rPr>
                <w:rFonts w:ascii="Calibri" w:eastAsia="Times New Roman" w:hAnsi="Calibri" w:cs="Calibri"/>
                <w:b/>
                <w:bCs/>
                <w:color w:val="000000"/>
                <w:sz w:val="16"/>
                <w:szCs w:val="16"/>
                <w:lang w:val="en-US" w:eastAsia="pt-PT"/>
              </w:rPr>
            </w:pPr>
            <w:r w:rsidRPr="00AE4DC5">
              <w:rPr>
                <w:rFonts w:ascii="Calibri" w:eastAsia="Times New Roman" w:hAnsi="Calibri" w:cs="Calibri"/>
                <w:b/>
                <w:bCs/>
                <w:color w:val="000000"/>
                <w:sz w:val="16"/>
                <w:szCs w:val="16"/>
                <w:lang w:val="en-US" w:eastAsia="pt-PT"/>
              </w:rPr>
              <w:t>[If ED visit] Hospital admissions (at least one night)</w:t>
            </w:r>
            <w:r w:rsidR="001039E1" w:rsidRPr="00AE4DC5">
              <w:rPr>
                <w:rFonts w:ascii="Calibri" w:eastAsia="Times New Roman" w:hAnsi="Calibri" w:cs="Calibri"/>
                <w:b/>
                <w:bCs/>
                <w:color w:val="000000"/>
                <w:sz w:val="16"/>
                <w:szCs w:val="16"/>
                <w:lang w:val="en-US" w:eastAsia="pt-PT"/>
              </w:rPr>
              <w:t xml:space="preserve"> </w:t>
            </w:r>
          </w:p>
        </w:tc>
        <w:tc>
          <w:tcPr>
            <w:tcW w:w="2324" w:type="dxa"/>
            <w:tcBorders>
              <w:top w:val="single" w:sz="8" w:space="0" w:color="auto"/>
              <w:left w:val="nil"/>
              <w:right w:val="nil"/>
            </w:tcBorders>
            <w:shd w:val="clear" w:color="auto" w:fill="auto"/>
            <w:noWrap/>
            <w:vAlign w:val="bottom"/>
            <w:hideMark/>
          </w:tcPr>
          <w:p w14:paraId="4F5D86FA" w14:textId="77777777" w:rsidR="00740115" w:rsidRPr="00AE4DC5" w:rsidRDefault="00740115" w:rsidP="00740115">
            <w:pPr>
              <w:jc w:val="center"/>
              <w:rPr>
                <w:rFonts w:asciiTheme="majorHAnsi" w:eastAsiaTheme="minorHAnsi" w:hAnsiTheme="majorHAnsi" w:cstheme="majorHAnsi"/>
                <w:color w:val="000000"/>
                <w:sz w:val="16"/>
                <w:szCs w:val="16"/>
                <w:lang w:val="en-US"/>
              </w:rPr>
            </w:pPr>
          </w:p>
        </w:tc>
        <w:tc>
          <w:tcPr>
            <w:tcW w:w="2324" w:type="dxa"/>
            <w:tcBorders>
              <w:top w:val="single" w:sz="8" w:space="0" w:color="auto"/>
              <w:left w:val="nil"/>
              <w:right w:val="single" w:sz="8" w:space="0" w:color="auto"/>
            </w:tcBorders>
            <w:shd w:val="clear" w:color="auto" w:fill="auto"/>
            <w:noWrap/>
            <w:vAlign w:val="bottom"/>
            <w:hideMark/>
          </w:tcPr>
          <w:p w14:paraId="520FFAEA" w14:textId="77777777" w:rsidR="00740115" w:rsidRPr="00AE4DC5" w:rsidRDefault="00740115" w:rsidP="00740115">
            <w:pPr>
              <w:jc w:val="center"/>
              <w:rPr>
                <w:rFonts w:asciiTheme="majorHAnsi" w:eastAsiaTheme="minorHAnsi" w:hAnsiTheme="majorHAnsi" w:cstheme="majorHAnsi"/>
                <w:color w:val="000000"/>
                <w:sz w:val="16"/>
                <w:szCs w:val="16"/>
                <w:lang w:val="en-US"/>
              </w:rPr>
            </w:pPr>
          </w:p>
        </w:tc>
      </w:tr>
      <w:tr w:rsidR="00740115" w:rsidRPr="00AE4DC5" w14:paraId="7113C223" w14:textId="77777777" w:rsidTr="00BB2A0C">
        <w:trPr>
          <w:trHeight w:val="20"/>
          <w:jc w:val="center"/>
        </w:trPr>
        <w:tc>
          <w:tcPr>
            <w:tcW w:w="4139" w:type="dxa"/>
            <w:tcBorders>
              <w:top w:val="nil"/>
              <w:left w:val="single" w:sz="8" w:space="0" w:color="auto"/>
              <w:bottom w:val="single" w:sz="8" w:space="0" w:color="auto"/>
              <w:right w:val="nil"/>
            </w:tcBorders>
            <w:shd w:val="clear" w:color="auto" w:fill="auto"/>
            <w:vAlign w:val="center"/>
            <w:hideMark/>
          </w:tcPr>
          <w:p w14:paraId="56BC9608" w14:textId="77777777" w:rsidR="00740115" w:rsidRPr="00AE4DC5" w:rsidRDefault="00740115" w:rsidP="002E2E88">
            <w:pPr>
              <w:spacing w:line="240" w:lineRule="auto"/>
              <w:ind w:firstLineChars="307" w:firstLine="491"/>
              <w:jc w:val="left"/>
              <w:rPr>
                <w:rFonts w:ascii="Calibri Light" w:eastAsia="Times New Roman" w:hAnsi="Calibri Light" w:cs="Calibri Light"/>
                <w:color w:val="000000"/>
                <w:sz w:val="16"/>
                <w:szCs w:val="16"/>
                <w:lang w:val="en-US" w:eastAsia="pt-PT"/>
              </w:rPr>
            </w:pPr>
            <w:r w:rsidRPr="00AE4DC5">
              <w:rPr>
                <w:rFonts w:ascii="Calibri Light" w:eastAsia="Times New Roman" w:hAnsi="Calibri Light" w:cs="Calibri Light"/>
                <w:color w:val="000000"/>
                <w:sz w:val="16"/>
                <w:szCs w:val="16"/>
                <w:lang w:val="en-US" w:eastAsia="pt-PT"/>
              </w:rPr>
              <w:t>Yes</w:t>
            </w:r>
          </w:p>
        </w:tc>
        <w:tc>
          <w:tcPr>
            <w:tcW w:w="2324" w:type="dxa"/>
            <w:tcBorders>
              <w:top w:val="nil"/>
              <w:left w:val="nil"/>
              <w:bottom w:val="single" w:sz="8" w:space="0" w:color="auto"/>
              <w:right w:val="nil"/>
            </w:tcBorders>
            <w:shd w:val="clear" w:color="auto" w:fill="auto"/>
            <w:noWrap/>
            <w:vAlign w:val="bottom"/>
            <w:hideMark/>
          </w:tcPr>
          <w:p w14:paraId="1BD492C4"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3 (18.8%)</w:t>
            </w:r>
          </w:p>
        </w:tc>
        <w:tc>
          <w:tcPr>
            <w:tcW w:w="2324" w:type="dxa"/>
            <w:tcBorders>
              <w:top w:val="nil"/>
              <w:left w:val="nil"/>
              <w:bottom w:val="single" w:sz="8" w:space="0" w:color="auto"/>
              <w:right w:val="single" w:sz="8" w:space="0" w:color="auto"/>
            </w:tcBorders>
            <w:shd w:val="clear" w:color="auto" w:fill="auto"/>
            <w:noWrap/>
            <w:vAlign w:val="bottom"/>
            <w:hideMark/>
          </w:tcPr>
          <w:p w14:paraId="450F2539" w14:textId="1D75995F"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0 (0</w:t>
            </w:r>
            <w:r w:rsidR="00FC7068" w:rsidRPr="00AE4DC5">
              <w:rPr>
                <w:rFonts w:asciiTheme="majorHAnsi" w:eastAsiaTheme="minorHAnsi" w:hAnsiTheme="majorHAnsi" w:cstheme="majorHAnsi"/>
                <w:color w:val="000000"/>
                <w:sz w:val="16"/>
                <w:szCs w:val="16"/>
                <w:lang w:val="en-US"/>
              </w:rPr>
              <w:t>.0</w:t>
            </w:r>
            <w:r w:rsidRPr="00AE4DC5">
              <w:rPr>
                <w:rFonts w:asciiTheme="majorHAnsi" w:eastAsiaTheme="minorHAnsi" w:hAnsiTheme="majorHAnsi" w:cstheme="majorHAnsi"/>
                <w:color w:val="000000"/>
                <w:sz w:val="16"/>
                <w:szCs w:val="16"/>
                <w:lang w:val="en-US"/>
              </w:rPr>
              <w:t>%)</w:t>
            </w:r>
          </w:p>
        </w:tc>
      </w:tr>
      <w:tr w:rsidR="00740115" w:rsidRPr="00AE4DC5" w14:paraId="3D7D7F51" w14:textId="77777777" w:rsidTr="00AE4DC5">
        <w:trPr>
          <w:trHeight w:val="20"/>
          <w:jc w:val="center"/>
        </w:trPr>
        <w:tc>
          <w:tcPr>
            <w:tcW w:w="4139" w:type="dxa"/>
            <w:tcBorders>
              <w:top w:val="nil"/>
              <w:left w:val="single" w:sz="8" w:space="0" w:color="auto"/>
              <w:bottom w:val="single" w:sz="8" w:space="0" w:color="auto"/>
              <w:right w:val="nil"/>
            </w:tcBorders>
            <w:shd w:val="clear" w:color="auto" w:fill="auto"/>
            <w:vAlign w:val="center"/>
            <w:hideMark/>
          </w:tcPr>
          <w:p w14:paraId="1E0BAF07" w14:textId="3D20708D" w:rsidR="00740115" w:rsidRPr="00AE4DC5" w:rsidRDefault="00740115" w:rsidP="00740115">
            <w:pPr>
              <w:spacing w:line="240" w:lineRule="auto"/>
              <w:jc w:val="left"/>
              <w:rPr>
                <w:rFonts w:ascii="Calibri" w:eastAsia="Times New Roman" w:hAnsi="Calibri" w:cs="Calibri"/>
                <w:b/>
                <w:bCs/>
                <w:color w:val="000000"/>
                <w:sz w:val="16"/>
                <w:szCs w:val="16"/>
                <w:lang w:val="en-US" w:eastAsia="pt-PT"/>
              </w:rPr>
            </w:pPr>
            <w:r w:rsidRPr="00AE4DC5">
              <w:rPr>
                <w:rFonts w:ascii="Calibri" w:eastAsia="Times New Roman" w:hAnsi="Calibri" w:cs="Calibri"/>
                <w:b/>
                <w:bCs/>
                <w:color w:val="000000"/>
                <w:sz w:val="16"/>
                <w:szCs w:val="16"/>
                <w:lang w:val="en-US" w:eastAsia="pt-PT"/>
              </w:rPr>
              <w:t>Patients with urgent healthcare resource utilization (Unscheduled consultations and/or ED visits)</w:t>
            </w:r>
            <w:r w:rsidR="001039E1" w:rsidRPr="00AE4DC5">
              <w:rPr>
                <w:rFonts w:ascii="Calibri" w:eastAsia="Times New Roman" w:hAnsi="Calibri" w:cs="Calibri"/>
                <w:b/>
                <w:bCs/>
                <w:color w:val="000000"/>
                <w:sz w:val="16"/>
                <w:szCs w:val="16"/>
                <w:lang w:val="en-US" w:eastAsia="pt-PT"/>
              </w:rPr>
              <w:t>‡</w:t>
            </w:r>
            <w:r w:rsidR="002E2E88" w:rsidRPr="00AE4DC5">
              <w:rPr>
                <w:rFonts w:ascii="Calibri" w:eastAsia="Times New Roman" w:hAnsi="Calibri" w:cs="Calibri"/>
                <w:b/>
                <w:bCs/>
                <w:color w:val="000000"/>
                <w:sz w:val="16"/>
                <w:szCs w:val="16"/>
                <w:lang w:val="en-US" w:eastAsia="pt-PT"/>
              </w:rPr>
              <w:t>, n (%)</w:t>
            </w:r>
          </w:p>
        </w:tc>
        <w:tc>
          <w:tcPr>
            <w:tcW w:w="2324" w:type="dxa"/>
            <w:tcBorders>
              <w:top w:val="single" w:sz="8" w:space="0" w:color="auto"/>
              <w:left w:val="nil"/>
              <w:bottom w:val="single" w:sz="8" w:space="0" w:color="auto"/>
              <w:right w:val="nil"/>
            </w:tcBorders>
            <w:shd w:val="clear" w:color="auto" w:fill="auto"/>
            <w:noWrap/>
            <w:vAlign w:val="bottom"/>
            <w:hideMark/>
          </w:tcPr>
          <w:p w14:paraId="41467230"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23 (57.5%)</w:t>
            </w:r>
          </w:p>
        </w:tc>
        <w:tc>
          <w:tcPr>
            <w:tcW w:w="2324" w:type="dxa"/>
            <w:tcBorders>
              <w:top w:val="single" w:sz="8" w:space="0" w:color="auto"/>
              <w:left w:val="nil"/>
              <w:bottom w:val="single" w:sz="8" w:space="0" w:color="auto"/>
              <w:right w:val="single" w:sz="8" w:space="0" w:color="auto"/>
            </w:tcBorders>
            <w:shd w:val="clear" w:color="auto" w:fill="auto"/>
            <w:noWrap/>
            <w:vAlign w:val="bottom"/>
            <w:hideMark/>
          </w:tcPr>
          <w:p w14:paraId="469782B0" w14:textId="77777777" w:rsidR="00740115" w:rsidRPr="00AE4DC5" w:rsidRDefault="00740115" w:rsidP="00740115">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10 (50%)</w:t>
            </w:r>
          </w:p>
        </w:tc>
      </w:tr>
      <w:tr w:rsidR="00FC7068" w:rsidRPr="00AE4DC5" w14:paraId="74B1B970" w14:textId="77777777" w:rsidTr="00AE4DC5">
        <w:trPr>
          <w:trHeight w:val="20"/>
          <w:jc w:val="center"/>
        </w:trPr>
        <w:tc>
          <w:tcPr>
            <w:tcW w:w="4139" w:type="dxa"/>
            <w:tcBorders>
              <w:top w:val="single" w:sz="8" w:space="0" w:color="auto"/>
              <w:left w:val="single" w:sz="8" w:space="0" w:color="auto"/>
              <w:bottom w:val="single" w:sz="8" w:space="0" w:color="auto"/>
              <w:right w:val="nil"/>
            </w:tcBorders>
            <w:shd w:val="clear" w:color="auto" w:fill="auto"/>
            <w:vAlign w:val="center"/>
            <w:hideMark/>
          </w:tcPr>
          <w:p w14:paraId="314C87D4" w14:textId="23A20992" w:rsidR="00FC7068" w:rsidRPr="00AE4DC5" w:rsidRDefault="00FC7068" w:rsidP="00FC7068">
            <w:pPr>
              <w:spacing w:line="240" w:lineRule="auto"/>
              <w:jc w:val="left"/>
              <w:rPr>
                <w:rFonts w:ascii="Calibri" w:eastAsia="Times New Roman" w:hAnsi="Calibri" w:cs="Calibri"/>
                <w:b/>
                <w:bCs/>
                <w:color w:val="000000"/>
                <w:sz w:val="16"/>
                <w:szCs w:val="16"/>
                <w:lang w:val="en-US" w:eastAsia="pt-PT"/>
              </w:rPr>
            </w:pPr>
            <w:r w:rsidRPr="00AE4DC5">
              <w:rPr>
                <w:rFonts w:ascii="Calibri" w:eastAsia="Times New Roman" w:hAnsi="Calibri" w:cs="Calibri"/>
                <w:b/>
                <w:bCs/>
                <w:color w:val="000000"/>
                <w:sz w:val="16"/>
                <w:szCs w:val="16"/>
                <w:lang w:val="en-US" w:eastAsia="pt-PT"/>
              </w:rPr>
              <w:t>Patients with no healthcare resource use (any kind</w:t>
            </w:r>
            <w:r w:rsidR="001039E1" w:rsidRPr="00AE4DC5">
              <w:rPr>
                <w:rFonts w:ascii="Calibri" w:eastAsia="Times New Roman" w:hAnsi="Calibri" w:cs="Calibri"/>
                <w:b/>
                <w:bCs/>
                <w:color w:val="000000"/>
                <w:sz w:val="16"/>
                <w:szCs w:val="16"/>
                <w:lang w:val="en-US" w:eastAsia="pt-PT"/>
              </w:rPr>
              <w:t>)‡, n (%)</w:t>
            </w:r>
          </w:p>
        </w:tc>
        <w:tc>
          <w:tcPr>
            <w:tcW w:w="2324" w:type="dxa"/>
            <w:tcBorders>
              <w:top w:val="single" w:sz="8" w:space="0" w:color="auto"/>
              <w:left w:val="nil"/>
              <w:bottom w:val="single" w:sz="8" w:space="0" w:color="auto"/>
              <w:right w:val="nil"/>
            </w:tcBorders>
            <w:shd w:val="clear" w:color="auto" w:fill="auto"/>
            <w:noWrap/>
            <w:vAlign w:val="bottom"/>
            <w:hideMark/>
          </w:tcPr>
          <w:p w14:paraId="60039E77" w14:textId="683E92C2" w:rsidR="00FC7068" w:rsidRPr="00AE4DC5" w:rsidRDefault="00FC7068" w:rsidP="00FC7068">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7 (17.5%)</w:t>
            </w:r>
          </w:p>
        </w:tc>
        <w:tc>
          <w:tcPr>
            <w:tcW w:w="2324" w:type="dxa"/>
            <w:tcBorders>
              <w:top w:val="single" w:sz="8" w:space="0" w:color="auto"/>
              <w:left w:val="nil"/>
              <w:bottom w:val="single" w:sz="8" w:space="0" w:color="auto"/>
              <w:right w:val="single" w:sz="8" w:space="0" w:color="auto"/>
            </w:tcBorders>
            <w:shd w:val="clear" w:color="auto" w:fill="auto"/>
            <w:noWrap/>
            <w:vAlign w:val="bottom"/>
            <w:hideMark/>
          </w:tcPr>
          <w:p w14:paraId="05E31BE4" w14:textId="43910706" w:rsidR="00FC7068" w:rsidRPr="00AE4DC5" w:rsidRDefault="00FC7068" w:rsidP="00FC7068">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3 (15.0%)</w:t>
            </w:r>
          </w:p>
        </w:tc>
      </w:tr>
      <w:tr w:rsidR="00E4744B" w:rsidRPr="00AE4DC5" w14:paraId="31108802" w14:textId="77777777" w:rsidTr="00AE4DC5">
        <w:trPr>
          <w:trHeight w:val="20"/>
          <w:jc w:val="center"/>
        </w:trPr>
        <w:tc>
          <w:tcPr>
            <w:tcW w:w="4139" w:type="dxa"/>
            <w:tcBorders>
              <w:top w:val="single" w:sz="8" w:space="0" w:color="auto"/>
              <w:left w:val="single" w:sz="8" w:space="0" w:color="auto"/>
              <w:bottom w:val="single" w:sz="8" w:space="0" w:color="auto"/>
              <w:right w:val="nil"/>
            </w:tcBorders>
            <w:shd w:val="clear" w:color="auto" w:fill="auto"/>
            <w:vAlign w:val="center"/>
          </w:tcPr>
          <w:p w14:paraId="6E59FA86" w14:textId="11328A62" w:rsidR="00E4744B" w:rsidRPr="00AE4DC5" w:rsidRDefault="00E4744B" w:rsidP="00E4744B">
            <w:pPr>
              <w:spacing w:line="240" w:lineRule="auto"/>
              <w:jc w:val="left"/>
              <w:rPr>
                <w:rFonts w:ascii="Calibri" w:eastAsia="Times New Roman" w:hAnsi="Calibri" w:cs="Calibri"/>
                <w:b/>
                <w:bCs/>
                <w:color w:val="000000"/>
                <w:sz w:val="16"/>
                <w:szCs w:val="16"/>
                <w:lang w:val="en-US" w:eastAsia="pt-PT"/>
              </w:rPr>
            </w:pPr>
            <w:r w:rsidRPr="00AE4DC5">
              <w:rPr>
                <w:rFonts w:ascii="Calibri" w:eastAsia="Times New Roman" w:hAnsi="Calibri" w:cs="Calibri"/>
                <w:b/>
                <w:bCs/>
                <w:color w:val="000000"/>
                <w:sz w:val="16"/>
                <w:szCs w:val="16"/>
                <w:lang w:val="en-US" w:eastAsia="pt-PT"/>
              </w:rPr>
              <w:t>CARAT score‡, average (SD)</w:t>
            </w:r>
          </w:p>
        </w:tc>
        <w:tc>
          <w:tcPr>
            <w:tcW w:w="2324" w:type="dxa"/>
            <w:tcBorders>
              <w:top w:val="single" w:sz="8" w:space="0" w:color="auto"/>
              <w:left w:val="nil"/>
              <w:bottom w:val="single" w:sz="8" w:space="0" w:color="auto"/>
              <w:right w:val="nil"/>
            </w:tcBorders>
            <w:shd w:val="clear" w:color="auto" w:fill="auto"/>
            <w:noWrap/>
            <w:vAlign w:val="bottom"/>
          </w:tcPr>
          <w:p w14:paraId="0CECCBB0" w14:textId="24DAE400" w:rsidR="00E4744B" w:rsidRPr="00AE4DC5" w:rsidRDefault="00E4744B" w:rsidP="00E4744B">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16.1 (7.2)</w:t>
            </w:r>
          </w:p>
        </w:tc>
        <w:tc>
          <w:tcPr>
            <w:tcW w:w="2324" w:type="dxa"/>
            <w:tcBorders>
              <w:top w:val="single" w:sz="8" w:space="0" w:color="auto"/>
              <w:left w:val="nil"/>
              <w:bottom w:val="single" w:sz="8" w:space="0" w:color="auto"/>
              <w:right w:val="single" w:sz="8" w:space="0" w:color="auto"/>
            </w:tcBorders>
            <w:shd w:val="clear" w:color="auto" w:fill="auto"/>
            <w:noWrap/>
            <w:vAlign w:val="bottom"/>
          </w:tcPr>
          <w:p w14:paraId="734ECCB7" w14:textId="7C69A06C" w:rsidR="00E4744B" w:rsidRPr="00AE4DC5" w:rsidRDefault="00E4744B" w:rsidP="00E4744B">
            <w:pPr>
              <w:jc w:val="center"/>
              <w:rPr>
                <w:rFonts w:asciiTheme="majorHAnsi" w:eastAsiaTheme="minorHAnsi" w:hAnsiTheme="majorHAnsi" w:cstheme="majorHAnsi"/>
                <w:color w:val="000000"/>
                <w:sz w:val="16"/>
                <w:szCs w:val="16"/>
                <w:lang w:val="en-US"/>
              </w:rPr>
            </w:pPr>
            <w:r w:rsidRPr="00AE4DC5">
              <w:rPr>
                <w:rFonts w:asciiTheme="majorHAnsi" w:eastAsiaTheme="minorHAnsi" w:hAnsiTheme="majorHAnsi" w:cstheme="majorHAnsi"/>
                <w:color w:val="000000"/>
                <w:sz w:val="16"/>
                <w:szCs w:val="16"/>
                <w:lang w:val="en-US"/>
              </w:rPr>
              <w:t>16.8 (7.1)</w:t>
            </w:r>
          </w:p>
        </w:tc>
      </w:tr>
    </w:tbl>
    <w:p w14:paraId="77877977" w14:textId="24CBB223" w:rsidR="00740115" w:rsidRPr="00AE4DC5" w:rsidRDefault="00E4744B" w:rsidP="00AE4DC5">
      <w:pPr>
        <w:spacing w:before="120" w:after="160"/>
        <w:jc w:val="left"/>
        <w:rPr>
          <w:color w:val="000000"/>
          <w:lang w:val="en-US"/>
        </w:rPr>
      </w:pPr>
      <w:r w:rsidRPr="00AE4DC5">
        <w:rPr>
          <w:rFonts w:cstheme="minorHAnsi"/>
          <w:b/>
          <w:color w:val="000000"/>
          <w:sz w:val="16"/>
          <w:szCs w:val="16"/>
          <w:lang w:val="en-US"/>
        </w:rPr>
        <w:t>Legend: ‡</w:t>
      </w:r>
      <w:r w:rsidRPr="00AE4DC5">
        <w:rPr>
          <w:rFonts w:cstheme="minorHAnsi"/>
          <w:bCs/>
          <w:color w:val="000000"/>
          <w:sz w:val="16"/>
          <w:szCs w:val="16"/>
          <w:lang w:val="en-US"/>
        </w:rPr>
        <w:t xml:space="preserve">Missing data=5; </w:t>
      </w:r>
      <w:r w:rsidRPr="00AE4DC5">
        <w:rPr>
          <w:rFonts w:ascii="Calibri" w:hAnsi="Calibri" w:cstheme="majorHAnsi"/>
          <w:b/>
          <w:bCs/>
          <w:color w:val="000000"/>
          <w:sz w:val="16"/>
          <w:szCs w:val="16"/>
          <w:lang w:val="en-US"/>
        </w:rPr>
        <w:t>†</w:t>
      </w:r>
      <w:r w:rsidRPr="00AE4DC5">
        <w:rPr>
          <w:rFonts w:asciiTheme="majorHAnsi" w:hAnsiTheme="majorHAnsi" w:cstheme="majorBidi"/>
          <w:color w:val="000000"/>
          <w:sz w:val="16"/>
          <w:szCs w:val="16"/>
          <w:lang w:val="en-US"/>
        </w:rPr>
        <w:t>Missing data=18</w:t>
      </w:r>
    </w:p>
    <w:p w14:paraId="2AED1551" w14:textId="77777777" w:rsidR="00740115" w:rsidRPr="00AE4DC5" w:rsidRDefault="00740115" w:rsidP="002F647F">
      <w:pPr>
        <w:spacing w:after="160" w:line="259" w:lineRule="auto"/>
        <w:jc w:val="left"/>
        <w:rPr>
          <w:color w:val="000000"/>
          <w:lang w:val="en-US"/>
        </w:rPr>
      </w:pPr>
    </w:p>
    <w:p w14:paraId="55AA2F5E" w14:textId="7CE8192A" w:rsidR="00F861A5" w:rsidRPr="00AE4DC5" w:rsidRDefault="00F861A5" w:rsidP="002F647F">
      <w:pPr>
        <w:spacing w:after="160" w:line="259" w:lineRule="auto"/>
        <w:jc w:val="left"/>
        <w:rPr>
          <w:color w:val="000000"/>
          <w:lang w:val="en-US"/>
        </w:rPr>
      </w:pPr>
    </w:p>
    <w:p w14:paraId="6F1A4F4D" w14:textId="6A870DC7" w:rsidR="00F861A5" w:rsidRPr="00AE4DC5" w:rsidRDefault="00F861A5" w:rsidP="00F861A5">
      <w:pPr>
        <w:rPr>
          <w:rStyle w:val="Emphasis"/>
          <w:b/>
          <w:bCs/>
          <w:i w:val="0"/>
          <w:iCs w:val="0"/>
          <w:color w:val="000000"/>
          <w:sz w:val="28"/>
          <w:szCs w:val="28"/>
          <w:lang w:val="en-US"/>
        </w:rPr>
      </w:pPr>
      <w:r w:rsidRPr="00AE4DC5">
        <w:rPr>
          <w:rStyle w:val="Emphasis"/>
          <w:b/>
          <w:bCs/>
          <w:i w:val="0"/>
          <w:iCs w:val="0"/>
          <w:color w:val="000000"/>
          <w:sz w:val="28"/>
          <w:szCs w:val="28"/>
          <w:lang w:val="en-US"/>
        </w:rPr>
        <w:t>References</w:t>
      </w:r>
    </w:p>
    <w:sdt>
      <w:sdtPr>
        <w:rPr>
          <w:color w:val="000000"/>
          <w:lang w:val="en-US"/>
        </w:rPr>
        <w:tag w:val="MENDELEY_BIBLIOGRAPHY"/>
        <w:id w:val="1742519604"/>
        <w:placeholder>
          <w:docPart w:val="DefaultPlaceholder_-1854013440"/>
        </w:placeholder>
      </w:sdtPr>
      <w:sdtEndPr/>
      <w:sdtContent>
        <w:p w14:paraId="55BB5EFC" w14:textId="30268026" w:rsidR="00C240F9" w:rsidRPr="00AE4DC5" w:rsidRDefault="00C240F9">
          <w:pPr>
            <w:autoSpaceDE w:val="0"/>
            <w:autoSpaceDN w:val="0"/>
            <w:ind w:hanging="640"/>
            <w:divId w:val="1964775019"/>
            <w:rPr>
              <w:rFonts w:eastAsia="Times New Roman"/>
              <w:color w:val="000000"/>
              <w:sz w:val="24"/>
              <w:szCs w:val="24"/>
              <w:lang w:val="en-US"/>
            </w:rPr>
          </w:pPr>
          <w:r w:rsidRPr="00AE4DC5">
            <w:rPr>
              <w:rFonts w:eastAsia="Times New Roman"/>
              <w:color w:val="000000"/>
              <w:lang w:val="en-US"/>
            </w:rPr>
            <w:t xml:space="preserve">E1. </w:t>
          </w:r>
          <w:r w:rsidRPr="00AE4DC5">
            <w:rPr>
              <w:rFonts w:eastAsia="Times New Roman"/>
              <w:color w:val="000000"/>
              <w:lang w:val="en-US"/>
            </w:rPr>
            <w:tab/>
            <w:t xml:space="preserve">Lefebvre P, Duh MS, Lafeuille MH, Gozalo L, Desai U, Robitaille MN, et al. Acute and chronic systemic corticosteroid-related complications in patients with severe asthma [Supplementary material: eTable 1]. Journal of Allergy and Clinical Immunology. 2015 Dec 1;136(6):1488–95. </w:t>
          </w:r>
        </w:p>
        <w:p w14:paraId="1037D96B" w14:textId="6A336226" w:rsidR="00C240F9" w:rsidRPr="00AE4DC5" w:rsidRDefault="00C240F9">
          <w:pPr>
            <w:autoSpaceDE w:val="0"/>
            <w:autoSpaceDN w:val="0"/>
            <w:ind w:hanging="640"/>
            <w:divId w:val="595671051"/>
            <w:rPr>
              <w:rFonts w:eastAsia="Times New Roman"/>
              <w:color w:val="000000"/>
              <w:lang w:val="en-US"/>
            </w:rPr>
          </w:pPr>
          <w:r w:rsidRPr="00AE4DC5">
            <w:rPr>
              <w:rFonts w:eastAsia="Times New Roman"/>
              <w:color w:val="000000"/>
              <w:lang w:val="en-US"/>
            </w:rPr>
            <w:t xml:space="preserve">E2. </w:t>
          </w:r>
          <w:r w:rsidRPr="00AE4DC5">
            <w:rPr>
              <w:rFonts w:eastAsia="Times New Roman"/>
              <w:color w:val="000000"/>
              <w:lang w:val="en-US"/>
            </w:rPr>
            <w:tab/>
            <w:t xml:space="preserve">Parente L. Deflazacort: Therapeutic index, relative potency and equivalent doses versus other corticosteroids. BMC Pharmacology and Toxicology. 2017;18(1). </w:t>
          </w:r>
        </w:p>
        <w:p w14:paraId="0E3B13C8" w14:textId="499C989D" w:rsidR="0037343D" w:rsidRPr="00AE4DC5" w:rsidRDefault="00C240F9">
          <w:pPr>
            <w:rPr>
              <w:color w:val="000000"/>
              <w:lang w:val="en-US"/>
            </w:rPr>
          </w:pPr>
          <w:r w:rsidRPr="00AE4DC5">
            <w:rPr>
              <w:rFonts w:eastAsia="Times New Roman"/>
              <w:color w:val="000000"/>
              <w:lang w:val="en-US"/>
            </w:rPr>
            <w:t> </w:t>
          </w:r>
        </w:p>
      </w:sdtContent>
    </w:sdt>
    <w:sectPr w:rsidR="0037343D" w:rsidRPr="00AE4DC5">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E9C29" w14:textId="77777777" w:rsidR="00504A79" w:rsidRDefault="00504A79" w:rsidP="00C4790F">
      <w:pPr>
        <w:spacing w:line="240" w:lineRule="auto"/>
      </w:pPr>
      <w:r>
        <w:separator/>
      </w:r>
    </w:p>
  </w:endnote>
  <w:endnote w:type="continuationSeparator" w:id="0">
    <w:p w14:paraId="1BA81B51" w14:textId="77777777" w:rsidR="00504A79" w:rsidRDefault="00504A79" w:rsidP="00C479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8100B" w14:textId="1AC66EBB" w:rsidR="00AE4DC5" w:rsidRDefault="00AE4DC5">
    <w:pPr>
      <w:pStyle w:val="Footer"/>
    </w:pPr>
    <w:r>
      <w:rPr>
        <w:noProof/>
      </w:rPr>
      <mc:AlternateContent>
        <mc:Choice Requires="wps">
          <w:drawing>
            <wp:anchor distT="0" distB="0" distL="114300" distR="114300" simplePos="0" relativeHeight="251659264" behindDoc="0" locked="0" layoutInCell="0" allowOverlap="1" wp14:anchorId="4992C1C4" wp14:editId="1BFB4784">
              <wp:simplePos x="0" y="0"/>
              <wp:positionH relativeFrom="page">
                <wp:posOffset>0</wp:posOffset>
              </wp:positionH>
              <wp:positionV relativeFrom="page">
                <wp:posOffset>10237470</wp:posOffset>
              </wp:positionV>
              <wp:extent cx="7560310" cy="263525"/>
              <wp:effectExtent l="0" t="0" r="0" b="3175"/>
              <wp:wrapNone/>
              <wp:docPr id="1" name="MSIPCMed034e869c8fc0b062aa0733" descr="{&quot;HashCode&quot;:-1348403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36DFD4" w14:textId="7FCA2D68" w:rsidR="00AE4DC5" w:rsidRPr="00AE4DC5" w:rsidRDefault="00AE4DC5" w:rsidP="00AE4DC5">
                          <w:pPr>
                            <w:jc w:val="left"/>
                            <w:rPr>
                              <w:rFonts w:ascii="Rockwell" w:hAnsi="Rockwell"/>
                              <w:color w:val="0078D7"/>
                              <w:sz w:val="18"/>
                            </w:rPr>
                          </w:pPr>
                          <w:r w:rsidRPr="00AE4DC5">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992C1C4" id="_x0000_t202" coordsize="21600,21600" o:spt="202" path="m,l,21600r21600,l21600,xe">
              <v:stroke joinstyle="miter"/>
              <v:path gradientshapeok="t" o:connecttype="rect"/>
            </v:shapetype>
            <v:shape id="MSIPCMed034e869c8fc0b062aa0733" o:spid="_x0000_s1026" type="#_x0000_t202" alt="{&quot;HashCode&quot;:-1348403003,&quot;Height&quot;:841.0,&quot;Width&quot;:595.0,&quot;Placement&quot;:&quot;Footer&quot;,&quot;Index&quot;:&quot;Primary&quot;,&quot;Section&quot;:1,&quot;Top&quot;:0.0,&quot;Left&quot;:0.0}" style="position:absolute;left:0;text-align:left;margin-left:0;margin-top:806.1pt;width:595.3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DkFwIAACUEAAAOAAAAZHJzL2Uyb0RvYy54bWysU8Fu2zAMvQ/YPwi6L3bSJNuMOEXWIsOA&#10;oC2QDj0rshQbkERNUmJnXz9KdpKh66nYRaZI+pF8fFrcdlqRo3C+AVPS8SinRBgOVWP2Jf35vP70&#10;hRIfmKmYAiNKehKe3i4/fli0thATqEFVwhEEMb5obUnrEGyRZZ7XQjM/AisMBiU4zQJe3T6rHGsR&#10;XatskufzrAVXWQdceI/e+z5IlwlfSsHDo5ReBKJKir2FdLp07uKZLRes2Dtm64YPbbB3dKFZY7Do&#10;BeqeBUYOrvkHSjfcgQcZRhx0BlI2XKQZcJpx/mqabc2sSLMgOd5eaPL/D5Y/HLf2yZHQfYMOFxgJ&#10;aa0vPDrjPJ10On6xU4JxpPB0oU10gXB0fp7N85sxhjjGJvOb2WQWYbLr39b58F2AJtEoqcO1JLbY&#10;ceNDn3pOicUMrBul0mqUIW1JETNPP1wiCK4M1rj2Gq3Q7bphgB1UJ5zLQb9yb/m6weIb5sMTc7hj&#10;7Bd1Gx7xkAqwCAwWJTW432/5Yz5Sj1FKWtRMSf2vA3OCEvXD4FIms2meR5WlGxouGV/H0yledmev&#10;Oeg7QD2O8WlYnsyYG9TZlA70C+p6FcthiBmORUu6O5t3oZcwvgsuVquUhHqyLGzM1vIIHXmMnD53&#10;L8zZgfiAK3uAs6xY8Yr/PrffwOoQQDZpOZHZns6BcNRiWu/wbqLY/76nrOvrXv4BAAD//wMAUEsD&#10;BBQABgAIAAAAIQD/dyzL3wAAAAsBAAAPAAAAZHJzL2Rvd25yZXYueG1sTI/BTsMwEETvSPyDtUjc&#10;qJMgAk3jVFWlIsEBldAPcONtkmKvI9tpw9/jnOC4M6PZN+V6Mppd0PnekoB0kQBDaqzqqRVw+No9&#10;vADzQZKS2hIK+EEP6+r2ppSFslf6xEsdWhZLyBdSQBfCUHDumw6N9As7IEXvZJ2RIZ6u5crJayw3&#10;mmdJknMje4ofOjngtsPmux6NgA2OqX/Tu/Nrf6j37+eP4NR2KcT93bRZAQs4hb8wzPgRHarIdLQj&#10;Kc+0gDgkRDVPswzY7KfLJAd2nLWnx2fgVcn/b6h+AQAA//8DAFBLAQItABQABgAIAAAAIQC2gziS&#10;/gAAAOEBAAATAAAAAAAAAAAAAAAAAAAAAABbQ29udGVudF9UeXBlc10ueG1sUEsBAi0AFAAGAAgA&#10;AAAhADj9If/WAAAAlAEAAAsAAAAAAAAAAAAAAAAALwEAAF9yZWxzLy5yZWxzUEsBAi0AFAAGAAgA&#10;AAAhAGqAYOQXAgAAJQQAAA4AAAAAAAAAAAAAAAAALgIAAGRycy9lMm9Eb2MueG1sUEsBAi0AFAAG&#10;AAgAAAAhAP93LMvfAAAACwEAAA8AAAAAAAAAAAAAAAAAcQQAAGRycy9kb3ducmV2LnhtbFBLBQYA&#10;AAAABAAEAPMAAAB9BQAAAAA=&#10;" o:allowincell="f" filled="f" stroked="f" strokeweight=".5pt">
              <v:fill o:detectmouseclick="t"/>
              <v:textbox inset="20pt,0,,0">
                <w:txbxContent>
                  <w:p w14:paraId="0736DFD4" w14:textId="7FCA2D68" w:rsidR="00AE4DC5" w:rsidRPr="00AE4DC5" w:rsidRDefault="00AE4DC5" w:rsidP="00AE4DC5">
                    <w:pPr>
                      <w:jc w:val="left"/>
                      <w:rPr>
                        <w:rFonts w:ascii="Rockwell" w:hAnsi="Rockwell"/>
                        <w:color w:val="0078D7"/>
                        <w:sz w:val="18"/>
                      </w:rPr>
                    </w:pPr>
                    <w:r w:rsidRPr="00AE4DC5">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88374" w14:textId="77777777" w:rsidR="00504A79" w:rsidRDefault="00504A79" w:rsidP="00C4790F">
      <w:pPr>
        <w:spacing w:line="240" w:lineRule="auto"/>
      </w:pPr>
      <w:r>
        <w:separator/>
      </w:r>
    </w:p>
  </w:footnote>
  <w:footnote w:type="continuationSeparator" w:id="0">
    <w:p w14:paraId="7F2C9CDC" w14:textId="77777777" w:rsidR="00504A79" w:rsidRDefault="00504A79" w:rsidP="00C4790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E33C28"/>
    <w:multiLevelType w:val="hybridMultilevel"/>
    <w:tmpl w:val="16A295BE"/>
    <w:lvl w:ilvl="0" w:tplc="08160001">
      <w:start w:val="1"/>
      <w:numFmt w:val="bullet"/>
      <w:lvlText w:val=""/>
      <w:lvlJc w:val="left"/>
      <w:pPr>
        <w:ind w:left="770" w:hanging="360"/>
      </w:pPr>
      <w:rPr>
        <w:rFonts w:ascii="Symbol" w:hAnsi="Symbol" w:hint="default"/>
      </w:rPr>
    </w:lvl>
    <w:lvl w:ilvl="1" w:tplc="08160003" w:tentative="1">
      <w:start w:val="1"/>
      <w:numFmt w:val="bullet"/>
      <w:lvlText w:val="o"/>
      <w:lvlJc w:val="left"/>
      <w:pPr>
        <w:ind w:left="1490" w:hanging="360"/>
      </w:pPr>
      <w:rPr>
        <w:rFonts w:ascii="Courier New" w:hAnsi="Courier New" w:cs="Courier New" w:hint="default"/>
      </w:rPr>
    </w:lvl>
    <w:lvl w:ilvl="2" w:tplc="08160005" w:tentative="1">
      <w:start w:val="1"/>
      <w:numFmt w:val="bullet"/>
      <w:lvlText w:val=""/>
      <w:lvlJc w:val="left"/>
      <w:pPr>
        <w:ind w:left="2210" w:hanging="360"/>
      </w:pPr>
      <w:rPr>
        <w:rFonts w:ascii="Wingdings" w:hAnsi="Wingdings" w:hint="default"/>
      </w:rPr>
    </w:lvl>
    <w:lvl w:ilvl="3" w:tplc="08160001" w:tentative="1">
      <w:start w:val="1"/>
      <w:numFmt w:val="bullet"/>
      <w:lvlText w:val=""/>
      <w:lvlJc w:val="left"/>
      <w:pPr>
        <w:ind w:left="2930" w:hanging="360"/>
      </w:pPr>
      <w:rPr>
        <w:rFonts w:ascii="Symbol" w:hAnsi="Symbol" w:hint="default"/>
      </w:rPr>
    </w:lvl>
    <w:lvl w:ilvl="4" w:tplc="08160003" w:tentative="1">
      <w:start w:val="1"/>
      <w:numFmt w:val="bullet"/>
      <w:lvlText w:val="o"/>
      <w:lvlJc w:val="left"/>
      <w:pPr>
        <w:ind w:left="3650" w:hanging="360"/>
      </w:pPr>
      <w:rPr>
        <w:rFonts w:ascii="Courier New" w:hAnsi="Courier New" w:cs="Courier New" w:hint="default"/>
      </w:rPr>
    </w:lvl>
    <w:lvl w:ilvl="5" w:tplc="08160005" w:tentative="1">
      <w:start w:val="1"/>
      <w:numFmt w:val="bullet"/>
      <w:lvlText w:val=""/>
      <w:lvlJc w:val="left"/>
      <w:pPr>
        <w:ind w:left="4370" w:hanging="360"/>
      </w:pPr>
      <w:rPr>
        <w:rFonts w:ascii="Wingdings" w:hAnsi="Wingdings" w:hint="default"/>
      </w:rPr>
    </w:lvl>
    <w:lvl w:ilvl="6" w:tplc="08160001" w:tentative="1">
      <w:start w:val="1"/>
      <w:numFmt w:val="bullet"/>
      <w:lvlText w:val=""/>
      <w:lvlJc w:val="left"/>
      <w:pPr>
        <w:ind w:left="5090" w:hanging="360"/>
      </w:pPr>
      <w:rPr>
        <w:rFonts w:ascii="Symbol" w:hAnsi="Symbol" w:hint="default"/>
      </w:rPr>
    </w:lvl>
    <w:lvl w:ilvl="7" w:tplc="08160003" w:tentative="1">
      <w:start w:val="1"/>
      <w:numFmt w:val="bullet"/>
      <w:lvlText w:val="o"/>
      <w:lvlJc w:val="left"/>
      <w:pPr>
        <w:ind w:left="5810" w:hanging="360"/>
      </w:pPr>
      <w:rPr>
        <w:rFonts w:ascii="Courier New" w:hAnsi="Courier New" w:cs="Courier New" w:hint="default"/>
      </w:rPr>
    </w:lvl>
    <w:lvl w:ilvl="8" w:tplc="08160005" w:tentative="1">
      <w:start w:val="1"/>
      <w:numFmt w:val="bullet"/>
      <w:lvlText w:val=""/>
      <w:lvlJc w:val="left"/>
      <w:pPr>
        <w:ind w:left="6530" w:hanging="360"/>
      </w:pPr>
      <w:rPr>
        <w:rFonts w:ascii="Wingdings" w:hAnsi="Wingdings" w:hint="default"/>
      </w:rPr>
    </w:lvl>
  </w:abstractNum>
  <w:abstractNum w:abstractNumId="1" w15:restartNumberingAfterBreak="0">
    <w:nsid w:val="6E3E09C2"/>
    <w:multiLevelType w:val="hybridMultilevel"/>
    <w:tmpl w:val="2078E1B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5C9"/>
    <w:rsid w:val="000150C5"/>
    <w:rsid w:val="001039E1"/>
    <w:rsid w:val="0011246C"/>
    <w:rsid w:val="00114FA9"/>
    <w:rsid w:val="001D3B22"/>
    <w:rsid w:val="001F66C3"/>
    <w:rsid w:val="00207E7A"/>
    <w:rsid w:val="00265282"/>
    <w:rsid w:val="002B0DB2"/>
    <w:rsid w:val="002E2E88"/>
    <w:rsid w:val="002F647F"/>
    <w:rsid w:val="002F7C9E"/>
    <w:rsid w:val="003332D3"/>
    <w:rsid w:val="0037343D"/>
    <w:rsid w:val="00392595"/>
    <w:rsid w:val="003C5A2C"/>
    <w:rsid w:val="00434C65"/>
    <w:rsid w:val="004916AC"/>
    <w:rsid w:val="004B6453"/>
    <w:rsid w:val="004C55C9"/>
    <w:rsid w:val="00504A79"/>
    <w:rsid w:val="00554105"/>
    <w:rsid w:val="00587B45"/>
    <w:rsid w:val="005B77EE"/>
    <w:rsid w:val="00674AEF"/>
    <w:rsid w:val="006D4052"/>
    <w:rsid w:val="00740115"/>
    <w:rsid w:val="0076082B"/>
    <w:rsid w:val="00796FF1"/>
    <w:rsid w:val="007B434F"/>
    <w:rsid w:val="007B5B4B"/>
    <w:rsid w:val="007C61A3"/>
    <w:rsid w:val="007F23C0"/>
    <w:rsid w:val="00857314"/>
    <w:rsid w:val="00865F9D"/>
    <w:rsid w:val="008C18EF"/>
    <w:rsid w:val="008D5EEE"/>
    <w:rsid w:val="00942406"/>
    <w:rsid w:val="009C3DDF"/>
    <w:rsid w:val="009E0E37"/>
    <w:rsid w:val="00A35084"/>
    <w:rsid w:val="00A60FD7"/>
    <w:rsid w:val="00A65E45"/>
    <w:rsid w:val="00AE4DC5"/>
    <w:rsid w:val="00B13EB4"/>
    <w:rsid w:val="00B56C76"/>
    <w:rsid w:val="00B9721E"/>
    <w:rsid w:val="00BB2A0C"/>
    <w:rsid w:val="00BB31D3"/>
    <w:rsid w:val="00BD0407"/>
    <w:rsid w:val="00BF538D"/>
    <w:rsid w:val="00BF5B48"/>
    <w:rsid w:val="00C240F9"/>
    <w:rsid w:val="00C40679"/>
    <w:rsid w:val="00C4790F"/>
    <w:rsid w:val="00C701B1"/>
    <w:rsid w:val="00C851EF"/>
    <w:rsid w:val="00C91BDB"/>
    <w:rsid w:val="00CE2AF9"/>
    <w:rsid w:val="00DA1F1D"/>
    <w:rsid w:val="00DB7837"/>
    <w:rsid w:val="00DC1DEC"/>
    <w:rsid w:val="00DC64FA"/>
    <w:rsid w:val="00DD3B52"/>
    <w:rsid w:val="00DD6287"/>
    <w:rsid w:val="00DF2941"/>
    <w:rsid w:val="00E024FF"/>
    <w:rsid w:val="00E4744B"/>
    <w:rsid w:val="00F861A5"/>
    <w:rsid w:val="00FC706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6DC54"/>
  <w15:chartTrackingRefBased/>
  <w15:docId w15:val="{B684E544-2CA4-4C4F-AA9A-4FE8AEE84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6AC"/>
    <w:pPr>
      <w:spacing w:after="0" w:line="360" w:lineRule="auto"/>
      <w:jc w:val="both"/>
    </w:pPr>
    <w:rPr>
      <w:rFonts w:eastAsiaTheme="minorEastAsia"/>
    </w:rPr>
  </w:style>
  <w:style w:type="paragraph" w:styleId="Heading1">
    <w:name w:val="heading 1"/>
    <w:basedOn w:val="Normal"/>
    <w:next w:val="Normal"/>
    <w:link w:val="Heading1Char"/>
    <w:uiPriority w:val="9"/>
    <w:qFormat/>
    <w:rsid w:val="000150C5"/>
    <w:pPr>
      <w:keepNext/>
      <w:keepLines/>
      <w:spacing w:before="360"/>
      <w:outlineLvl w:val="0"/>
    </w:pPr>
    <w:rPr>
      <w:rFonts w:asciiTheme="majorHAnsi" w:eastAsiaTheme="majorEastAsia" w:hAnsiTheme="majorHAnsi" w:cstheme="majorBidi"/>
      <w:color w:val="262626" w:themeColor="text1" w:themeTint="D9"/>
      <w:sz w:val="32"/>
      <w:szCs w:val="32"/>
    </w:rPr>
  </w:style>
  <w:style w:type="paragraph" w:styleId="Heading3">
    <w:name w:val="heading 3"/>
    <w:basedOn w:val="Normal"/>
    <w:next w:val="Normal"/>
    <w:link w:val="Heading3Char"/>
    <w:uiPriority w:val="9"/>
    <w:semiHidden/>
    <w:unhideWhenUsed/>
    <w:qFormat/>
    <w:rsid w:val="00A3508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07E7A"/>
    <w:rPr>
      <w:sz w:val="16"/>
      <w:szCs w:val="16"/>
    </w:rPr>
  </w:style>
  <w:style w:type="paragraph" w:styleId="CommentText">
    <w:name w:val="annotation text"/>
    <w:basedOn w:val="Normal"/>
    <w:link w:val="CommentTextChar"/>
    <w:uiPriority w:val="99"/>
    <w:semiHidden/>
    <w:unhideWhenUsed/>
    <w:rsid w:val="00207E7A"/>
    <w:pPr>
      <w:spacing w:line="240" w:lineRule="auto"/>
    </w:pPr>
    <w:rPr>
      <w:sz w:val="20"/>
      <w:szCs w:val="20"/>
    </w:rPr>
  </w:style>
  <w:style w:type="character" w:customStyle="1" w:styleId="CommentTextChar">
    <w:name w:val="Comment Text Char"/>
    <w:basedOn w:val="DefaultParagraphFont"/>
    <w:link w:val="CommentText"/>
    <w:uiPriority w:val="99"/>
    <w:semiHidden/>
    <w:rsid w:val="00207E7A"/>
    <w:rPr>
      <w:rFonts w:eastAsiaTheme="minorEastAsia"/>
      <w:sz w:val="20"/>
      <w:szCs w:val="20"/>
    </w:rPr>
  </w:style>
  <w:style w:type="table" w:styleId="TableGrid">
    <w:name w:val="Table Grid"/>
    <w:basedOn w:val="TableNormal"/>
    <w:uiPriority w:val="39"/>
    <w:rsid w:val="00207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265282"/>
    <w:pPr>
      <w:spacing w:after="200" w:line="240" w:lineRule="auto"/>
    </w:pPr>
    <w:rPr>
      <w:i/>
      <w:iCs/>
      <w:color w:val="44546A" w:themeColor="text2"/>
      <w:sz w:val="18"/>
      <w:szCs w:val="18"/>
    </w:rPr>
  </w:style>
  <w:style w:type="paragraph" w:styleId="ListParagraph">
    <w:name w:val="List Paragraph"/>
    <w:basedOn w:val="Normal"/>
    <w:uiPriority w:val="34"/>
    <w:qFormat/>
    <w:rsid w:val="00857314"/>
    <w:pPr>
      <w:ind w:left="720"/>
      <w:contextualSpacing/>
    </w:pPr>
  </w:style>
  <w:style w:type="character" w:customStyle="1" w:styleId="Heading1Char">
    <w:name w:val="Heading 1 Char"/>
    <w:basedOn w:val="DefaultParagraphFont"/>
    <w:link w:val="Heading1"/>
    <w:uiPriority w:val="9"/>
    <w:rsid w:val="000150C5"/>
    <w:rPr>
      <w:rFonts w:asciiTheme="majorHAnsi" w:eastAsiaTheme="majorEastAsia" w:hAnsiTheme="majorHAnsi" w:cstheme="majorBidi"/>
      <w:color w:val="262626" w:themeColor="text1" w:themeTint="D9"/>
      <w:sz w:val="32"/>
      <w:szCs w:val="32"/>
    </w:rPr>
  </w:style>
  <w:style w:type="paragraph" w:styleId="Subtitle">
    <w:name w:val="Subtitle"/>
    <w:basedOn w:val="Normal"/>
    <w:next w:val="Normal"/>
    <w:link w:val="SubtitleChar"/>
    <w:uiPriority w:val="11"/>
    <w:qFormat/>
    <w:rsid w:val="000150C5"/>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0150C5"/>
    <w:rPr>
      <w:rFonts w:eastAsiaTheme="minorEastAsia"/>
      <w:color w:val="5A5A5A" w:themeColor="text1" w:themeTint="A5"/>
      <w:spacing w:val="15"/>
    </w:rPr>
  </w:style>
  <w:style w:type="paragraph" w:styleId="FootnoteText">
    <w:name w:val="footnote text"/>
    <w:basedOn w:val="Normal"/>
    <w:link w:val="FootnoteTextChar"/>
    <w:uiPriority w:val="99"/>
    <w:semiHidden/>
    <w:unhideWhenUsed/>
    <w:rsid w:val="00C4790F"/>
    <w:pPr>
      <w:spacing w:line="240" w:lineRule="auto"/>
      <w:jc w:val="left"/>
    </w:pPr>
    <w:rPr>
      <w:rFonts w:eastAsiaTheme="minorHAnsi"/>
      <w:sz w:val="20"/>
      <w:szCs w:val="20"/>
      <w:lang w:val="en-US"/>
    </w:rPr>
  </w:style>
  <w:style w:type="character" w:customStyle="1" w:styleId="FootnoteTextChar">
    <w:name w:val="Footnote Text Char"/>
    <w:basedOn w:val="DefaultParagraphFont"/>
    <w:link w:val="FootnoteText"/>
    <w:uiPriority w:val="99"/>
    <w:semiHidden/>
    <w:rsid w:val="00C4790F"/>
    <w:rPr>
      <w:sz w:val="20"/>
      <w:szCs w:val="20"/>
      <w:lang w:val="en-US"/>
    </w:rPr>
  </w:style>
  <w:style w:type="character" w:styleId="FootnoteReference">
    <w:name w:val="footnote reference"/>
    <w:basedOn w:val="DefaultParagraphFont"/>
    <w:uiPriority w:val="99"/>
    <w:semiHidden/>
    <w:unhideWhenUsed/>
    <w:rsid w:val="00C4790F"/>
    <w:rPr>
      <w:vertAlign w:val="superscript"/>
    </w:rPr>
  </w:style>
  <w:style w:type="character" w:styleId="Emphasis">
    <w:name w:val="Emphasis"/>
    <w:basedOn w:val="DefaultParagraphFont"/>
    <w:uiPriority w:val="20"/>
    <w:qFormat/>
    <w:rsid w:val="00C851EF"/>
    <w:rPr>
      <w:i/>
      <w:iCs/>
    </w:rPr>
  </w:style>
  <w:style w:type="character" w:styleId="PlaceholderText">
    <w:name w:val="Placeholder Text"/>
    <w:basedOn w:val="DefaultParagraphFont"/>
    <w:uiPriority w:val="99"/>
    <w:semiHidden/>
    <w:rsid w:val="0037343D"/>
    <w:rPr>
      <w:color w:val="808080"/>
    </w:rPr>
  </w:style>
  <w:style w:type="paragraph" w:styleId="Revision">
    <w:name w:val="Revision"/>
    <w:hidden/>
    <w:uiPriority w:val="99"/>
    <w:semiHidden/>
    <w:rsid w:val="00A35084"/>
    <w:pPr>
      <w:spacing w:after="0" w:line="240" w:lineRule="auto"/>
    </w:pPr>
    <w:rPr>
      <w:rFonts w:eastAsiaTheme="minorEastAsia"/>
    </w:rPr>
  </w:style>
  <w:style w:type="character" w:customStyle="1" w:styleId="Heading3Char">
    <w:name w:val="Heading 3 Char"/>
    <w:basedOn w:val="DefaultParagraphFont"/>
    <w:link w:val="Heading3"/>
    <w:uiPriority w:val="9"/>
    <w:semiHidden/>
    <w:rsid w:val="00A35084"/>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AE4DC5"/>
    <w:pPr>
      <w:tabs>
        <w:tab w:val="center" w:pos="4513"/>
        <w:tab w:val="right" w:pos="9026"/>
      </w:tabs>
      <w:spacing w:line="240" w:lineRule="auto"/>
    </w:pPr>
  </w:style>
  <w:style w:type="character" w:customStyle="1" w:styleId="HeaderChar">
    <w:name w:val="Header Char"/>
    <w:basedOn w:val="DefaultParagraphFont"/>
    <w:link w:val="Header"/>
    <w:uiPriority w:val="99"/>
    <w:rsid w:val="00AE4DC5"/>
    <w:rPr>
      <w:rFonts w:eastAsiaTheme="minorEastAsia"/>
    </w:rPr>
  </w:style>
  <w:style w:type="paragraph" w:styleId="Footer">
    <w:name w:val="footer"/>
    <w:basedOn w:val="Normal"/>
    <w:link w:val="FooterChar"/>
    <w:uiPriority w:val="99"/>
    <w:unhideWhenUsed/>
    <w:rsid w:val="00AE4DC5"/>
    <w:pPr>
      <w:tabs>
        <w:tab w:val="center" w:pos="4513"/>
        <w:tab w:val="right" w:pos="9026"/>
      </w:tabs>
      <w:spacing w:line="240" w:lineRule="auto"/>
    </w:pPr>
  </w:style>
  <w:style w:type="character" w:customStyle="1" w:styleId="FooterChar">
    <w:name w:val="Footer Char"/>
    <w:basedOn w:val="DefaultParagraphFont"/>
    <w:link w:val="Footer"/>
    <w:uiPriority w:val="99"/>
    <w:rsid w:val="00AE4DC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467409">
      <w:bodyDiv w:val="1"/>
      <w:marLeft w:val="0"/>
      <w:marRight w:val="0"/>
      <w:marTop w:val="0"/>
      <w:marBottom w:val="0"/>
      <w:divBdr>
        <w:top w:val="none" w:sz="0" w:space="0" w:color="auto"/>
        <w:left w:val="none" w:sz="0" w:space="0" w:color="auto"/>
        <w:bottom w:val="none" w:sz="0" w:space="0" w:color="auto"/>
        <w:right w:val="none" w:sz="0" w:space="0" w:color="auto"/>
      </w:divBdr>
      <w:divsChild>
        <w:div w:id="552236158">
          <w:marLeft w:val="640"/>
          <w:marRight w:val="0"/>
          <w:marTop w:val="0"/>
          <w:marBottom w:val="0"/>
          <w:divBdr>
            <w:top w:val="none" w:sz="0" w:space="0" w:color="auto"/>
            <w:left w:val="none" w:sz="0" w:space="0" w:color="auto"/>
            <w:bottom w:val="none" w:sz="0" w:space="0" w:color="auto"/>
            <w:right w:val="none" w:sz="0" w:space="0" w:color="auto"/>
          </w:divBdr>
        </w:div>
        <w:div w:id="574894114">
          <w:marLeft w:val="640"/>
          <w:marRight w:val="0"/>
          <w:marTop w:val="0"/>
          <w:marBottom w:val="0"/>
          <w:divBdr>
            <w:top w:val="none" w:sz="0" w:space="0" w:color="auto"/>
            <w:left w:val="none" w:sz="0" w:space="0" w:color="auto"/>
            <w:bottom w:val="none" w:sz="0" w:space="0" w:color="auto"/>
            <w:right w:val="none" w:sz="0" w:space="0" w:color="auto"/>
          </w:divBdr>
        </w:div>
      </w:divsChild>
    </w:div>
    <w:div w:id="428895605">
      <w:bodyDiv w:val="1"/>
      <w:marLeft w:val="0"/>
      <w:marRight w:val="0"/>
      <w:marTop w:val="0"/>
      <w:marBottom w:val="0"/>
      <w:divBdr>
        <w:top w:val="none" w:sz="0" w:space="0" w:color="auto"/>
        <w:left w:val="none" w:sz="0" w:space="0" w:color="auto"/>
        <w:bottom w:val="none" w:sz="0" w:space="0" w:color="auto"/>
        <w:right w:val="none" w:sz="0" w:space="0" w:color="auto"/>
      </w:divBdr>
    </w:div>
    <w:div w:id="461463800">
      <w:bodyDiv w:val="1"/>
      <w:marLeft w:val="0"/>
      <w:marRight w:val="0"/>
      <w:marTop w:val="0"/>
      <w:marBottom w:val="0"/>
      <w:divBdr>
        <w:top w:val="none" w:sz="0" w:space="0" w:color="auto"/>
        <w:left w:val="none" w:sz="0" w:space="0" w:color="auto"/>
        <w:bottom w:val="none" w:sz="0" w:space="0" w:color="auto"/>
        <w:right w:val="none" w:sz="0" w:space="0" w:color="auto"/>
      </w:divBdr>
      <w:divsChild>
        <w:div w:id="1964775019">
          <w:marLeft w:val="640"/>
          <w:marRight w:val="0"/>
          <w:marTop w:val="0"/>
          <w:marBottom w:val="0"/>
          <w:divBdr>
            <w:top w:val="none" w:sz="0" w:space="0" w:color="auto"/>
            <w:left w:val="none" w:sz="0" w:space="0" w:color="auto"/>
            <w:bottom w:val="none" w:sz="0" w:space="0" w:color="auto"/>
            <w:right w:val="none" w:sz="0" w:space="0" w:color="auto"/>
          </w:divBdr>
        </w:div>
        <w:div w:id="595671051">
          <w:marLeft w:val="640"/>
          <w:marRight w:val="0"/>
          <w:marTop w:val="0"/>
          <w:marBottom w:val="0"/>
          <w:divBdr>
            <w:top w:val="none" w:sz="0" w:space="0" w:color="auto"/>
            <w:left w:val="none" w:sz="0" w:space="0" w:color="auto"/>
            <w:bottom w:val="none" w:sz="0" w:space="0" w:color="auto"/>
            <w:right w:val="none" w:sz="0" w:space="0" w:color="auto"/>
          </w:divBdr>
        </w:div>
      </w:divsChild>
    </w:div>
    <w:div w:id="481429433">
      <w:bodyDiv w:val="1"/>
      <w:marLeft w:val="0"/>
      <w:marRight w:val="0"/>
      <w:marTop w:val="0"/>
      <w:marBottom w:val="0"/>
      <w:divBdr>
        <w:top w:val="none" w:sz="0" w:space="0" w:color="auto"/>
        <w:left w:val="none" w:sz="0" w:space="0" w:color="auto"/>
        <w:bottom w:val="none" w:sz="0" w:space="0" w:color="auto"/>
        <w:right w:val="none" w:sz="0" w:space="0" w:color="auto"/>
      </w:divBdr>
      <w:divsChild>
        <w:div w:id="1212159093">
          <w:marLeft w:val="640"/>
          <w:marRight w:val="0"/>
          <w:marTop w:val="0"/>
          <w:marBottom w:val="0"/>
          <w:divBdr>
            <w:top w:val="none" w:sz="0" w:space="0" w:color="auto"/>
            <w:left w:val="none" w:sz="0" w:space="0" w:color="auto"/>
            <w:bottom w:val="none" w:sz="0" w:space="0" w:color="auto"/>
            <w:right w:val="none" w:sz="0" w:space="0" w:color="auto"/>
          </w:divBdr>
        </w:div>
        <w:div w:id="1416435060">
          <w:marLeft w:val="640"/>
          <w:marRight w:val="0"/>
          <w:marTop w:val="0"/>
          <w:marBottom w:val="0"/>
          <w:divBdr>
            <w:top w:val="none" w:sz="0" w:space="0" w:color="auto"/>
            <w:left w:val="none" w:sz="0" w:space="0" w:color="auto"/>
            <w:bottom w:val="none" w:sz="0" w:space="0" w:color="auto"/>
            <w:right w:val="none" w:sz="0" w:space="0" w:color="auto"/>
          </w:divBdr>
        </w:div>
      </w:divsChild>
    </w:div>
    <w:div w:id="925303225">
      <w:bodyDiv w:val="1"/>
      <w:marLeft w:val="0"/>
      <w:marRight w:val="0"/>
      <w:marTop w:val="0"/>
      <w:marBottom w:val="0"/>
      <w:divBdr>
        <w:top w:val="none" w:sz="0" w:space="0" w:color="auto"/>
        <w:left w:val="none" w:sz="0" w:space="0" w:color="auto"/>
        <w:bottom w:val="none" w:sz="0" w:space="0" w:color="auto"/>
        <w:right w:val="none" w:sz="0" w:space="0" w:color="auto"/>
      </w:divBdr>
      <w:divsChild>
        <w:div w:id="532423155">
          <w:marLeft w:val="640"/>
          <w:marRight w:val="0"/>
          <w:marTop w:val="0"/>
          <w:marBottom w:val="0"/>
          <w:divBdr>
            <w:top w:val="none" w:sz="0" w:space="0" w:color="auto"/>
            <w:left w:val="none" w:sz="0" w:space="0" w:color="auto"/>
            <w:bottom w:val="none" w:sz="0" w:space="0" w:color="auto"/>
            <w:right w:val="none" w:sz="0" w:space="0" w:color="auto"/>
          </w:divBdr>
        </w:div>
        <w:div w:id="45304301">
          <w:marLeft w:val="640"/>
          <w:marRight w:val="0"/>
          <w:marTop w:val="0"/>
          <w:marBottom w:val="0"/>
          <w:divBdr>
            <w:top w:val="none" w:sz="0" w:space="0" w:color="auto"/>
            <w:left w:val="none" w:sz="0" w:space="0" w:color="auto"/>
            <w:bottom w:val="none" w:sz="0" w:space="0" w:color="auto"/>
            <w:right w:val="none" w:sz="0" w:space="0" w:color="auto"/>
          </w:divBdr>
        </w:div>
      </w:divsChild>
    </w:div>
    <w:div w:id="1397782029">
      <w:bodyDiv w:val="1"/>
      <w:marLeft w:val="0"/>
      <w:marRight w:val="0"/>
      <w:marTop w:val="0"/>
      <w:marBottom w:val="0"/>
      <w:divBdr>
        <w:top w:val="none" w:sz="0" w:space="0" w:color="auto"/>
        <w:left w:val="none" w:sz="0" w:space="0" w:color="auto"/>
        <w:bottom w:val="none" w:sz="0" w:space="0" w:color="auto"/>
        <w:right w:val="none" w:sz="0" w:space="0" w:color="auto"/>
      </w:divBdr>
      <w:divsChild>
        <w:div w:id="265355287">
          <w:marLeft w:val="640"/>
          <w:marRight w:val="0"/>
          <w:marTop w:val="0"/>
          <w:marBottom w:val="0"/>
          <w:divBdr>
            <w:top w:val="none" w:sz="0" w:space="0" w:color="auto"/>
            <w:left w:val="none" w:sz="0" w:space="0" w:color="auto"/>
            <w:bottom w:val="none" w:sz="0" w:space="0" w:color="auto"/>
            <w:right w:val="none" w:sz="0" w:space="0" w:color="auto"/>
          </w:divBdr>
        </w:div>
        <w:div w:id="2037582164">
          <w:marLeft w:val="640"/>
          <w:marRight w:val="0"/>
          <w:marTop w:val="0"/>
          <w:marBottom w:val="0"/>
          <w:divBdr>
            <w:top w:val="none" w:sz="0" w:space="0" w:color="auto"/>
            <w:left w:val="none" w:sz="0" w:space="0" w:color="auto"/>
            <w:bottom w:val="none" w:sz="0" w:space="0" w:color="auto"/>
            <w:right w:val="none" w:sz="0" w:space="0" w:color="auto"/>
          </w:divBdr>
        </w:div>
      </w:divsChild>
    </w:div>
    <w:div w:id="1436830017">
      <w:bodyDiv w:val="1"/>
      <w:marLeft w:val="0"/>
      <w:marRight w:val="0"/>
      <w:marTop w:val="0"/>
      <w:marBottom w:val="0"/>
      <w:divBdr>
        <w:top w:val="none" w:sz="0" w:space="0" w:color="auto"/>
        <w:left w:val="none" w:sz="0" w:space="0" w:color="auto"/>
        <w:bottom w:val="none" w:sz="0" w:space="0" w:color="auto"/>
        <w:right w:val="none" w:sz="0" w:space="0" w:color="auto"/>
      </w:divBdr>
    </w:div>
    <w:div w:id="1547644605">
      <w:bodyDiv w:val="1"/>
      <w:marLeft w:val="0"/>
      <w:marRight w:val="0"/>
      <w:marTop w:val="0"/>
      <w:marBottom w:val="0"/>
      <w:divBdr>
        <w:top w:val="none" w:sz="0" w:space="0" w:color="auto"/>
        <w:left w:val="none" w:sz="0" w:space="0" w:color="auto"/>
        <w:bottom w:val="none" w:sz="0" w:space="0" w:color="auto"/>
        <w:right w:val="none" w:sz="0" w:space="0" w:color="auto"/>
      </w:divBdr>
      <w:divsChild>
        <w:div w:id="1613366359">
          <w:marLeft w:val="640"/>
          <w:marRight w:val="0"/>
          <w:marTop w:val="0"/>
          <w:marBottom w:val="0"/>
          <w:divBdr>
            <w:top w:val="none" w:sz="0" w:space="0" w:color="auto"/>
            <w:left w:val="none" w:sz="0" w:space="0" w:color="auto"/>
            <w:bottom w:val="none" w:sz="0" w:space="0" w:color="auto"/>
            <w:right w:val="none" w:sz="0" w:space="0" w:color="auto"/>
          </w:divBdr>
        </w:div>
        <w:div w:id="370151200">
          <w:marLeft w:val="640"/>
          <w:marRight w:val="0"/>
          <w:marTop w:val="0"/>
          <w:marBottom w:val="0"/>
          <w:divBdr>
            <w:top w:val="none" w:sz="0" w:space="0" w:color="auto"/>
            <w:left w:val="none" w:sz="0" w:space="0" w:color="auto"/>
            <w:bottom w:val="none" w:sz="0" w:space="0" w:color="auto"/>
            <w:right w:val="none" w:sz="0" w:space="0" w:color="auto"/>
          </w:divBdr>
        </w:div>
      </w:divsChild>
    </w:div>
    <w:div w:id="1907766724">
      <w:bodyDiv w:val="1"/>
      <w:marLeft w:val="0"/>
      <w:marRight w:val="0"/>
      <w:marTop w:val="0"/>
      <w:marBottom w:val="0"/>
      <w:divBdr>
        <w:top w:val="none" w:sz="0" w:space="0" w:color="auto"/>
        <w:left w:val="none" w:sz="0" w:space="0" w:color="auto"/>
        <w:bottom w:val="none" w:sz="0" w:space="0" w:color="auto"/>
        <w:right w:val="none" w:sz="0" w:space="0" w:color="auto"/>
      </w:divBdr>
      <w:divsChild>
        <w:div w:id="1747150516">
          <w:marLeft w:val="640"/>
          <w:marRight w:val="0"/>
          <w:marTop w:val="0"/>
          <w:marBottom w:val="0"/>
          <w:divBdr>
            <w:top w:val="none" w:sz="0" w:space="0" w:color="auto"/>
            <w:left w:val="none" w:sz="0" w:space="0" w:color="auto"/>
            <w:bottom w:val="none" w:sz="0" w:space="0" w:color="auto"/>
            <w:right w:val="none" w:sz="0" w:space="0" w:color="auto"/>
          </w:divBdr>
        </w:div>
        <w:div w:id="1050349402">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64FC50E-E007-464B-A134-1B16050307B5}"/>
      </w:docPartPr>
      <w:docPartBody>
        <w:p w:rsidR="00617662" w:rsidRDefault="00CC233D">
          <w:r w:rsidRPr="00FA62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33D"/>
    <w:rsid w:val="00080E76"/>
    <w:rsid w:val="00617662"/>
    <w:rsid w:val="00CC233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0E7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0A1AE1-B5D9-4971-AC2C-3A59F2F4AAFC}">
  <we:reference id="wa104382081" version="1.35.0.0" store="en-US" storeType="OMEX"/>
  <we:alternateReferences>
    <we:reference id="wa104382081" version="1.35.0.0" store="WA104382081" storeType="OMEX"/>
  </we:alternateReferences>
  <we:properties>
    <we:property name="MENDELEY_CITATIONS" value="[{&quot;citationID&quot;:&quot;MENDELEY_CITATION_432ff9aa-9624-4a22-a785-7581f06a2fc5&quot;,&quot;citationItems&quot;:[{&quot;id&quot;:&quot;2344455c-1f25-3c4a-b052-cb7604edc301&quot;,&quot;itemData&quot;:{&quot;DOI&quot;:&quot;10.1016/J.JACI.2015.07.046/ATTACHMENT/F2D27694-16F8-4A13-AA0F-C0E575E4D6C0/MMC4.PDF&quot;,&quot;ISSN&quot;:&quot;10976825&quot;,&quot;PMID&quot;:&quot;26414880&quot;,&quot;abstract&quot;:&quot;Background Many patients with severe asthma require maintenance treatment with systemic corticosteroids (SCSs) to control daily symptoms and prevent serious acute exacerbations, but chronic SCS use is associated with complications. Objective We sought to evaluate the risk of SCS-related complications by SCS exposure and quantify the associated health care costs and resource use in patients with severe asthma. Methods We performed a longitudinal, open-cohort, observational study using health insurance claims data (1997-2013: Medicaid) from Florida, Iowa, Kansas, Missouri, Mississippi, and New Jersey. Eligible patients were 12 years old or older with 2 or more asthma diagnoses and had more than 6 months of continuous SCS use. An open-cohort approach was used to classify patients' follow-up into low, medium, and high SCS exposure (≥ 6,&gt;, and &gt;d, respectively). Multivariate generalized estimating equation models were used to estimate the adjusted risk of SCS-related complications for patients with medium and high exposure compared with patients with low exposure and quantify the resulting health care resource use and costs. Results The study included 3628 patients (mean age, 57.6 years; 68% female). Patients with medium and high SCS exposure had significantly higher risks of SCS-related complications, including infections and cardiovascular, metabolic, psychiatric, ocular, gastrointestinal, and bone-related complications (odds ratio, 1.23-2.12 by complication; P &lt;.05 for all but one) versus those with low (reference group) SCS exposure. Medium and high SCS exposure were also associated with significantly more emergency department visits (incidence rate ratios, 1.31 [P =.0004] and 1.78 [P &lt;.0001]) and inpatient visits (incidence rate ratios, 1.25 [P &lt;.0001] and 1.59 [P &lt;.0001]) versus low SCS exposure. Conclusions A significant dose-response relationship was demonstrated between chronic SCS use and risk of SCS-related complications in patients with severe asthma. Effective SCS-sparing strategies might reduce the burden associated with SCS-related complications in patients with severe asthma.&quot;,&quot;author&quot;:[{&quot;dropping-particle&quot;:&quot;&quot;,&quot;family&quot;:&quot;Lefebvre&quot;,&quot;given&quot;:&quot;Patrick&quot;,&quot;non-dropping-particle&quot;:&quot;&quot;,&quot;parse-names&quot;:false,&quot;suffix&quot;:&quot;&quot;},{&quot;dropping-particle&quot;:&quot;&quot;,&quot;family&quot;:&quot;Duh&quot;,&quot;given&quot;:&quot;Mei Sheng&quot;,&quot;non-dropping-particle&quot;:&quot;&quot;,&quot;parse-names&quot;:false,&quot;suffix&quot;:&quot;&quot;},{&quot;dropping-particle&quot;:&quot;&quot;,&quot;family&quot;:&quot;Lafeuille&quot;,&quot;given&quot;:&quot;Marie Hélène&quot;,&quot;non-dropping-particle&quot;:&quot;&quot;,&quot;parse-names&quot;:false,&quot;suffix&quot;:&quot;&quot;},{&quot;dropping-particle&quot;:&quot;&quot;,&quot;family&quot;:&quot;Gozalo&quot;,&quot;given&quot;:&quot;Laurence&quot;,&quot;non-dropping-particle&quot;:&quot;&quot;,&quot;parse-names&quot;:false,&quot;suffix&quot;:&quot;&quot;},{&quot;dropping-particle&quot;:&quot;&quot;,&quot;family&quot;:&quot;Desai&quot;,&quot;given&quot;:&quot;Urvi&quot;,&quot;non-dropping-particle&quot;:&quot;&quot;,&quot;parse-names&quot;:false,&quot;suffix&quot;:&quot;&quot;},{&quot;dropping-particle&quot;:&quot;&quot;,&quot;family&quot;:&quot;Robitaille&quot;,&quot;given&quot;:&quot;Marie Noëlle&quot;,&quot;non-dropping-particle&quot;:&quot;&quot;,&quot;parse-names&quot;:false,&quot;suffix&quot;:&quot;&quot;},{&quot;dropping-particle&quot;:&quot;&quot;,&quot;family&quot;:&quot;Albers&quot;,&quot;given&quot;:&quot;Frank&quot;,&quot;non-dropping-particle&quot;:&quot;&quot;,&quot;parse-names&quot;:false,&quot;suffix&quot;:&quot;&quot;},{&quot;dropping-particle&quot;:&quot;&quot;,&quot;family&quot;:&quot;Yancey&quot;,&quot;given&quot;:&quot;Steve&quot;,&quot;non-dropping-particle&quot;:&quot;&quot;,&quot;parse-names&quot;:false,&quot;suffix&quot;:&quot;&quot;},{&quot;dropping-particle&quot;:&quot;&quot;,&quot;family&quot;:&quot;Ortega&quot;,&quot;given&quot;:&quot;Hector&quot;,&quot;non-dropping-particle&quot;:&quot;&quot;,&quot;parse-names&quot;:false,&quot;suffix&quot;:&quot;&quot;},{&quot;dropping-particle&quot;:&quot;&quot;,&quot;family&quot;:&quot;Forshag&quot;,&quot;given&quot;:&quot;Mark&quot;,&quot;non-dropping-particle&quot;:&quot;&quot;,&quot;parse-names&quot;:false,&quot;suffix&quot;:&quot;&quot;},{&quot;dropping-particle&quot;:&quot;&quot;,&quot;family&quot;:&quot;Lin&quot;,&quot;given&quot;:&quot;Xiwu&quot;,&quot;non-dropping-particle&quot;:&quot;&quot;,&quot;parse-names&quot;:false,&quot;suffix&quot;:&quot;&quot;},{&quot;dropping-particle&quot;:&quot;&quot;,&quot;family&quot;:&quot;Dalal&quot;,&quot;given&quot;:&quot;Anand A.&quot;,&quot;non-dropping-particle&quot;:&quot;&quot;,&quot;parse-names&quot;:false,&quot;suffix&quot;:&quot;&quot;}],&quot;container-title&quot;:&quot;Journal of Allergy and Clinical Immunology&quot;,&quot;id&quot;:&quot;2344455c-1f25-3c4a-b052-cb7604edc301&quot;,&quot;issue&quot;:&quot;6&quot;,&quot;issued&quot;:{&quot;date-parts&quot;:[[&quot;2015&quot;,&quot;12&quot;,&quot;1&quot;]]},&quot;page&quot;:&quot;1488-1495&quot;,&quot;publisher&quot;:&quot;Mosby Inc.&quot;,&quot;title&quot;:&quot;Acute and chronic systemic corticosteroid-related complications in patients with severe asthma [Supplementary material: eTable 1]&quot;,&quot;type&quot;:&quot;article-journal&quot;,&quot;volume&quot;:&quot;136&quot;},&quot;uris&quot;:[&quot;http://www.mendeley.com/documents/?uuid=2344455c-1f25-3c4a-b052-cb7604edc301&quot;],&quot;isTemporary&quot;:false,&quot;legacyDesktopId&quot;:&quot;2344455c-1f25-3c4a-b052-cb7604edc301&quot;},{&quot;id&quot;:&quot;19563d94-b805-3651-8e20-f685fec0f8ba&quot;,&quot;itemData&quot;:{&quot;DOI&quot;:&quot;10.1186/s40360-016-0111-8&quot;,&quot;ISSN&quot;:&quot;20506511&quot;,&quot;PMID&quot;:&quot;28057083&quot;,&quot;abstract&quot;:&quot;Background: Deflazacort is a synthetic corticosteroid characterized by a favourable pharmacokinetic profile, peculiar pharmacodynamic properties and a good safety profile. However, to the best of our knowledge, no dose-conversion table based on direct comparison of relative potencies between deflazacort and other main corticosteroids is currently available in scientific literature. Main body: This paper, while reporting a brief review of deflazacort pharmacological properties, its efficacy and tolerability in different clinical areas, has been designed with the specific aim of providing a new dose-conversion table of corticosteroids, including for the first time also deflazacort. Short conclusion: We suggest that this new conversion table could be a useful tool for physicians who need to select the appropriate dose of deflazacort in their clinical practice.&quot;,&quot;author&quot;:[{&quot;dropping-particle&quot;:&quot;&quot;,&quot;family&quot;:&quot;Parente&quot;,&quot;given&quot;:&quot;Luca&quot;,&quot;non-dropping-particle&quot;:&quot;&quot;,&quot;parse-names&quot;:false,&quot;suffix&quot;:&quot;&quot;}],&quot;container-title&quot;:&quot;BMC Pharmacology and Toxicology&quot;,&quot;id&quot;:&quot;19563d94-b805-3651-8e20-f685fec0f8ba&quot;,&quot;issue&quot;:&quot;1&quot;,&quot;issued&quot;:{&quot;date-parts&quot;:[[&quot;2017&quot;]]},&quot;title&quot;:&quot;Deflazacort: Therapeutic index, relative potency and equivalent doses versus other corticosteroids&quot;,&quot;type&quot;:&quot;article-journal&quot;,&quot;volume&quot;:&quot;18&quot;},&quot;uris&quot;:[&quot;http://www.mendeley.com/documents/?uuid=19563d94-b805-3651-8e20-f685fec0f8ba&quot;],&quot;isTemporary&quot;:false,&quot;legacyDesktopId&quot;:&quot;19563d94-b805-3651-8e20-f685fec0f8ba&quot;}],&quot;properties&quot;:{&quot;noteIndex&quot;:0},&quot;isEdited&quot;:false,&quot;manualOverride&quot;:{&quot;citeprocText&quot;:&quot;(S1,S2)&quot;,&quot;isManuallyOverridden&quot;:true,&quot;manualOverrideText&quot;:&quot;(S1, S2)&quot;},&quot;citationTag&quot;:&quot;MENDELEY_CITATION_v3_eyJjaXRhdGlvbklEIjoiTUVOREVMRVlfQ0lUQVRJT05fNDMyZmY5YWEtOTYyNC00YTIyLWE3ODUtNzU4MWYwNmEyZmM1IiwiY2l0YXRpb25JdGVtcyI6W3siaWQiOiIyMzQ0NDU1Yy0xZjI1LTNjNGEtYjA1Mi1jYjc2MDRlZGMzMDEiLCJpdGVtRGF0YSI6eyJET0kiOiIxMC4xMDE2L0ouSkFDSS4yMDE1LjA3LjA0Ni9BVFRBQ0hNRU5UL0YyRDI3Njk0LTE2RjgtNEExMy1BQTBGLUMwRTU3NUU0RDZDMC9NTUM0LlBERiIsIklTU04iOiIxMDk3NjgyNSIsIlBNSUQiOiIyNjQxNDg4MCIsImFic3RyYWN0IjoiQmFja2dyb3VuZCBNYW55IHBhdGllbnRzIHdpdGggc2V2ZXJlIGFzdGhtYSByZXF1aXJlIG1haW50ZW5hbmNlIHRyZWF0bWVudCB3aXRoIHN5c3RlbWljIGNvcnRpY29zdGVyb2lkcyAoU0NTcykgdG8gY29udHJvbCBkYWlseSBzeW1wdG9tcyBhbmQgcHJldmVudCBzZXJpb3VzIGFjdXRlIGV4YWNlcmJhdGlvbnMsIGJ1dCBjaHJvbmljIFNDUyB1c2UgaXMgYXNzb2NpYXRlZCB3aXRoIGNvbXBsaWNhdGlvbnMuIE9iamVjdGl2ZSBXZSBzb3VnaHQgdG8gZXZhbHVhdGUgdGhlIHJpc2sgb2YgU0NTLXJlbGF0ZWQgY29tcGxpY2F0aW9ucyBieSBTQ1MgZXhwb3N1cmUgYW5kIHF1YW50aWZ5IHRoZSBhc3NvY2lhdGVkIGhlYWx0aCBjYXJlIGNvc3RzIGFuZCByZXNvdXJjZSB1c2UgaW4gcGF0aWVudHMgd2l0aCBzZXZlcmUgYXN0aG1hLiBNZXRob2RzIFdlIHBlcmZvcm1lZCBhIGxvbmdpdHVkaW5hbCwgb3Blbi1jb2hvcnQsIG9ic2VydmF0aW9uYWwgc3R1ZHkgdXNpbmcgaGVhbHRoIGluc3VyYW5jZSBjbGFpbXMgZGF0YSAoMTk5Ny0yMDEzOiBNZWRpY2FpZCkgZnJvbSBGbG9yaWRhLCBJb3dhLCBLYW5zYXMsIE1pc3NvdXJpLCBNaXNzaXNzaXBwaSwgYW5kIE5ldyBKZXJzZXkuIEVsaWdpYmxlIHBhdGllbnRzIHdlcmUgMTIgeWVhcnMgb2xkIG9yIG9sZGVyIHdpdGggMiBvciBtb3JlIGFzdGhtYSBkaWFnbm9zZXMgYW5kIGhhZCBtb3JlIHRoYW4gNiBtb250aHMgb2YgY29udGludW91cyBTQ1MgdXNlLiBBbiBvcGVuLWNvaG9ydCBhcHByb2FjaCB3YXMgdXNlZCB0byBjbGFzc2lmeSBwYXRpZW50cycgZm9sbG93LXVwIGludG8gbG93LCBtZWRpdW0sIGFuZCBoaWdoIFNDUyBleHBvc3VyZSAo4omlIDYsPiwgYW5kID5kLCByZXNwZWN0aXZlbHkpLiBNdWx0aXZhcmlhdGUgZ2VuZXJhbGl6ZWQgZXN0aW1hdGluZyBlcXVhdGlvbiBtb2RlbHMgd2VyZSB1c2VkIHRvIGVzdGltYXRlIHRoZSBhZGp1c3RlZCByaXNrIG9mIFNDUy1yZWxhdGVkIGNvbXBsaWNhdGlvbnMgZm9yIHBhdGllbnRzIHdpdGggbWVkaXVtIGFuZCBoaWdoIGV4cG9zdXJlIGNvbXBhcmVkIHdpdGggcGF0aWVudHMgd2l0aCBsb3cgZXhwb3N1cmUgYW5kIHF1YW50aWZ5IHRoZSByZXN1bHRpbmcgaGVhbHRoIGNhcmUgcmVzb3VyY2UgdXNlIGFuZCBjb3N0cy4gUmVzdWx0cyBUaGUgc3R1ZHkgaW5jbHVkZWQgMzYyOCBwYXRpZW50cyAobWVhbiBhZ2UsIDU3LjYgeWVhcnM7IDY4JSBmZW1hbGUpLiBQYXRpZW50cyB3aXRoIG1lZGl1bSBhbmQgaGlnaCBTQ1MgZXhwb3N1cmUgaGFkIHNpZ25pZmljYW50bHkgaGlnaGVyIHJpc2tzIG9mIFNDUy1yZWxhdGVkIGNvbXBsaWNhdGlvbnMsIGluY2x1ZGluZyBpbmZlY3Rpb25zIGFuZCBjYXJkaW92YXNjdWxhciwgbWV0YWJvbGljLCBwc3ljaGlhdHJpYywgb2N1bGFyLCBnYXN0cm9pbnRlc3RpbmFsLCBhbmQgYm9uZS1yZWxhdGVkIGNvbXBsaWNhdGlvbnMgKG9kZHMgcmF0aW8sIDEuMjMtMi4xMiBieSBjb21wbGljYXRpb247IFAgPC4wNSBmb3IgYWxsIGJ1dCBvbmUpIHZlcnN1cyB0aG9zZSB3aXRoIGxvdyAocmVmZXJlbmNlIGdyb3VwKSBTQ1MgZXhwb3N1cmUuIE1lZGl1bSBhbmQgaGlnaCBTQ1MgZXhwb3N1cmUgd2VyZSBhbHNvIGFzc29jaWF0ZWQgd2l0aCBzaWduaWZpY2FudGx5IG1vcmUgZW1lcmdlbmN5IGRlcGFydG1lbnQgdmlzaXRzIChpbmNpZGVuY2UgcmF0ZSByYXRpb3MsIDEuMzEgW1AgPS4wMDA0XSBhbmQgMS43OCBbUCA8LjAwMDFdKSBhbmQgaW5wYXRpZW50IHZpc2l0cyAoaW5jaWRlbmNlIHJhdGUgcmF0aW9zLCAxLjI1IFtQIDwuMDAwMV0gYW5kIDEuNTkgW1AgPC4wMDAxXSkgdmVyc3VzIGxvdyBTQ1MgZXhwb3N1cmUuIENvbmNsdXNpb25zIEEgc2lnbmlmaWNhbnQgZG9zZS1yZXNwb25zZSByZWxhdGlvbnNoaXAgd2FzIGRlbW9uc3RyYXRlZCBiZXR3ZWVuIGNocm9uaWMgU0NTIHVzZSBhbmQgcmlzayBvZiBTQ1MtcmVsYXRlZCBjb21wbGljYXRpb25zIGluIHBhdGllbnRzIHdpdGggc2V2ZXJlIGFzdGhtYS4gRWZmZWN0aXZlIFNDUy1zcGFyaW5nIHN0cmF0ZWdpZXMgbWlnaHQgcmVkdWNlIHRoZSBidXJkZW4gYXNzb2NpYXRlZCB3aXRoIFNDUy1yZWxhdGVkIGNvbXBsaWNhdGlvbnMgaW4gcGF0aWVudHMgd2l0aCBzZXZlcmUgYXN0aG1hLiIsImF1dGhvciI6W3siZHJvcHBpbmctcGFydGljbGUiOiIiLCJmYW1pbHkiOiJMZWZlYnZyZSIsImdpdmVuIjoiUGF0cmljayIsIm5vbi1kcm9wcGluZy1wYXJ0aWNsZSI6IiIsInBhcnNlLW5hbWVzIjpmYWxzZSwic3VmZml4IjoiIn0seyJkcm9wcGluZy1wYXJ0aWNsZSI6IiIsImZhbWlseSI6IkR1aCIsImdpdmVuIjoiTWVpIFNoZW5nIiwibm9uLWRyb3BwaW5nLXBhcnRpY2xlIjoiIiwicGFyc2UtbmFtZXMiOmZhbHNlLCJzdWZmaXgiOiIifSx7ImRyb3BwaW5nLXBhcnRpY2xlIjoiIiwiZmFtaWx5IjoiTGFmZXVpbGxlIiwiZ2l2ZW4iOiJNYXJpZSBIw6lsw6huZSIsIm5vbi1kcm9wcGluZy1wYXJ0aWNsZSI6IiIsInBhcnNlLW5hbWVzIjpmYWxzZSwic3VmZml4IjoiIn0seyJkcm9wcGluZy1wYXJ0aWNsZSI6IiIsImZhbWlseSI6IkdvemFsbyIsImdpdmVuIjoiTGF1cmVuY2UiLCJub24tZHJvcHBpbmctcGFydGljbGUiOiIiLCJwYXJzZS1uYW1lcyI6ZmFsc2UsInN1ZmZpeCI6IiJ9LHsiZHJvcHBpbmctcGFydGljbGUiOiIiLCJmYW1pbHkiOiJEZXNhaSIsImdpdmVuIjoiVXJ2aSIsIm5vbi1kcm9wcGluZy1wYXJ0aWNsZSI6IiIsInBhcnNlLW5hbWVzIjpmYWxzZSwic3VmZml4IjoiIn0seyJkcm9wcGluZy1wYXJ0aWNsZSI6IiIsImZhbWlseSI6IlJvYml0YWlsbGUiLCJnaXZlbiI6Ik1hcmllIE5vw6tsbGUiLCJub24tZHJvcHBpbmctcGFydGljbGUiOiIiLCJwYXJzZS1uYW1lcyI6ZmFsc2UsInN1ZmZpeCI6IiJ9LHsiZHJvcHBpbmctcGFydGljbGUiOiIiLCJmYW1pbHkiOiJBbGJlcnMiLCJnaXZlbiI6IkZyYW5rIiwibm9uLWRyb3BwaW5nLXBhcnRpY2xlIjoiIiwicGFyc2UtbmFtZXMiOmZhbHNlLCJzdWZmaXgiOiIifSx7ImRyb3BwaW5nLXBhcnRpY2xlIjoiIiwiZmFtaWx5IjoiWWFuY2V5IiwiZ2l2ZW4iOiJTdGV2ZSIsIm5vbi1kcm9wcGluZy1wYXJ0aWNsZSI6IiIsInBhcnNlLW5hbWVzIjpmYWxzZSwic3VmZml4IjoiIn0seyJkcm9wcGluZy1wYXJ0aWNsZSI6IiIsImZhbWlseSI6Ik9ydGVnYSIsImdpdmVuIjoiSGVjdG9yIiwibm9uLWRyb3BwaW5nLXBhcnRpY2xlIjoiIiwicGFyc2UtbmFtZXMiOmZhbHNlLCJzdWZmaXgiOiIifSx7ImRyb3BwaW5nLXBhcnRpY2xlIjoiIiwiZmFtaWx5IjoiRm9yc2hhZyIsImdpdmVuIjoiTWFyayIsIm5vbi1kcm9wcGluZy1wYXJ0aWNsZSI6IiIsInBhcnNlLW5hbWVzIjpmYWxzZSwic3VmZml4IjoiIn0seyJkcm9wcGluZy1wYXJ0aWNsZSI6IiIsImZhbWlseSI6IkxpbiIsImdpdmVuIjoiWGl3dSIsIm5vbi1kcm9wcGluZy1wYXJ0aWNsZSI6IiIsInBhcnNlLW5hbWVzIjpmYWxzZSwic3VmZml4IjoiIn0seyJkcm9wcGluZy1wYXJ0aWNsZSI6IiIsImZhbWlseSI6IkRhbGFsIiwiZ2l2ZW4iOiJBbmFuZCBBLiIsIm5vbi1kcm9wcGluZy1wYXJ0aWNsZSI6IiIsInBhcnNlLW5hbWVzIjpmYWxzZSwic3VmZml4IjoiIn1dLCJjb250YWluZXItdGl0bGUiOiJKb3VybmFsIG9mIEFsbGVyZ3kgYW5kIENsaW5pY2FsIEltbXVub2xvZ3kiLCJpZCI6IjIzNDQ0NTVjLTFmMjUtM2M0YS1iMDUyLWNiNzYwNGVkYzMwMSIsImlzc3VlIjoiNiIsImlzc3VlZCI6eyJkYXRlLXBhcnRzIjpbWyIyMDE1IiwiMTIiLCIxIl1dfSwicGFnZSI6IjE0ODgtMTQ5NSIsInB1Ymxpc2hlciI6Ik1vc2J5IEluYy4iLCJ0aXRsZSI6IkFjdXRlIGFuZCBjaHJvbmljIHN5c3RlbWljIGNvcnRpY29zdGVyb2lkLXJlbGF0ZWQgY29tcGxpY2F0aW9ucyBpbiBwYXRpZW50cyB3aXRoIHNldmVyZSBhc3RobWEgW1N1cHBsZW1lbnRhcnkgbWF0ZXJpYWw6IGVUYWJsZSAxXSIsInR5cGUiOiJhcnRpY2xlLWpvdXJuYWwiLCJ2b2x1bWUiOiIxMzYifSwidXJpcyI6WyJodHRwOi8vd3d3Lm1lbmRlbGV5LmNvbS9kb2N1bWVudHMvP3V1aWQ9MjM0NDQ1NWMtMWYyNS0zYzRhLWIwNTItY2I3NjA0ZWRjMzAxIl0sImlzVGVtcG9yYXJ5IjpmYWxzZSwibGVnYWN5RGVza3RvcElkIjoiMjM0NDQ1NWMtMWYyNS0zYzRhLWIwNTItY2I3NjA0ZWRjMzAxIn0seyJpZCI6IjE5NTYzZDk0LWI4MDUtMzY1MS04ZTIwLWY2ODVmZWMwZjhiYSIsIml0ZW1EYXRhIjp7IkRPSSI6IjEwLjExODYvczQwMzYwLTAxNi0wMTExLTgiLCJJU1NOIjoiMjA1MDY1MTEiLCJQTUlEIjoiMjgwNTcwODMiLCJhYnN0cmFjdCI6IkJhY2tncm91bmQ6IERlZmxhemFjb3J0IGlzIGEgc3ludGhldGljIGNvcnRpY29zdGVyb2lkIGNoYXJhY3Rlcml6ZWQgYnkgYSBmYXZvdXJhYmxlIHBoYXJtYWNva2luZXRpYyBwcm9maWxlLCBwZWN1bGlhciBwaGFybWFjb2R5bmFtaWMgcHJvcGVydGllcyBhbmQgYSBnb29kIHNhZmV0eSBwcm9maWxlLiBIb3dldmVyLCB0byB0aGUgYmVzdCBvZiBvdXIga25vd2xlZGdlLCBubyBkb3NlLWNvbnZlcnNpb24gdGFibGUgYmFzZWQgb24gZGlyZWN0IGNvbXBhcmlzb24gb2YgcmVsYXRpdmUgcG90ZW5jaWVzIGJldHdlZW4gZGVmbGF6YWNvcnQgYW5kIG90aGVyIG1haW4gY29ydGljb3N0ZXJvaWRzIGlzIGN1cnJlbnRseSBhdmFpbGFibGUgaW4gc2NpZW50aWZpYyBsaXRlcmF0dXJlLiBNYWluIGJvZHk6IFRoaXMgcGFwZXIsIHdoaWxlIHJlcG9ydGluZyBhIGJyaWVmIHJldmlldyBvZiBkZWZsYXphY29ydCBwaGFybWFjb2xvZ2ljYWwgcHJvcGVydGllcywgaXRzIGVmZmljYWN5IGFuZCB0b2xlcmFiaWxpdHkgaW4gZGlmZmVyZW50IGNsaW5pY2FsIGFyZWFzLCBoYXMgYmVlbiBkZXNpZ25lZCB3aXRoIHRoZSBzcGVjaWZpYyBhaW0gb2YgcHJvdmlkaW5nIGEgbmV3IGRvc2UtY29udmVyc2lvbiB0YWJsZSBvZiBjb3J0aWNvc3Rlcm9pZHMsIGluY2x1ZGluZyBmb3IgdGhlIGZpcnN0IHRpbWUgYWxzbyBkZWZsYXphY29ydC4gU2hvcnQgY29uY2x1c2lvbjogV2Ugc3VnZ2VzdCB0aGF0IHRoaXMgbmV3IGNvbnZlcnNpb24gdGFibGUgY291bGQgYmUgYSB1c2VmdWwgdG9vbCBmb3IgcGh5c2ljaWFucyB3aG8gbmVlZCB0byBzZWxlY3QgdGhlIGFwcHJvcHJpYXRlIGRvc2Ugb2YgZGVmbGF6YWNvcnQgaW4gdGhlaXIgY2xpbmljYWwgcHJhY3RpY2UuIiwiYXV0aG9yIjpbeyJkcm9wcGluZy1wYXJ0aWNsZSI6IiIsImZhbWlseSI6IlBhcmVudGUiLCJnaXZlbiI6Ikx1Y2EiLCJub24tZHJvcHBpbmctcGFydGljbGUiOiIiLCJwYXJzZS1uYW1lcyI6ZmFsc2UsInN1ZmZpeCI6IiJ9XSwiY29udGFpbmVyLXRpdGxlIjoiQk1DIFBoYXJtYWNvbG9neSBhbmQgVG94aWNvbG9neSIsImlkIjoiMTk1NjNkOTQtYjgwNS0zNjUxLThlMjAtZjY4NWZlYzBmOGJhIiwiaXNzdWUiOiIxIiwiaXNzdWVkIjp7ImRhdGUtcGFydHMiOltbIjIwMTciXV19LCJ0aXRsZSI6IkRlZmxhemFjb3J0OiBUaGVyYXBldXRpYyBpbmRleCwgcmVsYXRpdmUgcG90ZW5jeSBhbmQgZXF1aXZhbGVudCBkb3NlcyB2ZXJzdXMgb3RoZXIgY29ydGljb3N0ZXJvaWRzIiwidHlwZSI6ImFydGljbGUtam91cm5hbCIsInZvbHVtZSI6IjE4In0sInVyaXMiOlsiaHR0cDovL3d3dy5tZW5kZWxleS5jb20vZG9jdW1lbnRzLz91dWlkPTE5NTYzZDk0LWI4MDUtMzY1MS04ZTIwLWY2ODVmZWMwZjhiYSJdLCJpc1RlbXBvcmFyeSI6ZmFsc2UsImxlZ2FjeURlc2t0b3BJZCI6IjE5NTYzZDk0LWI4MDUtMzY1MS04ZTIwLWY2ODVmZWMwZjhiYSJ9XSwicHJvcGVydGllcyI6eyJub3RlSW5kZXgiOjB9LCJpc0VkaXRlZCI6ZmFsc2UsIm1hbnVhbE92ZXJyaWRlIjp7ImNpdGVwcm9jVGV4dCI6IihTMSxTMikiLCJpc01hbnVhbGx5T3ZlcnJpZGRlbiI6dHJ1ZSwibWFudWFsT3ZlcnJpZGVUZXh0IjoiKFMxLCBTMikifX0=&quot;}]"/>
    <we:property name="MENDELEY_CITATIONS_STYLE" value="&quot;https://csl.mendeley.com/styles/493468531/vancouver-supplementarymaterial-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BBDEF-EBE3-4261-96EF-2911E82B9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Romão</dc:creator>
  <cp:keywords/>
  <dc:description/>
  <cp:lastModifiedBy>Khanapur, Soumya</cp:lastModifiedBy>
  <cp:revision>3</cp:revision>
  <dcterms:created xsi:type="dcterms:W3CDTF">2022-10-26T02:10:00Z</dcterms:created>
  <dcterms:modified xsi:type="dcterms:W3CDTF">2022-10-26T02:10:00Z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http://www.zotero.org/styles/bmj</vt:lpwstr>
  </property>
  <property fmtid="{D5CDD505-2E9C-101B-9397-08002B2CF9AE}" pid="7" name="Mendeley Recent Style Name 2_1">
    <vt:lpwstr>BMJ</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http://www.zotero.org/styles/jama</vt:lpwstr>
  </property>
  <property fmtid="{D5CDD505-2E9C-101B-9397-08002B2CF9AE}" pid="13" name="Mendeley Recent Style Name 5_1">
    <vt:lpwstr>JAMA (The Journal of the American Medical Association)</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http://csl.mendeley.com/styles/493468531/vancouver</vt:lpwstr>
  </property>
  <property fmtid="{D5CDD505-2E9C-101B-9397-08002B2CF9AE}" pid="21" name="Mendeley Recent Style Name 9_1">
    <vt:lpwstr>Vancouver - Mariana Romão</vt:lpwstr>
  </property>
  <property fmtid="{D5CDD505-2E9C-101B-9397-08002B2CF9AE}" pid="22" name="Mendeley Document_1">
    <vt:lpwstr>True</vt:lpwstr>
  </property>
  <property fmtid="{D5CDD505-2E9C-101B-9397-08002B2CF9AE}" pid="23" name="Mendeley Unique User Id_1">
    <vt:lpwstr>a389f9a1-d719-37d9-b736-804bd6e5c2bb</vt:lpwstr>
  </property>
  <property fmtid="{D5CDD505-2E9C-101B-9397-08002B2CF9AE}" pid="24" name="Mendeley Citation Style_1">
    <vt:lpwstr>http://www.zotero.org/styles/vancouver</vt:lpwstr>
  </property>
  <property fmtid="{D5CDD505-2E9C-101B-9397-08002B2CF9AE}" pid="25" name="MSIP_Label_2bbab825-a111-45e4-86a1-18cee0005896_Enabled">
    <vt:lpwstr>true</vt:lpwstr>
  </property>
  <property fmtid="{D5CDD505-2E9C-101B-9397-08002B2CF9AE}" pid="26" name="MSIP_Label_2bbab825-a111-45e4-86a1-18cee0005896_SetDate">
    <vt:lpwstr>2022-10-26T02:10:10Z</vt:lpwstr>
  </property>
  <property fmtid="{D5CDD505-2E9C-101B-9397-08002B2CF9AE}" pid="27" name="MSIP_Label_2bbab825-a111-45e4-86a1-18cee0005896_Method">
    <vt:lpwstr>Standard</vt:lpwstr>
  </property>
  <property fmtid="{D5CDD505-2E9C-101B-9397-08002B2CF9AE}" pid="28" name="MSIP_Label_2bbab825-a111-45e4-86a1-18cee0005896_Name">
    <vt:lpwstr>2bbab825-a111-45e4-86a1-18cee0005896</vt:lpwstr>
  </property>
  <property fmtid="{D5CDD505-2E9C-101B-9397-08002B2CF9AE}" pid="29" name="MSIP_Label_2bbab825-a111-45e4-86a1-18cee0005896_SiteId">
    <vt:lpwstr>2567d566-604c-408a-8a60-55d0dc9d9d6b</vt:lpwstr>
  </property>
  <property fmtid="{D5CDD505-2E9C-101B-9397-08002B2CF9AE}" pid="30" name="MSIP_Label_2bbab825-a111-45e4-86a1-18cee0005896_ActionId">
    <vt:lpwstr>0411213f-20f0-43d6-8458-7b1a96861d00</vt:lpwstr>
  </property>
  <property fmtid="{D5CDD505-2E9C-101B-9397-08002B2CF9AE}" pid="31" name="MSIP_Label_2bbab825-a111-45e4-86a1-18cee0005896_ContentBits">
    <vt:lpwstr>2</vt:lpwstr>
  </property>
</Properties>
</file>