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Figure </w:t>
      </w:r>
      <w:r>
        <w:rPr>
          <w:rFonts w:hint="eastAsia" w:ascii="Times New Roman" w:hAnsi="Times New Roman" w:cs="Times New Roman"/>
          <w:b/>
          <w:bCs/>
          <w:sz w:val="24"/>
        </w:rPr>
        <w:t>S</w:t>
      </w:r>
      <w:r>
        <w:rPr>
          <w:rFonts w:ascii="Times New Roman" w:hAnsi="Times New Roman" w:cs="Times New Roman"/>
          <w:b/>
          <w:bCs/>
          <w:sz w:val="24"/>
        </w:rPr>
        <w:t>1</w:t>
      </w:r>
      <w:r>
        <w:rPr>
          <w:rFonts w:hint="eastAsia" w:ascii="Times New Roman" w:hAnsi="Times New Roman" w:cs="Times New Roman"/>
          <w:sz w:val="24"/>
        </w:rPr>
        <w:t xml:space="preserve"> The incidence of PC-AKI in the three groups.</w:t>
      </w:r>
    </w:p>
    <w:p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drawing>
          <wp:inline distT="0" distB="0" distL="114300" distR="114300">
            <wp:extent cx="4194175" cy="2365375"/>
            <wp:effectExtent l="0" t="0" r="6350" b="6350"/>
            <wp:docPr id="1" name="图片 1" descr="D:\桌面\PC-AKI投稿\CIN课题\结果整理\CIN图表\FigureS1 PC-AKI发生率.tifFigureS1 PC-AKI发生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桌面\PC-AKI投稿\CIN课题\结果整理\CIN图表\FigureS1 PC-AKI发生率.tifFigureS1 PC-AKI发生率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4175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Figure </w:t>
      </w:r>
      <w:r>
        <w:rPr>
          <w:rFonts w:hint="eastAsia" w:ascii="Times New Roman" w:hAnsi="Times New Roman" w:cs="Times New Roman"/>
          <w:b/>
          <w:bCs/>
          <w:sz w:val="24"/>
        </w:rPr>
        <w:t>S2</w:t>
      </w:r>
      <w:r>
        <w:rPr>
          <w:rFonts w:hint="eastAsia" w:ascii="Times New Roman" w:hAnsi="Times New Roman" w:cs="Times New Roman"/>
          <w:sz w:val="24"/>
        </w:rPr>
        <w:t xml:space="preserve"> The incidence of in-hospital MACEs in the three groups.</w:t>
      </w: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drawing>
          <wp:inline distT="0" distB="0" distL="114300" distR="114300">
            <wp:extent cx="2667000" cy="21812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181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widowControl/>
        <w:spacing w:line="360" w:lineRule="auto"/>
        <w:jc w:val="left"/>
        <w:rPr>
          <w:rFonts w:ascii="Times New Roman" w:hAnsi="Times New Roman" w:eastAsia="等线" w:cs="Times New Roman"/>
          <w:b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Table S1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Univariate logistic regression analysis for the sUAR as continuous variable.</w:t>
      </w:r>
    </w:p>
    <w:tbl>
      <w:tblPr>
        <w:tblStyle w:val="7"/>
        <w:tblW w:w="9849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1"/>
        <w:gridCol w:w="1080"/>
        <w:gridCol w:w="1222"/>
        <w:gridCol w:w="1125"/>
        <w:gridCol w:w="829"/>
        <w:gridCol w:w="1164"/>
        <w:gridCol w:w="1164"/>
        <w:gridCol w:w="1164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2101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</w:pPr>
            <w:bookmarkStart w:id="0" w:name="IDX"/>
            <w:bookmarkEnd w:id="0"/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3427" w:type="dxa"/>
            <w:gridSpan w:val="3"/>
            <w:tcBorders>
              <w:top w:val="single" w:color="000000" w:sz="12" w:space="0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  <w:t>PC-AKI</w:t>
            </w:r>
          </w:p>
        </w:tc>
        <w:tc>
          <w:tcPr>
            <w:tcW w:w="829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2" w:type="dxa"/>
            <w:gridSpan w:val="3"/>
            <w:tcBorders>
              <w:top w:val="single" w:color="000000" w:sz="12" w:space="0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  <w:t>In-hospital MACEs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2101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  <w:t>OR</w:t>
            </w:r>
          </w:p>
        </w:tc>
        <w:tc>
          <w:tcPr>
            <w:tcW w:w="1222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  <w:t>95% CI</w:t>
            </w:r>
          </w:p>
        </w:tc>
        <w:tc>
          <w:tcPr>
            <w:tcW w:w="112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i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  <w:t>OR</w:t>
            </w:r>
          </w:p>
        </w:tc>
        <w:tc>
          <w:tcPr>
            <w:tcW w:w="116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  <w:t>95% CI</w:t>
            </w:r>
          </w:p>
        </w:tc>
        <w:tc>
          <w:tcPr>
            <w:tcW w:w="116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i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sUAR, per 1-unit increase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1.17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1.13~1.20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&lt;.001</w:t>
            </w: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1.12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1.08~1.16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&lt;.001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1.04~1.07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&lt;.001</w:t>
            </w: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1.03~1.06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&lt;.001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Female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0.79~1.71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0.452</w:t>
            </w: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1.61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1.10~2.36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0.014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Killip classification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3.70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2.70~5.06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&lt;.001</w:t>
            </w: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4.18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2.98~5.86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&lt;.001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Anemia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2.03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1.49~2.77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&lt;.001</w:t>
            </w: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1.55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1.11~2.16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0.010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Current smoking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0.42~0.82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0.51~1.02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0.062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Diabetes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2.09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1.54~2.85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&lt;.001</w:t>
            </w: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1.41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1.00~1.98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0.047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Hypertension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1.78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1.29~2.45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&lt;.001</w:t>
            </w: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1.35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0.97~1.87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0.078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COPD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1.80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0.81~4.01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0.147</w:t>
            </w: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2.43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1.14~5.19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0.021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eGFR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0.96~0.98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&lt;.001</w:t>
            </w: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0.97~0.98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&lt;.001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Previous MI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0.34~0.81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0.004</w:t>
            </w: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0.42~1.00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0.051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Prior PCI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0.62~1.54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0.925</w:t>
            </w: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0.51~1.41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0.529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Prior stroke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3.61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2.42~5.40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&lt;.001</w:t>
            </w: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2.81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1.79~4.39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&lt;.001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Aspirin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0.23~1.86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0.430</w:t>
            </w: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0.17~1.14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0.091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 xml:space="preserve">GP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IIb/IIIa inhibitor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0.78~1.47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0.670</w:t>
            </w: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1.58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1.14~2.19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Multi-vessel stenosis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1.15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0.83~1.60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0.395</w:t>
            </w: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1.15~2.42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0.007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1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PCI access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2.60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1.84~3.67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&lt;.001</w:t>
            </w: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3.71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2.63~5.26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&lt;.001</w:t>
            </w:r>
          </w:p>
        </w:tc>
      </w:tr>
    </w:tbl>
    <w:p>
      <w:pPr>
        <w:widowControl/>
        <w:autoSpaceDE w:val="0"/>
        <w:autoSpaceDN w:val="0"/>
        <w:adjustRightInd w:val="0"/>
        <w:spacing w:before="10" w:after="10"/>
        <w:jc w:val="left"/>
        <w:rPr>
          <w:rFonts w:ascii="Times New Roman" w:hAnsi="Times New Roman" w:eastAsia="等线" w:cs="Times New Roman"/>
          <w:kern w:val="0"/>
          <w:sz w:val="18"/>
          <w:szCs w:val="18"/>
        </w:rPr>
      </w:pPr>
      <w:r>
        <w:rPr>
          <w:rFonts w:ascii="Times New Roman" w:hAnsi="Times New Roman" w:eastAsia="等线" w:cs="Times New Roman"/>
          <w:kern w:val="0"/>
          <w:sz w:val="18"/>
          <w:szCs w:val="18"/>
        </w:rPr>
        <w:t>COPD: chronic obstructive pulmonary disease; eGFR: estimated glomerular filtration rate; MI: myocardial infarction; PCI: percutaneous coronary intervention.</w:t>
      </w:r>
    </w:p>
    <w:p>
      <w:pPr>
        <w:widowControl/>
        <w:autoSpaceDE w:val="0"/>
        <w:autoSpaceDN w:val="0"/>
        <w:adjustRightInd w:val="0"/>
        <w:spacing w:before="10" w:after="10"/>
        <w:jc w:val="left"/>
        <w:rPr>
          <w:rFonts w:ascii="Times New Roman" w:hAnsi="Times New Roman" w:eastAsia="等线" w:cs="Times New Roman"/>
          <w:kern w:val="0"/>
          <w:sz w:val="18"/>
          <w:szCs w:val="18"/>
        </w:rPr>
      </w:pPr>
    </w:p>
    <w:p>
      <w:pPr>
        <w:widowControl/>
        <w:autoSpaceDE w:val="0"/>
        <w:autoSpaceDN w:val="0"/>
        <w:adjustRightInd w:val="0"/>
        <w:spacing w:before="10" w:after="10"/>
        <w:jc w:val="left"/>
        <w:rPr>
          <w:rFonts w:ascii="Times New Roman" w:hAnsi="Times New Roman" w:eastAsia="等线" w:cs="Times New Roman"/>
          <w:kern w:val="0"/>
          <w:sz w:val="18"/>
          <w:szCs w:val="18"/>
        </w:rPr>
      </w:pPr>
    </w:p>
    <w:p>
      <w:pPr>
        <w:widowControl/>
        <w:autoSpaceDE w:val="0"/>
        <w:autoSpaceDN w:val="0"/>
        <w:adjustRightInd w:val="0"/>
        <w:spacing w:before="10" w:after="10"/>
        <w:jc w:val="left"/>
        <w:rPr>
          <w:rFonts w:ascii="Times New Roman" w:hAnsi="Times New Roman" w:eastAsia="等线" w:cs="Times New Roman"/>
          <w:kern w:val="0"/>
          <w:sz w:val="18"/>
          <w:szCs w:val="18"/>
        </w:rPr>
      </w:pPr>
    </w:p>
    <w:p>
      <w:pPr>
        <w:widowControl/>
        <w:autoSpaceDE w:val="0"/>
        <w:autoSpaceDN w:val="0"/>
        <w:adjustRightInd w:val="0"/>
        <w:spacing w:before="10" w:after="10"/>
        <w:jc w:val="left"/>
        <w:rPr>
          <w:rFonts w:ascii="Times New Roman" w:hAnsi="Times New Roman" w:eastAsia="等线" w:cs="Times New Roman"/>
          <w:kern w:val="0"/>
          <w:sz w:val="18"/>
          <w:szCs w:val="18"/>
        </w:rPr>
      </w:pPr>
    </w:p>
    <w:p>
      <w:pPr>
        <w:widowControl/>
        <w:autoSpaceDE w:val="0"/>
        <w:autoSpaceDN w:val="0"/>
        <w:adjustRightInd w:val="0"/>
        <w:spacing w:before="10" w:after="10"/>
        <w:jc w:val="left"/>
        <w:rPr>
          <w:rFonts w:ascii="Times New Roman" w:hAnsi="Times New Roman" w:eastAsia="等线" w:cs="Times New Roman"/>
          <w:kern w:val="0"/>
          <w:sz w:val="18"/>
          <w:szCs w:val="18"/>
        </w:rPr>
      </w:pPr>
    </w:p>
    <w:p>
      <w:pPr>
        <w:widowControl/>
        <w:autoSpaceDE w:val="0"/>
        <w:autoSpaceDN w:val="0"/>
        <w:adjustRightInd w:val="0"/>
        <w:spacing w:before="10" w:after="10"/>
        <w:jc w:val="left"/>
        <w:rPr>
          <w:rFonts w:ascii="Times New Roman" w:hAnsi="Times New Roman" w:eastAsia="等线" w:cs="Times New Roman"/>
          <w:kern w:val="0"/>
          <w:sz w:val="18"/>
          <w:szCs w:val="18"/>
        </w:rPr>
      </w:pPr>
    </w:p>
    <w:p>
      <w:pPr>
        <w:widowControl/>
        <w:autoSpaceDE w:val="0"/>
        <w:autoSpaceDN w:val="0"/>
        <w:adjustRightInd w:val="0"/>
        <w:spacing w:before="10" w:after="10"/>
        <w:jc w:val="left"/>
        <w:rPr>
          <w:rFonts w:ascii="Times New Roman" w:hAnsi="Times New Roman" w:eastAsia="等线" w:cs="Times New Roman"/>
          <w:kern w:val="0"/>
          <w:sz w:val="18"/>
          <w:szCs w:val="18"/>
        </w:rPr>
      </w:pPr>
    </w:p>
    <w:p>
      <w:pPr>
        <w:widowControl/>
        <w:autoSpaceDE w:val="0"/>
        <w:autoSpaceDN w:val="0"/>
        <w:adjustRightInd w:val="0"/>
        <w:spacing w:before="10" w:after="10"/>
        <w:jc w:val="left"/>
        <w:rPr>
          <w:rFonts w:ascii="Times New Roman" w:hAnsi="Times New Roman" w:eastAsia="等线" w:cs="Times New Roman"/>
          <w:kern w:val="0"/>
          <w:sz w:val="18"/>
          <w:szCs w:val="18"/>
        </w:rPr>
      </w:pPr>
    </w:p>
    <w:p>
      <w:pPr>
        <w:widowControl/>
        <w:autoSpaceDE w:val="0"/>
        <w:autoSpaceDN w:val="0"/>
        <w:adjustRightInd w:val="0"/>
        <w:spacing w:before="10" w:after="10"/>
        <w:jc w:val="left"/>
        <w:rPr>
          <w:rFonts w:ascii="Times New Roman" w:hAnsi="Times New Roman" w:eastAsia="等线" w:cs="Times New Roman"/>
          <w:kern w:val="0"/>
          <w:sz w:val="18"/>
          <w:szCs w:val="18"/>
        </w:rPr>
      </w:pPr>
    </w:p>
    <w:p>
      <w:pPr>
        <w:widowControl/>
        <w:autoSpaceDE w:val="0"/>
        <w:autoSpaceDN w:val="0"/>
        <w:adjustRightInd w:val="0"/>
        <w:spacing w:before="10" w:after="10"/>
        <w:jc w:val="left"/>
        <w:rPr>
          <w:rFonts w:ascii="Times New Roman" w:hAnsi="Times New Roman" w:eastAsia="等线" w:cs="Times New Roman"/>
          <w:kern w:val="0"/>
          <w:sz w:val="18"/>
          <w:szCs w:val="18"/>
        </w:rPr>
      </w:pPr>
    </w:p>
    <w:p>
      <w:pPr>
        <w:widowControl/>
        <w:autoSpaceDE w:val="0"/>
        <w:autoSpaceDN w:val="0"/>
        <w:adjustRightInd w:val="0"/>
        <w:spacing w:before="10" w:after="10"/>
        <w:jc w:val="left"/>
        <w:rPr>
          <w:rFonts w:ascii="Times New Roman" w:hAnsi="Times New Roman" w:eastAsia="等线" w:cs="Times New Roman"/>
          <w:kern w:val="0"/>
          <w:sz w:val="18"/>
          <w:szCs w:val="18"/>
        </w:rPr>
      </w:pPr>
    </w:p>
    <w:p>
      <w:pPr>
        <w:widowControl/>
        <w:autoSpaceDE w:val="0"/>
        <w:autoSpaceDN w:val="0"/>
        <w:adjustRightInd w:val="0"/>
        <w:spacing w:before="10" w:after="10"/>
        <w:jc w:val="left"/>
        <w:rPr>
          <w:rFonts w:ascii="Times New Roman" w:hAnsi="Times New Roman" w:eastAsia="等线" w:cs="Times New Roman"/>
          <w:kern w:val="0"/>
          <w:sz w:val="18"/>
          <w:szCs w:val="18"/>
        </w:rPr>
      </w:pPr>
    </w:p>
    <w:p>
      <w:pPr>
        <w:widowControl/>
        <w:autoSpaceDE w:val="0"/>
        <w:autoSpaceDN w:val="0"/>
        <w:adjustRightInd w:val="0"/>
        <w:spacing w:before="10" w:after="10"/>
        <w:jc w:val="left"/>
        <w:rPr>
          <w:rFonts w:ascii="Times New Roman" w:hAnsi="Times New Roman" w:eastAsia="等线" w:cs="Times New Roman"/>
          <w:kern w:val="0"/>
          <w:sz w:val="18"/>
          <w:szCs w:val="18"/>
        </w:rPr>
      </w:pPr>
    </w:p>
    <w:p>
      <w:pPr>
        <w:widowControl/>
        <w:autoSpaceDE w:val="0"/>
        <w:autoSpaceDN w:val="0"/>
        <w:adjustRightInd w:val="0"/>
        <w:spacing w:before="10" w:after="10"/>
        <w:jc w:val="left"/>
        <w:rPr>
          <w:rFonts w:ascii="Times New Roman" w:hAnsi="Times New Roman" w:eastAsia="等线" w:cs="Times New Roman"/>
          <w:kern w:val="0"/>
          <w:sz w:val="18"/>
          <w:szCs w:val="18"/>
        </w:rPr>
      </w:pPr>
    </w:p>
    <w:p>
      <w:pPr>
        <w:widowControl/>
        <w:autoSpaceDE w:val="0"/>
        <w:autoSpaceDN w:val="0"/>
        <w:adjustRightInd w:val="0"/>
        <w:spacing w:before="10" w:after="10"/>
        <w:jc w:val="left"/>
        <w:rPr>
          <w:rFonts w:ascii="Times New Roman" w:hAnsi="Times New Roman" w:eastAsia="等线" w:cs="Times New Roman"/>
          <w:kern w:val="0"/>
          <w:sz w:val="18"/>
          <w:szCs w:val="18"/>
        </w:rPr>
      </w:pPr>
    </w:p>
    <w:p>
      <w:pPr>
        <w:widowControl/>
        <w:autoSpaceDE w:val="0"/>
        <w:autoSpaceDN w:val="0"/>
        <w:adjustRightInd w:val="0"/>
        <w:spacing w:before="10" w:after="10"/>
        <w:jc w:val="left"/>
        <w:rPr>
          <w:rFonts w:ascii="Times New Roman" w:hAnsi="Times New Roman" w:eastAsia="等线" w:cs="Times New Roman"/>
          <w:kern w:val="0"/>
          <w:sz w:val="18"/>
          <w:szCs w:val="18"/>
        </w:rPr>
      </w:pPr>
    </w:p>
    <w:p>
      <w:pPr>
        <w:widowControl/>
        <w:autoSpaceDE w:val="0"/>
        <w:autoSpaceDN w:val="0"/>
        <w:adjustRightInd w:val="0"/>
        <w:spacing w:before="10" w:after="10"/>
        <w:jc w:val="left"/>
        <w:rPr>
          <w:rFonts w:ascii="Times New Roman" w:hAnsi="Times New Roman" w:eastAsia="等线" w:cs="Times New Roman"/>
          <w:kern w:val="0"/>
          <w:sz w:val="18"/>
          <w:szCs w:val="18"/>
        </w:rPr>
      </w:pPr>
    </w:p>
    <w:p>
      <w:pPr>
        <w:widowControl/>
        <w:autoSpaceDE w:val="0"/>
        <w:autoSpaceDN w:val="0"/>
        <w:adjustRightInd w:val="0"/>
        <w:spacing w:before="10" w:after="10"/>
        <w:jc w:val="left"/>
        <w:rPr>
          <w:rFonts w:ascii="Times New Roman" w:hAnsi="Times New Roman" w:eastAsia="等线" w:cs="Times New Roman"/>
          <w:kern w:val="0"/>
          <w:sz w:val="18"/>
          <w:szCs w:val="18"/>
        </w:rPr>
      </w:pPr>
    </w:p>
    <w:p>
      <w:pPr>
        <w:widowControl/>
        <w:autoSpaceDE w:val="0"/>
        <w:autoSpaceDN w:val="0"/>
        <w:adjustRightInd w:val="0"/>
        <w:spacing w:before="10" w:after="10"/>
        <w:jc w:val="left"/>
        <w:rPr>
          <w:rFonts w:ascii="Times New Roman" w:hAnsi="Times New Roman" w:eastAsia="等线" w:cs="Times New Roman"/>
          <w:kern w:val="0"/>
          <w:sz w:val="18"/>
          <w:szCs w:val="18"/>
        </w:rPr>
      </w:pPr>
    </w:p>
    <w:p>
      <w:pPr>
        <w:widowControl/>
        <w:autoSpaceDE w:val="0"/>
        <w:autoSpaceDN w:val="0"/>
        <w:adjustRightInd w:val="0"/>
        <w:spacing w:before="10" w:after="10"/>
        <w:jc w:val="left"/>
        <w:rPr>
          <w:rFonts w:ascii="Times New Roman" w:hAnsi="Times New Roman" w:eastAsia="等线" w:cs="Times New Roman"/>
          <w:kern w:val="0"/>
          <w:sz w:val="18"/>
          <w:szCs w:val="18"/>
        </w:rPr>
      </w:pPr>
    </w:p>
    <w:p>
      <w:pPr>
        <w:widowControl/>
        <w:autoSpaceDE w:val="0"/>
        <w:autoSpaceDN w:val="0"/>
        <w:adjustRightInd w:val="0"/>
        <w:spacing w:before="10" w:after="10"/>
        <w:jc w:val="left"/>
        <w:rPr>
          <w:rFonts w:ascii="Times New Roman" w:hAnsi="Times New Roman" w:eastAsia="等线" w:cs="Times New Roman"/>
          <w:kern w:val="0"/>
          <w:sz w:val="18"/>
          <w:szCs w:val="18"/>
        </w:rPr>
      </w:pPr>
    </w:p>
    <w:p>
      <w:pPr>
        <w:widowControl/>
        <w:spacing w:line="360" w:lineRule="auto"/>
        <w:jc w:val="left"/>
        <w:rPr>
          <w:rFonts w:ascii="Arial" w:hAnsi="Arial" w:eastAsia="等线" w:cs="Arial"/>
          <w:color w:val="000000"/>
          <w:kern w:val="0"/>
          <w:sz w:val="18"/>
          <w:szCs w:val="18"/>
        </w:rPr>
      </w:pPr>
      <w:r>
        <w:rPr>
          <w:rFonts w:hint="eastAsia"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Table S2</w:t>
      </w: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Univariate logistic regression analysis for the sUAR as categorical variable.</w:t>
      </w:r>
    </w:p>
    <w:tbl>
      <w:tblPr>
        <w:tblStyle w:val="7"/>
        <w:tblW w:w="9849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8"/>
        <w:gridCol w:w="1073"/>
        <w:gridCol w:w="1230"/>
        <w:gridCol w:w="1132"/>
        <w:gridCol w:w="814"/>
        <w:gridCol w:w="1164"/>
        <w:gridCol w:w="1164"/>
        <w:gridCol w:w="1164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2108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3435" w:type="dxa"/>
            <w:gridSpan w:val="3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  <w:t>PC-AKI</w:t>
            </w:r>
          </w:p>
        </w:tc>
        <w:tc>
          <w:tcPr>
            <w:tcW w:w="814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2" w:type="dxa"/>
            <w:gridSpan w:val="3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  <w:t>In-hospital MACEs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2108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  <w:t>OR</w:t>
            </w:r>
          </w:p>
        </w:tc>
        <w:tc>
          <w:tcPr>
            <w:tcW w:w="123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  <w:t>95% CI</w:t>
            </w:r>
          </w:p>
        </w:tc>
        <w:tc>
          <w:tcPr>
            <w:tcW w:w="1132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i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  <w:t>OR</w:t>
            </w:r>
          </w:p>
        </w:tc>
        <w:tc>
          <w:tcPr>
            <w:tcW w:w="116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  <w:t>95% CI</w:t>
            </w:r>
          </w:p>
        </w:tc>
        <w:tc>
          <w:tcPr>
            <w:tcW w:w="116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i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8" w:type="dxa"/>
            <w:tcBorders>
              <w:top w:val="single" w:color="000000" w:sz="12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</w:rPr>
              <w:t>Q1</w:t>
            </w:r>
          </w:p>
        </w:tc>
        <w:tc>
          <w:tcPr>
            <w:tcW w:w="3435" w:type="dxa"/>
            <w:gridSpan w:val="3"/>
            <w:tcBorders>
              <w:top w:val="single" w:color="000000" w:sz="12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Reference</w:t>
            </w:r>
          </w:p>
        </w:tc>
        <w:tc>
          <w:tcPr>
            <w:tcW w:w="814" w:type="dxa"/>
            <w:vMerge w:val="continue"/>
            <w:tcBorders>
              <w:top w:val="single" w:color="000000" w:sz="12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2" w:type="dxa"/>
            <w:gridSpan w:val="3"/>
            <w:tcBorders>
              <w:top w:val="single" w:color="000000" w:sz="12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Reference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Q2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1.54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0.92~2.57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0.099</w:t>
            </w: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0.56~1.43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0.628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Q3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4.89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3.14~7.62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&lt;.001</w:t>
            </w: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2.23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1.50~3.32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&lt;.001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    1.06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1.04~1.07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&lt;.001</w:t>
            </w: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1.03~1.06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&lt;.001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</w:rPr>
              <w:t>Female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    1.16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0.79~1.71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0.452</w:t>
            </w: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1.61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1.10~2.36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0.014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</w:rPr>
              <w:t>Killip classification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    3.70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2.70~5.06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&lt;.001</w:t>
            </w: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4.18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2.98~5.86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&lt;.001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Anemia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    2.03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1.49~2.77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&lt;.001</w:t>
            </w: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1.55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1.11~2.16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0.010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</w:rPr>
              <w:t>Current smoking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    0.59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0.42~0.82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0.51~1.02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0.062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Diabetes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    2.09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1.54~2.85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&lt;.001</w:t>
            </w: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1.41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1.00~1.98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0.047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</w:rPr>
              <w:t>Hypertension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    1.78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1.29~2.45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&lt;.001</w:t>
            </w: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1.35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0.97~1.87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0.078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COPD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    1.80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0.81~4.01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0.147</w:t>
            </w: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2.43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1.14~5.19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0.021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eGFR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    0.97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0.96~0.98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&lt;.001</w:t>
            </w: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0.97~0.98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&lt;.001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</w:rPr>
              <w:t>Previous MI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    0.53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0.34~0.81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0.004</w:t>
            </w: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0.42~1.00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0.051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Prior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PCI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    0.98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0.62~1.54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0.925</w:t>
            </w: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0.51~1.41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0.529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Prior s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troke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    3.61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2.42~5.40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&lt;.001</w:t>
            </w: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2.81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1.79~4.39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&lt;.001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Aspirin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    0.66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0.23~1.86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0.430</w:t>
            </w: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0.17~1.14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0.091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 xml:space="preserve">GP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IIb/IIIa inhibitor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    1.07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0.78~1.47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0.670</w:t>
            </w: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1.58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1.14~2.19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Multi-vessel stenosis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    1.15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0.83~1.60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0.395</w:t>
            </w: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1.15~2.42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0.007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08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</w:rPr>
              <w:t>PCI access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    2.60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1.84~3.67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&lt;.001</w:t>
            </w: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3.71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2.63~5.26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&lt;.001</w:t>
            </w:r>
          </w:p>
        </w:tc>
      </w:tr>
    </w:tbl>
    <w:p>
      <w:pPr>
        <w:widowControl/>
        <w:autoSpaceDE w:val="0"/>
        <w:autoSpaceDN w:val="0"/>
        <w:adjustRightInd w:val="0"/>
        <w:spacing w:before="10" w:after="10"/>
        <w:jc w:val="left"/>
        <w:rPr>
          <w:rFonts w:ascii="Arial" w:hAnsi="Arial" w:eastAsia="等线" w:cs="Arial"/>
          <w:color w:val="000000"/>
          <w:kern w:val="0"/>
          <w:sz w:val="18"/>
          <w:szCs w:val="18"/>
        </w:rPr>
      </w:pPr>
      <w:bookmarkStart w:id="1" w:name="IDX1"/>
      <w:bookmarkEnd w:id="1"/>
      <w:r>
        <w:rPr>
          <w:rFonts w:ascii="Times New Roman" w:hAnsi="Times New Roman" w:eastAsia="等线" w:cs="Times New Roman"/>
          <w:kern w:val="0"/>
          <w:sz w:val="18"/>
          <w:szCs w:val="18"/>
        </w:rPr>
        <w:t>COPD: chronic obstructive pulmonary disease;</w:t>
      </w:r>
      <w:r>
        <w:rPr>
          <w:rFonts w:hint="eastAsia" w:ascii="Times New Roman" w:hAnsi="Times New Roman" w:eastAsia="等线" w:cs="Times New Roman"/>
          <w:kern w:val="0"/>
          <w:sz w:val="18"/>
          <w:szCs w:val="18"/>
        </w:rPr>
        <w:t xml:space="preserve"> </w:t>
      </w:r>
      <w:r>
        <w:rPr>
          <w:rFonts w:ascii="Times New Roman" w:hAnsi="Times New Roman" w:eastAsia="等线" w:cs="Times New Roman"/>
          <w:kern w:val="0"/>
          <w:sz w:val="18"/>
          <w:szCs w:val="18"/>
        </w:rPr>
        <w:t>eGFR: estimated glomerular f</w:t>
      </w:r>
      <w:r>
        <w:rPr>
          <w:rFonts w:hint="eastAsia" w:ascii="Times New Roman" w:hAnsi="Times New Roman" w:eastAsia="等线" w:cs="Times New Roman"/>
          <w:kern w:val="0"/>
          <w:sz w:val="18"/>
          <w:szCs w:val="18"/>
        </w:rPr>
        <w:t>i</w:t>
      </w:r>
      <w:r>
        <w:rPr>
          <w:rFonts w:ascii="Times New Roman" w:hAnsi="Times New Roman" w:eastAsia="等线" w:cs="Times New Roman"/>
          <w:kern w:val="0"/>
          <w:sz w:val="18"/>
          <w:szCs w:val="18"/>
        </w:rPr>
        <w:t>ltration rate;</w:t>
      </w:r>
      <w:r>
        <w:rPr>
          <w:rFonts w:hint="eastAsia" w:ascii="Times New Roman" w:hAnsi="Times New Roman" w:eastAsia="等线" w:cs="Times New Roman"/>
          <w:kern w:val="0"/>
          <w:sz w:val="18"/>
          <w:szCs w:val="18"/>
        </w:rPr>
        <w:t xml:space="preserve"> </w:t>
      </w:r>
      <w:r>
        <w:rPr>
          <w:rFonts w:ascii="Times New Roman" w:hAnsi="Times New Roman" w:eastAsia="等线" w:cs="Times New Roman"/>
          <w:kern w:val="0"/>
          <w:sz w:val="18"/>
          <w:szCs w:val="18"/>
        </w:rPr>
        <w:t>MI: myocardial infarction; PCI:</w:t>
      </w:r>
      <w:r>
        <w:rPr>
          <w:rFonts w:hint="eastAsia" w:ascii="Times New Roman" w:hAnsi="Times New Roman" w:eastAsia="等线" w:cs="Times New Roman"/>
          <w:kern w:val="0"/>
          <w:sz w:val="18"/>
          <w:szCs w:val="18"/>
        </w:rPr>
        <w:t xml:space="preserve"> </w:t>
      </w:r>
      <w:r>
        <w:rPr>
          <w:rFonts w:ascii="Times New Roman" w:hAnsi="Times New Roman" w:eastAsia="等线" w:cs="Times New Roman"/>
          <w:kern w:val="0"/>
          <w:sz w:val="18"/>
          <w:szCs w:val="18"/>
        </w:rPr>
        <w:t>percutaneous coronary intervention</w:t>
      </w:r>
      <w:r>
        <w:rPr>
          <w:rFonts w:hint="eastAsia" w:ascii="Times New Roman" w:hAnsi="Times New Roman" w:eastAsia="等线" w:cs="Times New Roman"/>
          <w:kern w:val="0"/>
          <w:sz w:val="18"/>
          <w:szCs w:val="18"/>
        </w:rPr>
        <w:t>.</w:t>
      </w:r>
    </w:p>
    <w:p>
      <w:pPr>
        <w:widowControl/>
        <w:autoSpaceDE w:val="0"/>
        <w:autoSpaceDN w:val="0"/>
        <w:adjustRightInd w:val="0"/>
        <w:spacing w:before="10" w:after="10"/>
        <w:jc w:val="left"/>
        <w:rPr>
          <w:rFonts w:ascii="Times New Roman" w:hAnsi="Times New Roman" w:eastAsia="等线" w:cs="Times New Roman"/>
          <w:kern w:val="0"/>
          <w:sz w:val="18"/>
          <w:szCs w:val="18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hint="eastAsia"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 xml:space="preserve">Table S3 </w:t>
      </w:r>
      <w:r>
        <w:rPr>
          <w:rFonts w:hint="eastAsia" w:ascii="Times New Roman" w:hAnsi="Times New Roman" w:eastAsia="宋体" w:cs="Times New Roman"/>
          <w:color w:val="000000"/>
          <w:sz w:val="24"/>
        </w:rPr>
        <w:t>The AUC of the sUAR for predicting the</w:t>
      </w:r>
      <w:r>
        <w:rPr>
          <w:rFonts w:ascii="Times New Roman" w:hAnsi="Times New Roman" w:eastAsia="宋体" w:cs="Times New Roman"/>
          <w:color w:val="000000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4"/>
        </w:rPr>
        <w:t>PC-AKI in the context of other definitions of PC-AKI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3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73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5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AUC (95% CI)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PC-AKI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79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0.548 (95%CI 0.520-0.575)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PC-AKI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0.655 (95%CI 0.625-0.686)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3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PC-AKI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0.622 (95%CI 0.563-0.681)</w:t>
            </w:r>
          </w:p>
        </w:tc>
      </w:tr>
    </w:tbl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hint="eastAsia"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cs="Times New Roman"/>
          <w:b/>
          <w:bCs/>
          <w:sz w:val="24"/>
        </w:rPr>
      </w:pPr>
    </w:p>
    <w:p>
      <w:pPr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Table S4 </w:t>
      </w:r>
      <w:r>
        <w:rPr>
          <w:rFonts w:ascii="Times New Roman" w:hAnsi="Times New Roman" w:eastAsia="宋体" w:cs="Times New Roman"/>
          <w:color w:val="000000"/>
          <w:sz w:val="24"/>
        </w:rPr>
        <w:t>The AUC of the sUAR</w:t>
      </w:r>
      <w:bookmarkStart w:id="4" w:name="_GoBack"/>
      <w:bookmarkEnd w:id="4"/>
      <w:r>
        <w:rPr>
          <w:rFonts w:ascii="Times New Roman" w:hAnsi="Times New Roman" w:eastAsia="宋体" w:cs="Times New Roman"/>
          <w:color w:val="000000"/>
          <w:sz w:val="24"/>
        </w:rPr>
        <w:t xml:space="preserve"> for predicting the PC-AKI stratified by eGFR, age, gender</w:t>
      </w:r>
      <w:r>
        <w:rPr>
          <w:rFonts w:hint="eastAsia" w:ascii="Times New Roman" w:hAnsi="Times New Roman" w:eastAsia="宋体" w:cs="Times New Roman"/>
          <w:color w:val="000000"/>
          <w:sz w:val="24"/>
        </w:rPr>
        <w:t>,</w:t>
      </w:r>
      <w:r>
        <w:rPr>
          <w:rFonts w:ascii="Times New Roman" w:hAnsi="Times New Roman" w:eastAsia="宋体" w:cs="Times New Roman"/>
          <w:color w:val="000000"/>
          <w:sz w:val="24"/>
        </w:rPr>
        <w:t xml:space="preserve"> contrast volume, diabetes mellitus, hypertension, and anemia.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3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Subgroups</w:t>
            </w:r>
          </w:p>
        </w:tc>
        <w:tc>
          <w:tcPr>
            <w:tcW w:w="3579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AUC (95% CI)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eGFR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(mL/min)</w:t>
            </w:r>
          </w:p>
        </w:tc>
        <w:tc>
          <w:tcPr>
            <w:tcW w:w="357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180" w:firstLineChars="100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bookmarkStart w:id="2" w:name="OLE_LINK1"/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eGFR=60</w:t>
            </w:r>
            <w:bookmarkEnd w:id="2"/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0.603 (95%CI 0.541-0.665)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180" w:firstLineChars="1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eGFR&gt;60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0.616 (95%CI 0.547-0.686)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Age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(years)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Age&lt;65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0.727 (95%CI 0.651-0.804)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  <w:bookmarkStart w:id="3" w:name="OLE_LINK70"/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≥</w:t>
            </w:r>
            <w:bookmarkEnd w:id="3"/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0.671 (95%CI 0.617-0.725)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180" w:firstLineChars="1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0.697 (95%CI 0.649-0.746)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180" w:firstLineChars="1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0.748 (95%CI 0.659-0.837)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Contrast medium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(mL)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Contrast volume&gt;100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0.719 (95%CI 0.673-0.765)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Contrast volume&lt;100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0.670 (95%CI 0.563-0.776)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Diabetes mellitus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0.712 (95%CI 0.650-0.774)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0.698 (95%CI 0.640 -0.756)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Hypertension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0.687 (95%CI 0.635-0.738)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0.715 (95%CI 0.635-0.794)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Anemia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0.703 (95%CI 0.643-0.763)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nil"/>
              <w:left w:val="nil"/>
              <w:right w:val="nil"/>
            </w:tcBorders>
          </w:tcPr>
          <w:p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3579" w:type="dxa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0.688 (95%CI 0.626-0.750)</w:t>
            </w:r>
          </w:p>
        </w:tc>
      </w:tr>
    </w:tbl>
    <w:p>
      <w:pPr>
        <w:rPr>
          <w:rFonts w:ascii="Times New Roman" w:hAnsi="Times New Roman" w:cs="Times New Roman"/>
          <w:b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OTFhMTRkOTc1NGIyMDc2NmQ1NWMwNjU0MjVkMmUifQ=="/>
  </w:docVars>
  <w:rsids>
    <w:rsidRoot w:val="00DC167E"/>
    <w:rsid w:val="00137F6E"/>
    <w:rsid w:val="001A7AD7"/>
    <w:rsid w:val="001F2431"/>
    <w:rsid w:val="00334041"/>
    <w:rsid w:val="0037263F"/>
    <w:rsid w:val="00514FB6"/>
    <w:rsid w:val="00666A51"/>
    <w:rsid w:val="007853FE"/>
    <w:rsid w:val="00A24CD5"/>
    <w:rsid w:val="00B07B76"/>
    <w:rsid w:val="00B91144"/>
    <w:rsid w:val="00DC167E"/>
    <w:rsid w:val="00F053BD"/>
    <w:rsid w:val="0A101F7C"/>
    <w:rsid w:val="3A90454C"/>
    <w:rsid w:val="3BD11E8C"/>
    <w:rsid w:val="5BE538B3"/>
    <w:rsid w:val="5CA2453C"/>
    <w:rsid w:val="5F64446C"/>
    <w:rsid w:val="64417122"/>
    <w:rsid w:val="645C0065"/>
    <w:rsid w:val="67D94DC3"/>
    <w:rsid w:val="6DA129B0"/>
    <w:rsid w:val="77D1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rFonts w:ascii="宋体" w:eastAsia="宋体"/>
      <w:sz w:val="18"/>
      <w:szCs w:val="18"/>
    </w:r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批注主题 字符"/>
    <w:basedOn w:val="11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3">
    <w:name w:val="批注框文本 字符"/>
    <w:basedOn w:val="9"/>
    <w:link w:val="3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14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505</Words>
  <Characters>3069</Characters>
  <Lines>27</Lines>
  <Paragraphs>7</Paragraphs>
  <TotalTime>0</TotalTime>
  <ScaleCrop>false</ScaleCrop>
  <LinksUpToDate>false</LinksUpToDate>
  <CharactersWithSpaces>3320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2022-06-01T07:01:00Z</dcterms:created>
  <dc:creator>yeshe</dc:creator>
  <cp:lastModifiedBy>yeshen</cp:lastModifiedBy>
  <dcterms:modified xsi:type="dcterms:W3CDTF">2022-08-11T06:31:55Z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9170F540CA24458D968309217DA45037</vt:lpwstr>
  </property>
</Properties>
</file>