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90" w:type="dxa"/>
        <w:tblLook w:val="04A0" w:firstRow="1" w:lastRow="0" w:firstColumn="1" w:lastColumn="0" w:noHBand="0" w:noVBand="1"/>
      </w:tblPr>
      <w:tblGrid>
        <w:gridCol w:w="1068"/>
        <w:gridCol w:w="1088"/>
        <w:gridCol w:w="1052"/>
        <w:gridCol w:w="839"/>
        <w:gridCol w:w="1173"/>
        <w:gridCol w:w="1030"/>
        <w:gridCol w:w="762"/>
        <w:gridCol w:w="1520"/>
        <w:gridCol w:w="1086"/>
        <w:gridCol w:w="957"/>
        <w:gridCol w:w="1146"/>
        <w:gridCol w:w="755"/>
        <w:gridCol w:w="1914"/>
      </w:tblGrid>
      <w:tr w:rsidR="00C0022E" w:rsidRPr="00AC5C42" w14:paraId="4B5EF135" w14:textId="77777777" w:rsidTr="00B26CAB">
        <w:trPr>
          <w:trHeight w:val="312"/>
        </w:trPr>
        <w:tc>
          <w:tcPr>
            <w:tcW w:w="14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C6517" w14:textId="68B27535" w:rsidR="00C0022E" w:rsidRPr="00AC5C42" w:rsidRDefault="00C0022E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bookmarkStart w:id="0" w:name="_Hlk105453379"/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Supplementary 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Table 1: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Studies'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Charactaristics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E30931" w:rsidRPr="00AC5C42" w14:paraId="2E94F160" w14:textId="77777777" w:rsidTr="0054170D">
        <w:trPr>
          <w:trHeight w:val="62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84D88" w14:textId="03B9ABF8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Authors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5B1D21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Setting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79877B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Design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F4356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Period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7294A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Purpose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57B6D9" w14:textId="373EBB1E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Mean/Median Age</w:t>
            </w:r>
            <w:r w:rsidR="00F07CF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(years)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± SD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0EA129" w14:textId="09B5C00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Sample Size </w:t>
            </w:r>
            <w:r w:rsidR="00F07CF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(patients)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498553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Inclusion Criteria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8C9C6A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Exclusion Criteria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59717D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Procalcitonin cut-off level (ng/mL)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63A03B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Gold Standard Test (confirmation of bacterial infection)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06A66A" w14:textId="73FDACC6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Specific Pathogen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2B0614" w14:textId="77777777" w:rsidR="00B26CAB" w:rsidRPr="00AC5C42" w:rsidRDefault="00B26CAB" w:rsidP="00FF07C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Overall Conclusion</w:t>
            </w:r>
          </w:p>
        </w:tc>
      </w:tr>
      <w:tr w:rsidR="0054170D" w:rsidRPr="00AC5C42" w14:paraId="2F6EE541" w14:textId="77777777" w:rsidTr="00725EAC">
        <w:trPr>
          <w:trHeight w:val="156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CDFD" w14:textId="16364146" w:rsidR="00B26CAB" w:rsidRPr="00725EAC" w:rsidRDefault="00B26CAB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color w:val="000000"/>
                <w:sz w:val="14"/>
                <w:szCs w:val="14"/>
              </w:rPr>
              <w:t>Moreno-García et al. [12]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C54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Barcelona, Spain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6FFBC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Observational cohort (retrospective)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9223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19 February 2020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  24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February 2021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BFD18" w14:textId="125AE9ED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To describe the current incidence of co-infection in hospitalized patients with COVID-19 and identify factors that may help clinicians initiate or discard empirical antibiotics correctly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33ED" w14:textId="7C9D3C0C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25E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Median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64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B309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1125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632FD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1- Hospital admission for more than 48 hours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Microbiological samples collected within the first 48 hours at hospital admission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3- Serum creatinine lower than 2 mg/dL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4- At least 1 PCT determination within the first 48 hours of admission.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1923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Positive Urine Culture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05B0" w14:textId="02D301EE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 cut-off levels were used: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0.2</w:t>
            </w:r>
            <w:r w:rsidR="00F07CF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0.5</w:t>
            </w:r>
            <w:r w:rsidR="00F07CF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1</w:t>
            </w:r>
            <w:r w:rsidR="00F07CF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3710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1- Blood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Sputum Culture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3- Pneumococcal urinary antigen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4- Legionella urinary antigen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19AE" w14:textId="774A868D" w:rsidR="00B26CAB" w:rsidRPr="00AC5C42" w:rsidRDefault="00F07CF1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  <w:r w:rsidR="00B26CAB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233E" w14:textId="77777777" w:rsidR="00B26CAB" w:rsidRPr="00AC5C42" w:rsidRDefault="00B26CAB" w:rsidP="00B26CA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1- Patients with procalcitonin levels above the cut-off values had significantly more co-infections than those with lower levels.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Antibiotic use should be avoided in patients with COVID-19 and PCT values below 0.2.</w:t>
            </w:r>
          </w:p>
        </w:tc>
      </w:tr>
      <w:tr w:rsidR="0054170D" w:rsidRPr="00AC5C42" w14:paraId="24FA777E" w14:textId="77777777" w:rsidTr="00725EAC">
        <w:trPr>
          <w:trHeight w:val="1872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F63" w14:textId="22F88C88" w:rsidR="00F07CF1" w:rsidRPr="00725EAC" w:rsidRDefault="00F07CF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Atallah et al. [13]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872F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Boston, Massachusetts, USA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DD55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Retrospective observational study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D5C1" w14:textId="4026D58B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March 17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April 30, 2020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18B7" w14:textId="48E8343E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To evaluate whether PCT concentrations can independently stratify and prognosticate secondary bacterial superinfection and patient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outcome in the setting of SARS-CoV-2 infection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08E3" w14:textId="4F62E279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25E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Median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62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AF39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17D7" w14:textId="6B91C048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Admitted adult inpatients (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≥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18 years of age) who had a positive SARS-CoV-2 RT-PCR assay with at least one PCT value.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6FCA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1- Presumed, but not confirmed, SARS-CoV-2 diagnosis.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If no PCT determinations were made.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8CAD" w14:textId="518A7CF2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 cut-off levels were used: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0.25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78BA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1- Blood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Sputum Culture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45408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964A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1- Elevated PCT levels in COVID-19 patients is a pattern consistent with a bacterial superinfection and associated with increased mortality.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2- Low serum PCT suggests that any detected potential bacterial pathogen is likely colonizing and not invasive; thus, indicating that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antibiotic use is unnecessary.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3- PCT levels were positively associated with patient outcome and secondary bacterial infection; therefore, making it a useful prognostic biomarker in the clinical course of hospitalized COVID-19 patients.</w:t>
            </w:r>
          </w:p>
        </w:tc>
      </w:tr>
      <w:tr w:rsidR="0054170D" w:rsidRPr="00AC5C42" w14:paraId="30ED86DD" w14:textId="77777777" w:rsidTr="00725EAC">
        <w:trPr>
          <w:trHeight w:val="2001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1C0" w14:textId="3433FB39" w:rsidR="00F07CF1" w:rsidRPr="00725EAC" w:rsidRDefault="00F07CF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lastRenderedPageBreak/>
              <w:t>Richards et al. [14]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94F0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Wales, United Kingdom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90E8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Retrospective observational study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EE654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March 9 2020 - June 5 2020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FA61" w14:textId="033AB1B9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investigate the comparative efficacy of PCT and other commonly available biomarkers in revealing or predicting microbiologically proven secondary bacterial infection in ICU COVID-19 patients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6195" w14:textId="15C40B4B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Mean: 56.0 (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±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10.8)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8532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9093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1- age ≥ 18 years old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2- SARS-CoV-2 infection confirmed by positive RT-PCR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D4733" w14:textId="41A3EA79" w:rsidR="00F07CF1" w:rsidRPr="00F07CF1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F07CF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234D" w14:textId="36FB0B4D" w:rsidR="00F07CF1" w:rsidRPr="00F07CF1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F07CF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2E84" w14:textId="050E906D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"Laborator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y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 Confirmed" (specific test is not mentioned)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6D39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F381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prespecified rise in PCT by 50%, compared to a previous value at any time point, was significantly associated with the occurrence of secondary infection in ICU patients admitted with critical COVID-19.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Ventilator-associated pneumonia/tracheobronchitis and/or laboratory-confirmed bloodstream infection were significantly associated with a prespecified rise in PCT; thus, providing a promising insight into the usefulness of PCT measurement in predicting the emergence of secondary bacterial infection in critical care. </w:t>
            </w:r>
          </w:p>
        </w:tc>
      </w:tr>
      <w:tr w:rsidR="0054170D" w:rsidRPr="00AC5C42" w14:paraId="70A5AC23" w14:textId="77777777" w:rsidTr="00725EAC">
        <w:trPr>
          <w:trHeight w:val="1248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E73" w14:textId="49398DED" w:rsidR="00F07CF1" w:rsidRPr="00725EAC" w:rsidRDefault="00F07CF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lastRenderedPageBreak/>
              <w:t>Basnet et al. [15]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E68D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Gwarko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Lalitpur, Nepal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7A26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Descriptive cross-sectional study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F639" w14:textId="75E7F408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June 25</w:t>
            </w:r>
            <w:r w:rsid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2021 - December 24</w:t>
            </w:r>
            <w:r w:rsid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AA46" w14:textId="7B837DC1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To find the prevalence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uropathogenic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Escherichia coli among COVID-19 patients admitted to a tertiary care </w:t>
            </w:r>
            <w:r w:rsidR="00762EEF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center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F06E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Median: 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A438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E6B7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RT-PCR confirmed SARS-CoV-2 patients that were admitted to the COVID ward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KISTMCTH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C362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COVID-19 patients with inadequate documentation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7CB1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Mean±SD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procalcitonin levels in co-infected patients: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6.13±7.88 ng/ml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4FF8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1- Clinical symptoms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Increased white blood cell count, procalcitonin or C-reactive protein (CRP) levels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3- Positive results of bacterial culture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A360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8241" w14:textId="77777777" w:rsidR="00F07CF1" w:rsidRPr="00AC5C42" w:rsidRDefault="00F07CF1" w:rsidP="00F07CF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The co-infection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uropathogenic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E. coli in COVID-19 patients admitted to the hospital was found to be lower than published literature. The serum procalcitonin value in patients with co-infection was higher than in patients without co-infection.</w:t>
            </w:r>
          </w:p>
        </w:tc>
      </w:tr>
      <w:tr w:rsidR="0054170D" w:rsidRPr="00AC5C42" w14:paraId="2DBA70FB" w14:textId="77777777" w:rsidTr="00725EAC">
        <w:trPr>
          <w:trHeight w:val="2496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A138" w14:textId="40069D3B" w:rsidR="00762EEF" w:rsidRPr="00725EAC" w:rsidRDefault="00762EEF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He et al. [16]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9F9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Changsha, China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B7CF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Retrospective observational study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2536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January 10 2020 - February 28 2020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7E7B" w14:textId="32796589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understand the clinical characteristics of COVID-19 patients with clinically diagnosed bacterial co-infection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CDBC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), and therefore contributing to their early identification and prognosis estimation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03CF" w14:textId="7638F6F5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25E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Median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47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EED9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BBB8" w14:textId="3D5955CB" w:rsidR="00762EEF" w:rsidRPr="00762EEF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6739" w14:textId="1BEEE3A6" w:rsidR="00762EEF" w:rsidRPr="00762EEF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C667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4F50" w14:textId="116B56D2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Patients who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met</w:t>
            </w:r>
            <w:r w:rsidRP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the criteria of </w:t>
            </w:r>
            <w:proofErr w:type="spellStart"/>
            <w:r w:rsidRP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CDBC</w:t>
            </w:r>
            <w:proofErr w:type="spellEnd"/>
            <w:r w:rsidRP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1- newly increased WBC counting (&gt;9.510^9/L), with a majority of neutrophil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2- newly increased airway purulent secretion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3- increased serum procalcitonin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4- typical peripheral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ground glass opacity mixed with increased density effusion opacities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5- effective empiric anti-bacterial therapy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6723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709A" w14:textId="3B3D4FCF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increased PCT level is of great sensitivity but less specificity for bacterial infection diagnosis as it could also some- times be increased in some other clinical syndromes (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e.g.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acute renal failure). Advanced age, high WBC account, lymphopenia, PCT, CRP, cardiovascular comorbidities, the utilities of glucocorticoid and ventilation are all risk factors of clinically-diagnosed bacterial co-infection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CDBC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).</w:t>
            </w:r>
          </w:p>
        </w:tc>
      </w:tr>
      <w:tr w:rsidR="0054170D" w:rsidRPr="00AC5C42" w14:paraId="79EF49F9" w14:textId="77777777" w:rsidTr="00725EAC">
        <w:trPr>
          <w:trHeight w:val="156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707" w14:textId="58CABBFF" w:rsidR="00762EEF" w:rsidRPr="00725EAC" w:rsidRDefault="00762EEF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proofErr w:type="spellStart"/>
            <w:r w:rsidRPr="00725EAC">
              <w:rPr>
                <w:rFonts w:cstheme="minorHAnsi"/>
                <w:sz w:val="14"/>
                <w:szCs w:val="14"/>
              </w:rPr>
              <w:t>Vanhomwegen</w:t>
            </w:r>
            <w:proofErr w:type="spellEnd"/>
            <w:r w:rsidRPr="00725EAC">
              <w:rPr>
                <w:rFonts w:cstheme="minorHAnsi"/>
                <w:sz w:val="14"/>
                <w:szCs w:val="14"/>
              </w:rPr>
              <w:t xml:space="preserve"> et al. [17]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F45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Brussels, Belgium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E824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Retrospective observational study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5A08" w14:textId="32E6A99B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March 3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2020 - June 2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E482" w14:textId="168CC573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explore the prognostic value of PCT at ICU admission in critically ill COVID-19 patients as well as the relationship between bacterial co-infection and PCT levels within 48 h from ICU admission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35E0" w14:textId="56056D3C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Median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54.5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CCBB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01399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10101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101010"/>
                <w:sz w:val="14"/>
                <w:szCs w:val="14"/>
              </w:rPr>
              <w:t>All adults admitted to the ICU for acute respiratory failure related to SARS-CoV-2 pneumonia between 3 March 2020 and 2 June 2020 were retrospectively included.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C38E" w14:textId="3864BD0D" w:rsidR="00762EEF" w:rsidRPr="00762EEF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D284" w14:textId="0BB57710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 cut-off levels were used: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C0B5" w14:textId="30570CA4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Blood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Respiratory tract culture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C6C7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B722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 conclusion, we show that PCT levels at ICU admission in COVID-19 patients are a predictor of mortality as accurate as APACHE II. Meanwhile, PCT is not reliable to diagnose bacterial co-infection within 48 h of admission.</w:t>
            </w:r>
          </w:p>
        </w:tc>
      </w:tr>
      <w:tr w:rsidR="0054170D" w:rsidRPr="00AC5C42" w14:paraId="12344573" w14:textId="77777777" w:rsidTr="00725EAC">
        <w:trPr>
          <w:trHeight w:val="156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F41" w14:textId="749AFE20" w:rsidR="00762EEF" w:rsidRPr="00725EAC" w:rsidRDefault="00762EEF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Ming et al. [18]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656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North-West London, UK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A325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Retrospective observational study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9B3C" w14:textId="3F58B11E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March 1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2020 - May 6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20A4" w14:textId="28C12761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To characterize the longitudinal dynamics of C-reactive protein (CRP) and Procalcitonin (PCT) in a cohort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of hospitalized patients with COVID-19 and support antimicrobial decision-making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173B" w14:textId="15106AB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Median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67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22C0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044D" w14:textId="2BD1A22F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Adult patients (&gt;18 years old) hospitalized in general wards and critical care settings between 1st March and 6th May 2020 who had tested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positive for SARS-COV-2 polymerase chain reaction through nasopharyngeal swabs, collected by healthcare staff.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F509" w14:textId="0002DF73" w:rsidR="00762EEF" w:rsidRPr="00762EEF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lastRenderedPageBreak/>
              <w:t>N/A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25DF" w14:textId="22FC78D6" w:rsidR="00762EEF" w:rsidRPr="00762EEF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762EEF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C06B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Blood culture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Urine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Respiratory tract culture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8BA1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999F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The dynamic changes in CRP concentrations over time can be predictive of both, microbiological and survival outcomes in the context of COVID-19 in the patient group. For PCT,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concentrations over time were consistently higher in patients with positive microbiology against those without, although this did not reach statistical significance. There was also a trend towards higher PCT levels in patients who died, but again differences over time were not statistically significant.</w:t>
            </w:r>
          </w:p>
        </w:tc>
      </w:tr>
      <w:tr w:rsidR="0054170D" w:rsidRPr="00AC5C42" w14:paraId="7E001449" w14:textId="77777777" w:rsidTr="00725EAC">
        <w:trPr>
          <w:trHeight w:val="204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1AB3" w14:textId="7913FF51" w:rsidR="00762EEF" w:rsidRPr="00725EAC" w:rsidRDefault="00762EEF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lastRenderedPageBreak/>
              <w:t>Cheng et al. [19]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064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Huangshi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China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7C52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0DEA" w14:textId="5FF03760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 January</w:t>
            </w:r>
            <w:r w:rsidR="00575B3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- 9 March</w:t>
            </w:r>
            <w:r w:rsidR="00575B3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7F5C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Explore the risk factors for nosocomial bacterial infection of patients with COVID-19, and further to provide a theoretical basis for scientific prevention and control of nosocomial bacterial infection.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AC7D" w14:textId="70AA2C88" w:rsidR="00762EEF" w:rsidRPr="00AC5C42" w:rsidRDefault="00575B33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Mean: </w:t>
            </w:r>
            <w:r w:rsidR="00762EEF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53.1 (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±</w:t>
            </w:r>
            <w:r w:rsidR="00762EEF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16.6)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F680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6418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Confirmed COVID-19 patients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AD29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Community acquired infection prior to patient's original diagnosis on admission into the hospital.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B977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D8B7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Confirmed by infection preventionists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  those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with  urinary  catheterization,  arteriovenous 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intuba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tion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 endotracheal  intubation,  use  of  ventilator  and  other treatment  measures.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DBC4" w14:textId="1D745C7E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  <w:r w:rsidR="00575B3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CEA3" w14:textId="77777777" w:rsidR="00762EEF" w:rsidRPr="00AC5C42" w:rsidRDefault="00762EEF" w:rsidP="00762EE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1. After adjustments of the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variables  urinary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catheterization, WBCs count, and procalcitonin could be considered as an independent factors for nosocomial infections in the patients with COVID-19.,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The nosocomial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bacteria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infection rate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  patients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with  procalcitonin  &gt;0.1  ng/ mL was 4.92 times more than that in those  with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procalci-tonin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≤0.1  ng/mL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3. The procalcitonin levels were helpful in recognizing gram-negative bloodstream infections.</w:t>
            </w:r>
          </w:p>
        </w:tc>
      </w:tr>
      <w:tr w:rsidR="00725EAC" w:rsidRPr="00AC5C42" w14:paraId="639FF4B1" w14:textId="77777777" w:rsidTr="00725EAC">
        <w:trPr>
          <w:trHeight w:val="1872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22E3" w14:textId="0F36C3A2" w:rsidR="00575B33" w:rsidRPr="00725EAC" w:rsidRDefault="00575B33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lastRenderedPageBreak/>
              <w:t>Heesom et al. [20]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504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Southampton, United Kingdom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A4D8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Prospective, single center, cohort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DF30" w14:textId="4D16A241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 April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May 22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23C9" w14:textId="785B87ED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determine the antibiotic usage in COVID-19 patients post-introduction of PCT within 7 days of ICU admission, and to assess If mortality and length of stay in intensive care will be affected based on PCT values and antibiotic decision making.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8659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Age according to PCT levels: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1. PCT &lt;0.5 microgram/L= 54.4 (+/-11.3)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PCT&gt; 0.5 microgram/L= 57.9 (+/-10)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E43D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E52E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All patients were tested positive for SARS-CoV-2 by real time polymerase chain reaction (RT-PCR) from a combined nose and throat swabs in a </w:t>
            </w:r>
            <w:proofErr w:type="spellStart"/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VIROCULT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virus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transport medium upon their admission to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GICU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FAA3" w14:textId="172AD109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32C1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F367" w14:textId="582FC8F9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6F5D" w14:textId="3E409340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1E6D" w14:textId="5708721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he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use  of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PCT  as  a  guide  for  de-escalation  of  antibiotics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was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significantly associated with reduced antibiotic usage by 2 days in COVID-19 patients and can be used as an ABS tool. </w:t>
            </w:r>
          </w:p>
        </w:tc>
      </w:tr>
      <w:tr w:rsidR="00725EAC" w:rsidRPr="00AC5C42" w14:paraId="34D4B56F" w14:textId="77777777" w:rsidTr="00725EAC">
        <w:trPr>
          <w:trHeight w:val="312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13E1" w14:textId="42FBE569" w:rsidR="00575B33" w:rsidRPr="00725EAC" w:rsidRDefault="00575B33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Waris et al. [21]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E2E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Islamabad, Pakistan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3AE2" w14:textId="77777777" w:rsidR="00575B33" w:rsidRPr="00575B33" w:rsidRDefault="00575B33" w:rsidP="00575B33">
            <w:pPr>
              <w:spacing w:after="0" w:line="480" w:lineRule="auto"/>
              <w:jc w:val="center"/>
              <w:rPr>
                <w:rFonts w:ascii="Calibri (Body)" w:eastAsia="Times New Roman" w:hAnsi="Calibri (Body)" w:cs="Calibri"/>
                <w:color w:val="000000" w:themeColor="text1"/>
                <w:sz w:val="14"/>
                <w:szCs w:val="14"/>
              </w:rPr>
            </w:pPr>
            <w:r w:rsidRPr="00575B33">
              <w:rPr>
                <w:rFonts w:ascii="Calibri (Body)" w:eastAsia="Times New Roman" w:hAnsi="Calibri (Body)" w:cs="Calibri"/>
                <w:color w:val="000000" w:themeColor="text1"/>
                <w:sz w:val="14"/>
                <w:szCs w:val="14"/>
              </w:rPr>
              <w:t>Prospective cohort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D795" w14:textId="4CAB0BEC" w:rsidR="00575B33" w:rsidRPr="00575B33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575B33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1CC3" w14:textId="6B156988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evaluate the serum procalcitonin (PCT) 8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level as a biomarker for bacterial co-infection and disease severity in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COVID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-19 patients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3011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Mean: 45.8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E41B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90E4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All those individuals who were tested positive for the SARS-CoV-2 according to the WHO and CDC guidelines for the detection and diagnosis of COVID-19 were included in this study.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2D55" w14:textId="3F55578D" w:rsidR="00575B33" w:rsidRPr="00575B33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575B33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D9AF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3 cutoffs were used: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0.07 +/-0.06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0.5 +/- 0.4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&gt;1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1D89" w14:textId="77777777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Bacterial infections were defined on the basis of increased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white blood cells (WBCs) counts and the increased level of PCT.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007E" w14:textId="5C9717A5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28E95" w14:textId="3C6A2A7C" w:rsidR="00575B33" w:rsidRPr="00AC5C42" w:rsidRDefault="00575B33" w:rsidP="00575B3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 elevation in PCT level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proportionally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increase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with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  increase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in  age  of  the  patients.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The fluctuation in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3. PCT level could be associated with the prognosis of the diseases.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4.  The serial PCT measurement could predict the prognosis of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COVID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-19 patients.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5.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The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primary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application 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of  PCT  in  COVID-19  is  its  ability  to  exclude  a  bacterial  co- infection associated with a negative predictive value &gt;90% when a rule-out cut-off (&lt;0.25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μg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/L).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6. </w:t>
            </w:r>
            <w:r w:rsidR="0054170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</w:t>
            </w:r>
            <w:r w:rsidR="0054170D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tatistically </w:t>
            </w:r>
            <w:proofErr w:type="gramStart"/>
            <w:r w:rsidR="0054170D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significant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differences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and demonstrated that PCT might determine the severity of patients infected with SARS-CoV-2.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7. The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serum  PCT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measurement  could  evaluate  the  prognosis  of  the  disease  and  the  presence  of bacterial  co-infection  in  some  </w:t>
            </w:r>
            <w:r w:rsidR="0054170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COVID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-19  patients. </w:t>
            </w:r>
          </w:p>
        </w:tc>
      </w:tr>
      <w:tr w:rsidR="00725EAC" w:rsidRPr="00AC5C42" w14:paraId="36372831" w14:textId="77777777" w:rsidTr="00725EAC">
        <w:trPr>
          <w:trHeight w:val="218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BDA" w14:textId="549CB287" w:rsidR="0054170D" w:rsidRPr="00725EAC" w:rsidRDefault="0054170D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Hughes et al. [22]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081C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London, United Kingdom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DE96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observational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CDBF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 December 2020 - 28 February 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0D80" w14:textId="6B37A8D1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analyze the impact of PCR as an antimicrobial stewardship (AMS) tool among patients with COVID-19 in an acute hospital setting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BDAB" w14:textId="3919C6E2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Median: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67.5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1E9D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508A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All patients with confirmed SARS-CoC-2 between 01/12/2021-28/02/2021.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A05D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Early death within 72 hours from admission of SARS-CoV-2 detection.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EEA5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0847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Blood culture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Respiratory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MC&amp;S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(sputum culture)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3. Legionella urinary antigen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4. Pneumococcal urinary antigen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5. Viral Resp Screen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6. Peak CRP in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72hr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of admission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7.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WCC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on admission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91EA" w14:textId="3AAF1F4B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N/A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9D3D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A negative PCT on admission correlates with shorter antimicrobial courses, early cessation of therapy and predicts lower ITU admission during the admission.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a negative PCT is associated with better prognosis for the patient and subsequent early cessation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antibacterials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3. a PCT assay in the in the in the first 48 hours may provide utility in excluding possible bacterial infections.                       4.  Low PCT (&lt; 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0.25pg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/ml) correlates with low probability of bacterial infection and supports decision making to aid cessation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antibacterials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at the 48–72 hour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review..</w:t>
            </w:r>
            <w:proofErr w:type="gramEnd"/>
          </w:p>
        </w:tc>
      </w:tr>
      <w:tr w:rsidR="0054170D" w:rsidRPr="00AC5C42" w14:paraId="0AC80320" w14:textId="77777777" w:rsidTr="00725EAC">
        <w:trPr>
          <w:trHeight w:val="1872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361" w14:textId="1A79C687" w:rsidR="0054170D" w:rsidRPr="00725EAC" w:rsidRDefault="0054170D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Pink et al. [23]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86D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Hannover, Germany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B629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single-center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3790" w14:textId="263726E9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 March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- 30 October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3BAB" w14:textId="2CDC81A0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investigate the diagnostic value of PCT and CRP to detect secondary bacterial infections in patients with COVID-19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FD58" w14:textId="5B4063BF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Median: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EADE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0E94" w14:textId="35CCDDB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All hospitalized patients aged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18  years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and older with confirmed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COVID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-19 pneumonia, admit- ted between 6th March and 30th October 2020 to a large university hospital, located in Hannover.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2BFE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Patients less than 18 years of age.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No PCT/CRP on admission.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No pneumonic infiltrates on chest imaging.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7C3B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8574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1. Blood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Respiratory samples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3. BAL samples and bronchoscopy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4. Urine sample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5. Urinary antigen tests for </w:t>
            </w:r>
            <w:proofErr w:type="spellStart"/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L.pneumophila</w:t>
            </w:r>
            <w:proofErr w:type="spellEnd"/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and S. pneumonia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7874" w14:textId="5DF50073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B9C0" w14:textId="54123B64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Patients with secondary bacterial infection had higher PCT and CRP levels on admission and during their hospital stay.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PCT levels &lt; 0.55 ng/mL ruled out secondary bacterial infections with a negative predictive value of 94%.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3. With regard to antimicrobial stewardship, initiation of empirical antibacterial therapy in patients with low PCT can probably be avoided.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4. significant increase in both PCT and CRP levels was observed in patients with secondary bacterial infection.</w:t>
            </w:r>
          </w:p>
        </w:tc>
      </w:tr>
      <w:tr w:rsidR="0054170D" w:rsidRPr="00AC5C42" w14:paraId="3B01DC46" w14:textId="77777777" w:rsidTr="00725EAC">
        <w:trPr>
          <w:trHeight w:val="1872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8638" w14:textId="4CC1E895" w:rsidR="0054170D" w:rsidRPr="00725EAC" w:rsidRDefault="0054170D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lastRenderedPageBreak/>
              <w:t>Peters et al. [24]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877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Chesterfield, United Kingdom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0F1E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single-center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F5B3" w14:textId="1CDFD951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8 April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- 27 April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9AFB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Tp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determine the extent to which PCT testing influenced antibiotic prescribing.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8FE8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B9E3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DDA8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All patients with suspected or confirmed COVID-19.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459C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Patients with no COVID-19 swab and those in intensive therapy unit (ITU).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2166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3 cutoffs were used: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&lt;0.25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0.25 - 0.49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&gt;=0.5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3AF2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None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172E" w14:textId="756D8CB4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FB35" w14:textId="6CD612CB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PCT use has helped reduce antibiotic prescriptions in all COVID-suspected or confirmed cases by 44%, with levels being used to guide antibiotic therapy in just under three quarters of cases. PCT testing in patients with suspected or confirmed COVID-19 at Chesterfield Royal Hospital has helped clinicians rationalize antibiotic prescribing and ultimately led to a reduction in unnecessary antibiotic use. PCT, when used in combination with thorough clinical assessment, is a safe, simple and sustainable way of reducing antibiotic use in COVID-19.</w:t>
            </w:r>
          </w:p>
        </w:tc>
      </w:tr>
      <w:tr w:rsidR="0054170D" w:rsidRPr="00AC5C42" w14:paraId="398DBC8F" w14:textId="77777777" w:rsidTr="00725EAC">
        <w:trPr>
          <w:trHeight w:val="2496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FDD" w14:textId="4604772B" w:rsidR="0054170D" w:rsidRPr="00725EAC" w:rsidRDefault="0054170D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May et al. [25]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D5F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New York, United States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4F6E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cohort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1875" w14:textId="5AF433B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 March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- 30 June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371E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To examine the ability of procalcitonin to identify community-associated bacterial infection (CAI) as defined by positive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microbiological results in blood, urine, or respiratory culture within 72 h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presen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tation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in a cohort of patients with COVID-19 at a large medical center in New York City.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420D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Mean: 65.2 (17.2)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E9DB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2443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373A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Adults who presented to the emergency department (ED) of New York-Presbyterian/Columbia University Irving Medical Center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NYP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CUIMC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) or the Allen Hospital with a positive SARS-CoV-2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result on real-time reverse-transcription PCR (RT-PCR) assay from nasopharyngeal or oropharyngeal swab.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562F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1. Patients with who did not have bacterial infections from our sites of interest but had bacterial infections of peritoneal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fluid abscess fluid (3), pericardial fluid (3), wounds (1), lung tissue (1), or other soft tissue (3) within 72 h of presentation.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 Patients in whom procalcitonin was not measured within 72 h of presentation.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FFB4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2 cutoffs were used: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0.5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 0.25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5078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Microbiological studies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Urine culture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C84A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774E" w14:textId="77777777" w:rsidR="0054170D" w:rsidRPr="00AC5C42" w:rsidRDefault="0054170D" w:rsidP="0054170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Mean procalcitonin levels were significantly higher in patients with any CAI than in those without CAI.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procalcitonin was a poor predictor of CAI among adult patients with COVID-19.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 Whereas procalcitonin was significantly elevated in patients with CAI compared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 xml:space="preserve">with uninfected individuals, it demonstrated low sensitivity and specificity for identifying community-associated bacteremia, bac-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terial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pneumonia, and bacteriuria, using a cutoff of 0.25 or 0.5 ng/ml.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4. elevated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procalci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tonin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in COVID-19 is primarily driven by the inflammation caused by the disease itself rather than by bacterial coinfection, and procalcitonin is not a reliable guide for the decision to initiate antibiotics in patients with COVID-19.</w:t>
            </w:r>
          </w:p>
        </w:tc>
      </w:tr>
      <w:tr w:rsidR="00E30931" w:rsidRPr="00AC5C42" w14:paraId="00416B3A" w14:textId="77777777" w:rsidTr="00725EAC">
        <w:trPr>
          <w:trHeight w:val="2808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8FE5" w14:textId="345C7AB3" w:rsidR="00E30931" w:rsidRPr="00725EAC" w:rsidRDefault="00E3093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proofErr w:type="spellStart"/>
            <w:r w:rsidRPr="00725EAC">
              <w:rPr>
                <w:rFonts w:cstheme="minorHAnsi"/>
                <w:sz w:val="14"/>
                <w:szCs w:val="14"/>
              </w:rPr>
              <w:t>Heer</w:t>
            </w:r>
            <w:proofErr w:type="spellEnd"/>
            <w:r w:rsidRPr="00725EAC">
              <w:rPr>
                <w:rFonts w:cstheme="minorHAnsi"/>
                <w:sz w:val="14"/>
                <w:szCs w:val="14"/>
              </w:rPr>
              <w:t xml:space="preserve"> et al. [26]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629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Slough, United Kingdom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A401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cohort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7D6D" w14:textId="6A64855E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February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September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87E0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To identify the association between procalcitonin and Covid-19 disease severity in a critical care setting and whether bacterial co-infection is implicated.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8EF0" w14:textId="4AF2C6DA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Mean: 60 (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±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12)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830D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58D9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All patients treated for Covid-19 in a critical care setting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HDU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or ITU) at our institution in the UK who had PCT concentrations measured between February and September 2020.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4F7B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Patients who had ceilings of treatment.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E292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Peak PCT&gt;0.5 ng/mL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E06A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1.. Blood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Sputum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3. Urine, line, wound cultures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4. Bronchial lavage or bronchoscopy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5. Urinary pneumococcal antigen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6. Legionella antigen tests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397E" w14:textId="211E8C08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81B2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PCT concentrations were not increased in patients with positive bacterial cultures compared with those with negative bacterial cultures.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PCT peak concentrations to be independent predictors of mortality.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increased serum PCT concentrations are associated with increased severity of Covid-19 as defined by respiratory failure necessitating invasive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mechanical ventilation and in-hospital mortality.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4. Elevated PCT concentrations were associated with increased neutrophil count, and patients requiring invasive mechanical ventilation had higher mean neu-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trophil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count.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5. positive association between PCT and both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LDH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and CRP, elevated levels of which are seen in both severe Covid-19 and bacterial sepsis.</w:t>
            </w:r>
          </w:p>
        </w:tc>
      </w:tr>
      <w:tr w:rsidR="00E30931" w:rsidRPr="00AC5C42" w14:paraId="0892B532" w14:textId="77777777" w:rsidTr="00725EAC">
        <w:trPr>
          <w:trHeight w:val="218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3036" w14:textId="5ADBE2D8" w:rsidR="00E30931" w:rsidRPr="00725EAC" w:rsidRDefault="00E3093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Tang et al. [27]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864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Zhuzho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 China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0045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cohort study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05AC" w14:textId="5B189D46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28 January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2020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- 15 March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7093" w14:textId="5A5676F8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investigate co-infections with common respiratory pathogens and SARS-CoV-2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and laboratory biochemistry findings in patients with COVID-19 in the Zhuzhou area of China, in order to provide a reference for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the disease assessment and clinical treatment of COVID-19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901F" w14:textId="4C211A92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47.7 (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±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17.2)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AB23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2832" w14:textId="3ABFC39A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Patients who were admitted to the People’s Hospital of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Lukou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District in China, the designated hospital for the isolation and treatment of COVID-19 patients in Zhuzhou City, between January 28 and March 15, 2020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CEC5" w14:textId="6FA16611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35C8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07CE" w14:textId="6C04B2A3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Immunoglobulin M antibody (Legionella pneumophila, Coxiella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burnetii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influenza A virus, influenza B virus, M. pneumoniae, Chlamydia pneumoniae, RSV, adenoviruses,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and human parainfluenza virus)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54FB" w14:textId="3C0D0110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N/A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17CB" w14:textId="68BAF025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 Elevated procalcitonin levels in COVID-19 patients may be a sign of the presence of infection with other respiratory tract pathogens.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2. The patients with co-infection were significantly more likely to have elevated PCT levels than those with mono-infection, suggesting greater severity of inflammatory responses in co-infected patients.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Increased levels of PCT in patients with COVID-19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pneumonia were associated with co-infection.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</w:t>
            </w:r>
          </w:p>
        </w:tc>
      </w:tr>
      <w:tr w:rsidR="00E30931" w:rsidRPr="00AC5C42" w14:paraId="662892D5" w14:textId="77777777" w:rsidTr="00725EAC">
        <w:trPr>
          <w:trHeight w:val="218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899" w14:textId="409A4CB0" w:rsidR="00E30931" w:rsidRPr="00725EAC" w:rsidRDefault="00E3093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t>Garrido et al. [28</w:t>
            </w:r>
            <w:r w:rsidRPr="00725EAC">
              <w:rPr>
                <w:rFonts w:cstheme="minorHAnsi"/>
                <w:sz w:val="14"/>
                <w:szCs w:val="14"/>
              </w:rPr>
              <w:t>]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64A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Reus, Spain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1DA2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observational study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A74A" w14:textId="48F4E824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March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2020 -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May 2020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C11C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 investigate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whether  blood  PCT  level  is  a  useful  marker  of  bacterial coinfection  at  Emergency  Department  (ED)  and  nosocomial  bacterial  infection  in  ICU  patients with pneumonia due to SARS-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CoV2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397F" w14:textId="3D462F8E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Median: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60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8D50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F72E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All  patients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met  the  diagnosis  criteria  of  pneumonia due  to  SARS-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CoV2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defined  as  a  positive  result  on  real-time  reverse  transcription-polymerase chain reaction (RT-PCR) test of nasopharyngeal swab specimens and compatible positive chest imaging test (X-ray or computerized tomography).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4D44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1.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Patients  under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the  age  of  18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Pregnant  women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Patients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with  do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-not-resuscitate 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DNR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)  or  do-not- intubate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DNI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1454" w14:textId="489B2EF4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2 cutoffs were used: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0.3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 0.06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A033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1. Blood, valid sputum, trachea aspirate, or pleural effusion culture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Antigen test for detection of S. pneumoniae and L. 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pneumophila  in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urine 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Serum  samples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for  serological  tests  for  M. 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pneumoniae,  C.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pneumoniae and L. pneumoniae 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9B84" w14:textId="633E8AED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12BC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1. 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An  inverse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correlation  between  blood  PCT  levels  and  estimated  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GFR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at  hospital admission.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2.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higher  blood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PCT  levels  in those  patients who died (</w:t>
            </w:r>
            <w:proofErr w:type="spell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0.67ng</w:t>
            </w:r>
            <w:proofErr w:type="spell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/ml)  and confirming the utility of initial blood PCT level as a marker of mortality.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 xml:space="preserve">3. Blood PCT levels were high in COVID-19 patients and variations in serial </w:t>
            </w:r>
            <w:proofErr w:type="gramStart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blood  PCT</w:t>
            </w:r>
            <w:proofErr w:type="gramEnd"/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levels  did  not  help  to  detect  bacterial  nosocomial  infections.  </w:t>
            </w:r>
          </w:p>
        </w:tc>
      </w:tr>
      <w:tr w:rsidR="00E30931" w:rsidRPr="00AC5C42" w14:paraId="32E07160" w14:textId="77777777" w:rsidTr="00725EAC">
        <w:trPr>
          <w:trHeight w:val="218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DBBB" w14:textId="7A7CDC11" w:rsidR="00E30931" w:rsidRPr="00725EAC" w:rsidRDefault="00E30931" w:rsidP="00725EA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725EAC">
              <w:rPr>
                <w:rFonts w:cstheme="minorHAnsi"/>
                <w:sz w:val="14"/>
                <w:szCs w:val="14"/>
              </w:rPr>
              <w:lastRenderedPageBreak/>
              <w:t>Roy et al. [29]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B95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Jacksonville, Florida, USA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598F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Retrospective observational study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821D" w14:textId="1BC487F6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March 1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,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2020 - August 14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,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2020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7119" w14:textId="156068BF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To evaluate the association between PCT levels and superadded bacterial infections in COVID-19 pneumonia, and to evaluate the effect of early discontinuation of antibiotics in the low PCT (&lt;0.25 ng/mL) group on patient outcomes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8866" w14:textId="25B46A58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25EA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Median</w:t>
            </w:r>
            <w:r w:rsidRPr="00AC5C4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: 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63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935D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1640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All COVID-19 patients admitted to the institution between March 1 2020 - August 14 2020.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6952" w14:textId="17BD0302" w:rsidR="00E30931" w:rsidRPr="00725EAC" w:rsidRDefault="00725EAC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</w:pPr>
            <w:r w:rsidRPr="00725EAC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N/A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40FC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E759" w14:textId="77777777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Blood Culture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br/>
              <w:t>Sputum Culture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3F71" w14:textId="3BD86660" w:rsidR="00E30931" w:rsidRPr="00AC5C42" w:rsidRDefault="00725EAC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  <w:r w:rsidR="00E30931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7A22" w14:textId="17FB6904" w:rsidR="00E30931" w:rsidRPr="00AC5C42" w:rsidRDefault="00E30931" w:rsidP="00E3093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Our study denotes that PCT levels are usually low in patients with COVID-19 pneumonia. Slight elevations of PCT in COVID-19 pneumonia are most likely related to inflammation and not due to superadded bacterial infection. Markedly elevated PCT is an indicator for superadded bacterial infection in this setting. Early </w:t>
            </w:r>
            <w:r w:rsidR="00725EAC"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de-escalation</w:t>
            </w:r>
            <w:r w:rsidRPr="00AC5C4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/discontinuation of antibiotics based on PCT level in patients with COVID-19 pneumonia is probably safe and effective without causing any obvious adverse effects on patient outcomes. Early discontinuation of antibiotics is associated with a shorter length of hospitalization and potentially lower hospital costs.</w:t>
            </w:r>
          </w:p>
        </w:tc>
      </w:tr>
      <w:bookmarkEnd w:id="0"/>
    </w:tbl>
    <w:p w14:paraId="481029A6" w14:textId="77777777" w:rsidR="007A40C9" w:rsidRDefault="00000000"/>
    <w:sectPr w:rsidR="007A40C9" w:rsidSect="00C002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2E"/>
    <w:rsid w:val="004D1717"/>
    <w:rsid w:val="0054170D"/>
    <w:rsid w:val="00575B33"/>
    <w:rsid w:val="00725EAC"/>
    <w:rsid w:val="00762EEF"/>
    <w:rsid w:val="00960FE6"/>
    <w:rsid w:val="00B26CAB"/>
    <w:rsid w:val="00C0022E"/>
    <w:rsid w:val="00D20D0C"/>
    <w:rsid w:val="00E30931"/>
    <w:rsid w:val="00F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85DC"/>
  <w15:chartTrackingRefBased/>
  <w15:docId w15:val="{DBE5B09B-DA1C-4012-BB6C-E8A53541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ibraheem omar</dc:creator>
  <cp:keywords/>
  <dc:description/>
  <cp:lastModifiedBy>ibraheem omar</cp:lastModifiedBy>
  <cp:revision>2</cp:revision>
  <dcterms:created xsi:type="dcterms:W3CDTF">2022-08-21T18:58:00Z</dcterms:created>
  <dcterms:modified xsi:type="dcterms:W3CDTF">2022-08-27T13:35:00Z</dcterms:modified>
</cp:coreProperties>
</file>