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3CCC8" w14:textId="77777777" w:rsidR="00DC7C04" w:rsidRPr="007445CA" w:rsidRDefault="00DC7C04" w:rsidP="00DC7C04">
      <w:pPr>
        <w:spacing w:after="0" w:line="480" w:lineRule="auto"/>
        <w:rPr>
          <w:rFonts w:ascii="Arial" w:eastAsia="Times New Roman" w:hAnsi="Arial" w:cs="Arial"/>
          <w:color w:val="FF0000"/>
          <w:sz w:val="20"/>
          <w:szCs w:val="24"/>
          <w:lang w:val="en-US" w:eastAsia="en-US"/>
        </w:rPr>
      </w:pPr>
      <w:r w:rsidRPr="005108C3">
        <w:rPr>
          <w:rFonts w:ascii="Arial" w:eastAsia="Times New Roman" w:hAnsi="Arial" w:cs="Arial"/>
          <w:sz w:val="20"/>
          <w:szCs w:val="24"/>
          <w:lang w:val="en-US" w:eastAsia="en-US"/>
        </w:rPr>
        <w:t xml:space="preserve">SUPPLEMENTARY </w:t>
      </w:r>
      <w:r>
        <w:rPr>
          <w:rFonts w:ascii="Arial" w:eastAsia="Times New Roman" w:hAnsi="Arial" w:cs="Arial"/>
          <w:sz w:val="20"/>
          <w:szCs w:val="24"/>
          <w:lang w:val="en-US" w:eastAsia="en-US"/>
        </w:rPr>
        <w:t>TABLE</w:t>
      </w:r>
    </w:p>
    <w:p w14:paraId="16140A4C" w14:textId="77777777" w:rsidR="00DC7C04" w:rsidRPr="007445CA" w:rsidRDefault="00DC7C04" w:rsidP="00DC7C04">
      <w:pPr>
        <w:spacing w:after="0" w:line="480" w:lineRule="auto"/>
        <w:rPr>
          <w:rFonts w:ascii="Arial" w:eastAsia="Times New Roman" w:hAnsi="Arial" w:cs="Arial"/>
          <w:sz w:val="20"/>
          <w:szCs w:val="24"/>
          <w:lang w:val="en-US" w:eastAsia="en-US"/>
        </w:rPr>
      </w:pPr>
      <w:r w:rsidRPr="007445CA">
        <w:rPr>
          <w:rFonts w:ascii="Arial" w:eastAsia="Times New Roman" w:hAnsi="Arial" w:cs="Arial"/>
          <w:sz w:val="20"/>
          <w:szCs w:val="24"/>
          <w:lang w:val="en-US" w:eastAsia="en-US"/>
        </w:rPr>
        <w:t>Lugogo et al</w:t>
      </w:r>
    </w:p>
    <w:p w14:paraId="1E60C6C5" w14:textId="0C1FDCD3" w:rsidR="00DC7C04" w:rsidRPr="00DC7C04" w:rsidRDefault="00DC7C04" w:rsidP="00DC7C04">
      <w:pPr>
        <w:keepNext/>
        <w:spacing w:before="240" w:after="60" w:line="480" w:lineRule="auto"/>
        <w:outlineLvl w:val="0"/>
        <w:rPr>
          <w:rFonts w:ascii="Arial" w:eastAsia="Times New Roman" w:hAnsi="Arial" w:cs="Arial"/>
          <w:b/>
          <w:bCs/>
          <w:kern w:val="32"/>
          <w:sz w:val="32"/>
          <w:szCs w:val="32"/>
          <w:lang w:val="en-US" w:eastAsia="en-US"/>
        </w:rPr>
      </w:pPr>
      <w:r w:rsidRPr="007445CA">
        <w:rPr>
          <w:rFonts w:ascii="Arial" w:eastAsia="Times New Roman" w:hAnsi="Arial" w:cs="Arial"/>
          <w:b/>
          <w:bCs/>
          <w:kern w:val="32"/>
          <w:sz w:val="32"/>
          <w:szCs w:val="32"/>
          <w:lang w:val="en-US" w:eastAsia="en-US"/>
        </w:rPr>
        <w:t>A new approach to predict asthma exacerbations: a 12-week, open-label study using an electronic multi-dose dry powder inhaler with integrated sensors</w:t>
      </w:r>
    </w:p>
    <w:p w14:paraId="01B62B18" w14:textId="77777777" w:rsidR="00DC7C04" w:rsidRPr="007445CA" w:rsidRDefault="00DC7C04" w:rsidP="00DC7C04">
      <w:pPr>
        <w:spacing w:after="120" w:line="480" w:lineRule="auto"/>
        <w:rPr>
          <w:rFonts w:ascii="Arial" w:eastAsiaTheme="minorHAnsi" w:hAnsi="Arial" w:cs="Arial"/>
          <w:bCs/>
          <w:sz w:val="20"/>
          <w:szCs w:val="20"/>
          <w:lang w:val="en-US" w:eastAsia="en-US"/>
        </w:rPr>
      </w:pPr>
      <w:r w:rsidRPr="007445CA">
        <w:rPr>
          <w:rFonts w:ascii="Arial" w:eastAsiaTheme="minorHAnsi" w:hAnsi="Arial" w:cs="Arial"/>
          <w:b/>
          <w:bCs/>
          <w:sz w:val="20"/>
          <w:szCs w:val="20"/>
          <w:lang w:val="en-US" w:eastAsia="en-US"/>
        </w:rPr>
        <w:t xml:space="preserve">Supplementary Table S1: </w:t>
      </w:r>
      <w:r w:rsidRPr="007445CA">
        <w:rPr>
          <w:rFonts w:ascii="Arial" w:eastAsiaTheme="minorHAnsi" w:hAnsi="Arial" w:cs="Arial"/>
          <w:bCs/>
          <w:sz w:val="20"/>
          <w:szCs w:val="20"/>
          <w:lang w:val="en-US" w:eastAsia="en-US"/>
        </w:rPr>
        <w:t>Baseline demographics and maintenance medication use</w:t>
      </w:r>
    </w:p>
    <w:tbl>
      <w:tblPr>
        <w:tblW w:w="5524"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Layout w:type="fixed"/>
        <w:tblCellMar>
          <w:top w:w="28" w:type="dxa"/>
          <w:left w:w="85" w:type="dxa"/>
          <w:bottom w:w="28" w:type="dxa"/>
          <w:right w:w="57" w:type="dxa"/>
        </w:tblCellMar>
        <w:tblLook w:val="0420" w:firstRow="1" w:lastRow="0" w:firstColumn="0" w:lastColumn="0" w:noHBand="0" w:noVBand="1"/>
      </w:tblPr>
      <w:tblGrid>
        <w:gridCol w:w="3539"/>
        <w:gridCol w:w="1985"/>
      </w:tblGrid>
      <w:tr w:rsidR="00DC7C04" w:rsidRPr="007445CA" w14:paraId="27FF81E7" w14:textId="77777777" w:rsidTr="00586626">
        <w:trPr>
          <w:trHeight w:val="159"/>
        </w:trPr>
        <w:tc>
          <w:tcPr>
            <w:tcW w:w="3539" w:type="dxa"/>
            <w:shd w:val="clear" w:color="auto" w:fill="auto"/>
            <w:tcMar>
              <w:top w:w="57" w:type="dxa"/>
              <w:left w:w="57" w:type="dxa"/>
              <w:bottom w:w="57" w:type="dxa"/>
              <w:right w:w="57" w:type="dxa"/>
            </w:tcMar>
            <w:vAlign w:val="center"/>
            <w:hideMark/>
          </w:tcPr>
          <w:p w14:paraId="449FDBAF" w14:textId="77777777" w:rsidR="00DC7C04" w:rsidRPr="007445CA" w:rsidRDefault="00DC7C04" w:rsidP="00586626">
            <w:pPr>
              <w:snapToGrid w:val="0"/>
              <w:spacing w:after="0" w:line="480" w:lineRule="auto"/>
              <w:rPr>
                <w:rFonts w:ascii="Arial" w:eastAsiaTheme="minorHAnsi" w:hAnsi="Arial" w:cs="Arial"/>
                <w:sz w:val="20"/>
                <w:szCs w:val="20"/>
                <w:lang w:val="en-US" w:eastAsia="en-US"/>
              </w:rPr>
            </w:pPr>
          </w:p>
        </w:tc>
        <w:tc>
          <w:tcPr>
            <w:tcW w:w="1985" w:type="dxa"/>
            <w:shd w:val="clear" w:color="auto" w:fill="auto"/>
            <w:tcMar>
              <w:top w:w="57" w:type="dxa"/>
              <w:left w:w="57" w:type="dxa"/>
              <w:bottom w:w="57" w:type="dxa"/>
              <w:right w:w="57" w:type="dxa"/>
            </w:tcMar>
            <w:vAlign w:val="center"/>
            <w:hideMark/>
          </w:tcPr>
          <w:p w14:paraId="43BBA99C" w14:textId="77777777" w:rsidR="00DC7C04" w:rsidRPr="007445CA" w:rsidRDefault="00DC7C04" w:rsidP="00586626">
            <w:pPr>
              <w:snapToGrid w:val="0"/>
              <w:spacing w:after="0" w:line="480" w:lineRule="auto"/>
              <w:jc w:val="center"/>
              <w:rPr>
                <w:rFonts w:ascii="Arial" w:eastAsiaTheme="minorHAnsi" w:hAnsi="Arial" w:cs="Arial"/>
                <w:b/>
                <w:bCs/>
                <w:sz w:val="20"/>
                <w:szCs w:val="20"/>
                <w:lang w:val="en-US" w:eastAsia="en-US"/>
              </w:rPr>
            </w:pPr>
            <w:r w:rsidRPr="007445CA">
              <w:rPr>
                <w:rFonts w:ascii="Arial" w:eastAsiaTheme="minorHAnsi" w:hAnsi="Arial" w:cs="Arial"/>
                <w:b/>
                <w:bCs/>
                <w:sz w:val="20"/>
                <w:szCs w:val="20"/>
                <w:lang w:val="en-US" w:eastAsia="en-US"/>
              </w:rPr>
              <w:t>ITT population,</w:t>
            </w:r>
          </w:p>
          <w:p w14:paraId="116698C5" w14:textId="77777777" w:rsidR="00DC7C04" w:rsidRPr="007445CA" w:rsidRDefault="00DC7C04" w:rsidP="00586626">
            <w:pPr>
              <w:snapToGrid w:val="0"/>
              <w:spacing w:after="0" w:line="480" w:lineRule="auto"/>
              <w:jc w:val="center"/>
              <w:rPr>
                <w:rFonts w:ascii="Arial" w:eastAsiaTheme="minorHAnsi" w:hAnsi="Arial" w:cs="Arial"/>
                <w:b/>
                <w:bCs/>
                <w:sz w:val="20"/>
                <w:szCs w:val="20"/>
                <w:lang w:val="en-US" w:eastAsia="en-US"/>
              </w:rPr>
            </w:pPr>
            <w:r w:rsidRPr="007445CA">
              <w:rPr>
                <w:rFonts w:ascii="Arial" w:eastAsiaTheme="minorHAnsi" w:hAnsi="Arial" w:cs="Arial"/>
                <w:b/>
                <w:bCs/>
                <w:sz w:val="20"/>
                <w:szCs w:val="20"/>
                <w:lang w:val="en-US" w:eastAsia="en-US"/>
              </w:rPr>
              <w:t>N=397</w:t>
            </w:r>
          </w:p>
        </w:tc>
      </w:tr>
      <w:tr w:rsidR="00DC7C04" w:rsidRPr="007445CA" w14:paraId="449E8670" w14:textId="77777777" w:rsidTr="00586626">
        <w:trPr>
          <w:trHeight w:val="57"/>
        </w:trPr>
        <w:tc>
          <w:tcPr>
            <w:tcW w:w="3539" w:type="dxa"/>
            <w:shd w:val="clear" w:color="auto" w:fill="auto"/>
            <w:tcMar>
              <w:top w:w="57" w:type="dxa"/>
              <w:left w:w="57" w:type="dxa"/>
              <w:bottom w:w="57" w:type="dxa"/>
              <w:right w:w="57" w:type="dxa"/>
            </w:tcMar>
            <w:vAlign w:val="center"/>
            <w:hideMark/>
          </w:tcPr>
          <w:p w14:paraId="10274793" w14:textId="77777777" w:rsidR="00DC7C04" w:rsidRPr="007445CA" w:rsidRDefault="00DC7C04" w:rsidP="00586626">
            <w:pPr>
              <w:snapToGrid w:val="0"/>
              <w:spacing w:after="0" w:line="480" w:lineRule="auto"/>
              <w:rPr>
                <w:rFonts w:ascii="Arial" w:eastAsiaTheme="minorHAnsi" w:hAnsi="Arial" w:cs="Arial"/>
                <w:b/>
                <w:bCs/>
                <w:sz w:val="20"/>
                <w:szCs w:val="20"/>
                <w:lang w:val="en-US" w:eastAsia="en-US"/>
              </w:rPr>
            </w:pPr>
            <w:r w:rsidRPr="007445CA">
              <w:rPr>
                <w:rFonts w:ascii="Arial" w:eastAsiaTheme="minorHAnsi" w:hAnsi="Arial" w:cs="Arial"/>
                <w:b/>
                <w:bCs/>
                <w:sz w:val="20"/>
                <w:szCs w:val="20"/>
                <w:lang w:val="en-US" w:eastAsia="en-US"/>
              </w:rPr>
              <w:t>Mean age, years (range)</w:t>
            </w:r>
          </w:p>
        </w:tc>
        <w:tc>
          <w:tcPr>
            <w:tcW w:w="1985" w:type="dxa"/>
            <w:shd w:val="clear" w:color="auto" w:fill="auto"/>
            <w:tcMar>
              <w:top w:w="57" w:type="dxa"/>
              <w:left w:w="57" w:type="dxa"/>
              <w:bottom w:w="57" w:type="dxa"/>
              <w:right w:w="57" w:type="dxa"/>
            </w:tcMar>
            <w:vAlign w:val="center"/>
            <w:hideMark/>
          </w:tcPr>
          <w:p w14:paraId="4DF17EE9" w14:textId="77777777" w:rsidR="00DC7C04" w:rsidRPr="007445CA" w:rsidRDefault="00DC7C04" w:rsidP="00586626">
            <w:pPr>
              <w:snapToGrid w:val="0"/>
              <w:spacing w:after="0" w:line="480" w:lineRule="auto"/>
              <w:jc w:val="center"/>
              <w:rPr>
                <w:rFonts w:ascii="Arial" w:eastAsiaTheme="minorHAnsi" w:hAnsi="Arial" w:cs="Arial"/>
                <w:bCs/>
                <w:sz w:val="20"/>
                <w:szCs w:val="20"/>
                <w:lang w:val="en-US" w:eastAsia="en-US"/>
              </w:rPr>
            </w:pPr>
            <w:r w:rsidRPr="007445CA">
              <w:rPr>
                <w:rFonts w:ascii="Arial" w:eastAsiaTheme="minorHAnsi" w:hAnsi="Arial" w:cs="Arial"/>
                <w:bCs/>
                <w:sz w:val="20"/>
                <w:szCs w:val="20"/>
                <w:lang w:val="en-US" w:eastAsia="en-US"/>
              </w:rPr>
              <w:t>50.1 (18–87)</w:t>
            </w:r>
          </w:p>
        </w:tc>
      </w:tr>
      <w:tr w:rsidR="00DC7C04" w:rsidRPr="007445CA" w14:paraId="4B91E512" w14:textId="77777777" w:rsidTr="00586626">
        <w:trPr>
          <w:trHeight w:val="57"/>
        </w:trPr>
        <w:tc>
          <w:tcPr>
            <w:tcW w:w="3539" w:type="dxa"/>
            <w:shd w:val="clear" w:color="auto" w:fill="auto"/>
            <w:tcMar>
              <w:top w:w="57" w:type="dxa"/>
              <w:left w:w="57" w:type="dxa"/>
              <w:bottom w:w="57" w:type="dxa"/>
              <w:right w:w="57" w:type="dxa"/>
            </w:tcMar>
            <w:vAlign w:val="center"/>
            <w:hideMark/>
          </w:tcPr>
          <w:p w14:paraId="10984FB5" w14:textId="77777777" w:rsidR="00DC7C04" w:rsidRPr="007445CA" w:rsidRDefault="00DC7C04" w:rsidP="00586626">
            <w:pPr>
              <w:snapToGrid w:val="0"/>
              <w:spacing w:after="0" w:line="480" w:lineRule="auto"/>
              <w:rPr>
                <w:rFonts w:ascii="Arial" w:eastAsiaTheme="minorHAnsi" w:hAnsi="Arial" w:cs="Arial"/>
                <w:b/>
                <w:bCs/>
                <w:sz w:val="20"/>
                <w:szCs w:val="20"/>
                <w:lang w:val="en-US" w:eastAsia="en-US"/>
              </w:rPr>
            </w:pPr>
            <w:r w:rsidRPr="007445CA">
              <w:rPr>
                <w:rFonts w:ascii="Arial" w:eastAsiaTheme="minorHAnsi" w:hAnsi="Arial" w:cs="Arial"/>
                <w:b/>
                <w:bCs/>
                <w:sz w:val="20"/>
                <w:szCs w:val="20"/>
                <w:lang w:val="en-US" w:eastAsia="en-US"/>
              </w:rPr>
              <w:t>Females, n (%)</w:t>
            </w:r>
          </w:p>
        </w:tc>
        <w:tc>
          <w:tcPr>
            <w:tcW w:w="1985" w:type="dxa"/>
            <w:shd w:val="clear" w:color="auto" w:fill="auto"/>
            <w:tcMar>
              <w:top w:w="57" w:type="dxa"/>
              <w:left w:w="57" w:type="dxa"/>
              <w:bottom w:w="57" w:type="dxa"/>
              <w:right w:w="57" w:type="dxa"/>
            </w:tcMar>
            <w:vAlign w:val="center"/>
            <w:hideMark/>
          </w:tcPr>
          <w:p w14:paraId="3E367E23" w14:textId="77777777" w:rsidR="00DC7C04" w:rsidRPr="007445CA" w:rsidRDefault="00DC7C04" w:rsidP="00586626">
            <w:pPr>
              <w:snapToGrid w:val="0"/>
              <w:spacing w:after="0" w:line="480" w:lineRule="auto"/>
              <w:jc w:val="center"/>
              <w:rPr>
                <w:rFonts w:ascii="Arial" w:eastAsiaTheme="minorHAnsi" w:hAnsi="Arial" w:cs="Arial"/>
                <w:bCs/>
                <w:sz w:val="20"/>
                <w:szCs w:val="20"/>
                <w:lang w:val="en-US" w:eastAsia="en-US"/>
              </w:rPr>
            </w:pPr>
            <w:r w:rsidRPr="007445CA">
              <w:rPr>
                <w:rFonts w:ascii="Arial" w:eastAsiaTheme="minorHAnsi" w:hAnsi="Arial" w:cs="Arial"/>
                <w:bCs/>
                <w:sz w:val="20"/>
                <w:szCs w:val="20"/>
                <w:lang w:val="en-US" w:eastAsia="en-US"/>
              </w:rPr>
              <w:t>318 (80.1)</w:t>
            </w:r>
          </w:p>
        </w:tc>
      </w:tr>
      <w:tr w:rsidR="00DC7C04" w:rsidRPr="007445CA" w14:paraId="7BDEC603" w14:textId="77777777" w:rsidTr="00586626">
        <w:trPr>
          <w:trHeight w:val="57"/>
        </w:trPr>
        <w:tc>
          <w:tcPr>
            <w:tcW w:w="3539" w:type="dxa"/>
            <w:shd w:val="clear" w:color="auto" w:fill="auto"/>
            <w:tcMar>
              <w:top w:w="57" w:type="dxa"/>
              <w:left w:w="57" w:type="dxa"/>
              <w:bottom w:w="57" w:type="dxa"/>
              <w:right w:w="57" w:type="dxa"/>
            </w:tcMar>
            <w:vAlign w:val="center"/>
            <w:hideMark/>
          </w:tcPr>
          <w:p w14:paraId="370DD402" w14:textId="77777777" w:rsidR="00DC7C04" w:rsidRPr="007445CA" w:rsidRDefault="00DC7C04" w:rsidP="00586626">
            <w:pPr>
              <w:snapToGrid w:val="0"/>
              <w:spacing w:after="0" w:line="480" w:lineRule="auto"/>
              <w:rPr>
                <w:rFonts w:ascii="Arial" w:eastAsiaTheme="minorHAnsi" w:hAnsi="Arial" w:cs="Arial"/>
                <w:b/>
                <w:bCs/>
                <w:sz w:val="20"/>
                <w:szCs w:val="20"/>
                <w:lang w:val="en-US" w:eastAsia="en-US"/>
              </w:rPr>
            </w:pPr>
            <w:r w:rsidRPr="007445CA">
              <w:rPr>
                <w:rFonts w:ascii="Arial" w:eastAsiaTheme="minorHAnsi" w:hAnsi="Arial" w:cs="Arial"/>
                <w:b/>
                <w:bCs/>
                <w:sz w:val="20"/>
                <w:szCs w:val="20"/>
                <w:lang w:val="en-US" w:eastAsia="en-US"/>
              </w:rPr>
              <w:t>Mean body mass index, kg/m</w:t>
            </w:r>
            <w:r w:rsidRPr="007445CA">
              <w:rPr>
                <w:rFonts w:ascii="Arial" w:eastAsiaTheme="minorHAnsi" w:hAnsi="Arial" w:cs="Arial"/>
                <w:b/>
                <w:bCs/>
                <w:sz w:val="20"/>
                <w:szCs w:val="20"/>
                <w:vertAlign w:val="superscript"/>
                <w:lang w:val="en-US" w:eastAsia="en-US"/>
              </w:rPr>
              <w:t>2</w:t>
            </w:r>
            <w:r w:rsidRPr="007445CA">
              <w:rPr>
                <w:rFonts w:ascii="Arial" w:eastAsiaTheme="minorHAnsi" w:hAnsi="Arial" w:cs="Arial"/>
                <w:b/>
                <w:bCs/>
                <w:sz w:val="20"/>
                <w:szCs w:val="20"/>
                <w:lang w:val="en-US" w:eastAsia="en-US"/>
              </w:rPr>
              <w:t xml:space="preserve"> (SD)</w:t>
            </w:r>
          </w:p>
        </w:tc>
        <w:tc>
          <w:tcPr>
            <w:tcW w:w="1985" w:type="dxa"/>
            <w:shd w:val="clear" w:color="auto" w:fill="auto"/>
            <w:tcMar>
              <w:top w:w="57" w:type="dxa"/>
              <w:left w:w="57" w:type="dxa"/>
              <w:bottom w:w="57" w:type="dxa"/>
              <w:right w:w="57" w:type="dxa"/>
            </w:tcMar>
            <w:vAlign w:val="center"/>
            <w:hideMark/>
          </w:tcPr>
          <w:p w14:paraId="288B1CDB" w14:textId="77777777" w:rsidR="00DC7C04" w:rsidRPr="007445CA" w:rsidRDefault="00DC7C04" w:rsidP="00586626">
            <w:pPr>
              <w:snapToGrid w:val="0"/>
              <w:spacing w:after="0" w:line="480" w:lineRule="auto"/>
              <w:jc w:val="center"/>
              <w:rPr>
                <w:rFonts w:ascii="Arial" w:eastAsiaTheme="minorHAnsi" w:hAnsi="Arial" w:cs="Arial"/>
                <w:bCs/>
                <w:sz w:val="20"/>
                <w:szCs w:val="20"/>
                <w:lang w:val="en-US" w:eastAsia="en-US"/>
              </w:rPr>
            </w:pPr>
            <w:r w:rsidRPr="007445CA">
              <w:rPr>
                <w:rFonts w:ascii="Arial" w:eastAsiaTheme="minorHAnsi" w:hAnsi="Arial" w:cs="Arial"/>
                <w:bCs/>
                <w:sz w:val="20"/>
                <w:szCs w:val="20"/>
                <w:lang w:val="en-US" w:eastAsia="en-US"/>
              </w:rPr>
              <w:t>33.2 (8.4)</w:t>
            </w:r>
          </w:p>
        </w:tc>
      </w:tr>
      <w:tr w:rsidR="00DC7C04" w:rsidRPr="007445CA" w14:paraId="2DBE314B" w14:textId="77777777" w:rsidTr="00586626">
        <w:trPr>
          <w:trHeight w:val="57"/>
        </w:trPr>
        <w:tc>
          <w:tcPr>
            <w:tcW w:w="3539" w:type="dxa"/>
            <w:shd w:val="clear" w:color="auto" w:fill="auto"/>
            <w:tcMar>
              <w:top w:w="57" w:type="dxa"/>
              <w:left w:w="57" w:type="dxa"/>
              <w:bottom w:w="57" w:type="dxa"/>
              <w:right w:w="57" w:type="dxa"/>
            </w:tcMar>
            <w:vAlign w:val="center"/>
            <w:hideMark/>
          </w:tcPr>
          <w:p w14:paraId="2C5F53BB" w14:textId="77777777" w:rsidR="00DC7C04" w:rsidRPr="007445CA" w:rsidRDefault="00DC7C04" w:rsidP="00586626">
            <w:pPr>
              <w:snapToGrid w:val="0"/>
              <w:spacing w:after="0" w:line="480" w:lineRule="auto"/>
              <w:rPr>
                <w:rFonts w:ascii="Arial" w:eastAsiaTheme="minorHAnsi" w:hAnsi="Arial" w:cs="Arial"/>
                <w:b/>
                <w:bCs/>
                <w:sz w:val="20"/>
                <w:szCs w:val="20"/>
                <w:lang w:val="en-US" w:eastAsia="en-US"/>
              </w:rPr>
            </w:pPr>
            <w:r w:rsidRPr="007445CA">
              <w:rPr>
                <w:rFonts w:ascii="Arial" w:eastAsiaTheme="minorHAnsi" w:hAnsi="Arial" w:cs="Arial"/>
                <w:b/>
                <w:bCs/>
                <w:sz w:val="20"/>
                <w:szCs w:val="20"/>
                <w:lang w:val="en-US" w:eastAsia="en-US"/>
              </w:rPr>
              <w:t>Race, n (%)</w:t>
            </w:r>
          </w:p>
        </w:tc>
        <w:tc>
          <w:tcPr>
            <w:tcW w:w="1985" w:type="dxa"/>
            <w:shd w:val="clear" w:color="auto" w:fill="auto"/>
            <w:tcMar>
              <w:top w:w="57" w:type="dxa"/>
              <w:left w:w="57" w:type="dxa"/>
              <w:bottom w:w="57" w:type="dxa"/>
              <w:right w:w="57" w:type="dxa"/>
            </w:tcMar>
            <w:vAlign w:val="center"/>
          </w:tcPr>
          <w:p w14:paraId="601C0379" w14:textId="77777777" w:rsidR="00DC7C04" w:rsidRPr="007445CA" w:rsidRDefault="00DC7C04" w:rsidP="00586626">
            <w:pPr>
              <w:snapToGrid w:val="0"/>
              <w:spacing w:after="0" w:line="480" w:lineRule="auto"/>
              <w:jc w:val="center"/>
              <w:rPr>
                <w:rFonts w:ascii="Arial" w:eastAsiaTheme="minorHAnsi" w:hAnsi="Arial" w:cs="Arial"/>
                <w:bCs/>
                <w:sz w:val="20"/>
                <w:szCs w:val="20"/>
                <w:lang w:val="en-US" w:eastAsia="en-US"/>
              </w:rPr>
            </w:pPr>
          </w:p>
        </w:tc>
      </w:tr>
      <w:tr w:rsidR="00DC7C04" w:rsidRPr="007445CA" w14:paraId="060A7C1D" w14:textId="77777777" w:rsidTr="00586626">
        <w:trPr>
          <w:trHeight w:val="57"/>
        </w:trPr>
        <w:tc>
          <w:tcPr>
            <w:tcW w:w="3539" w:type="dxa"/>
            <w:shd w:val="clear" w:color="auto" w:fill="auto"/>
            <w:tcMar>
              <w:top w:w="57" w:type="dxa"/>
              <w:left w:w="57" w:type="dxa"/>
              <w:bottom w:w="57" w:type="dxa"/>
              <w:right w:w="57" w:type="dxa"/>
            </w:tcMar>
            <w:vAlign w:val="center"/>
          </w:tcPr>
          <w:p w14:paraId="7475D925" w14:textId="77777777" w:rsidR="00DC7C04" w:rsidRPr="007445CA" w:rsidRDefault="00DC7C04" w:rsidP="00586626">
            <w:pPr>
              <w:snapToGrid w:val="0"/>
              <w:spacing w:after="0" w:line="480" w:lineRule="auto"/>
              <w:ind w:firstLine="197"/>
              <w:rPr>
                <w:rFonts w:ascii="Arial" w:eastAsiaTheme="minorHAnsi" w:hAnsi="Arial" w:cs="Arial"/>
                <w:b/>
                <w:bCs/>
                <w:sz w:val="20"/>
                <w:szCs w:val="20"/>
                <w:lang w:val="en-US" w:eastAsia="en-US"/>
              </w:rPr>
            </w:pPr>
            <w:r w:rsidRPr="007445CA">
              <w:rPr>
                <w:rFonts w:ascii="Arial" w:eastAsiaTheme="minorHAnsi" w:hAnsi="Arial" w:cs="Arial"/>
                <w:b/>
                <w:bCs/>
                <w:sz w:val="20"/>
                <w:szCs w:val="20"/>
                <w:lang w:val="en-US" w:eastAsia="en-US"/>
              </w:rPr>
              <w:t>White</w:t>
            </w:r>
          </w:p>
        </w:tc>
        <w:tc>
          <w:tcPr>
            <w:tcW w:w="1985" w:type="dxa"/>
            <w:shd w:val="clear" w:color="auto" w:fill="auto"/>
            <w:tcMar>
              <w:top w:w="57" w:type="dxa"/>
              <w:left w:w="57" w:type="dxa"/>
              <w:bottom w:w="57" w:type="dxa"/>
              <w:right w:w="57" w:type="dxa"/>
            </w:tcMar>
            <w:vAlign w:val="center"/>
          </w:tcPr>
          <w:p w14:paraId="6818448B" w14:textId="77777777" w:rsidR="00DC7C04" w:rsidRPr="007445CA" w:rsidRDefault="00DC7C04" w:rsidP="00586626">
            <w:pPr>
              <w:snapToGrid w:val="0"/>
              <w:spacing w:after="0" w:line="480" w:lineRule="auto"/>
              <w:jc w:val="center"/>
              <w:rPr>
                <w:rFonts w:ascii="Arial" w:eastAsiaTheme="minorHAnsi" w:hAnsi="Arial" w:cs="Arial"/>
                <w:bCs/>
                <w:sz w:val="20"/>
                <w:szCs w:val="20"/>
                <w:lang w:val="en-US" w:eastAsia="en-US"/>
              </w:rPr>
            </w:pPr>
            <w:r w:rsidRPr="007445CA">
              <w:rPr>
                <w:rFonts w:ascii="Arial" w:eastAsiaTheme="minorHAnsi" w:hAnsi="Arial" w:cs="Arial"/>
                <w:bCs/>
                <w:sz w:val="20"/>
                <w:szCs w:val="20"/>
                <w:lang w:val="en-US" w:eastAsia="en-US"/>
              </w:rPr>
              <w:t>313 (78.8)</w:t>
            </w:r>
          </w:p>
        </w:tc>
      </w:tr>
      <w:tr w:rsidR="00DC7C04" w:rsidRPr="007445CA" w14:paraId="14A21D09" w14:textId="77777777" w:rsidTr="00586626">
        <w:trPr>
          <w:trHeight w:val="57"/>
        </w:trPr>
        <w:tc>
          <w:tcPr>
            <w:tcW w:w="3539" w:type="dxa"/>
            <w:shd w:val="clear" w:color="auto" w:fill="auto"/>
            <w:tcMar>
              <w:top w:w="57" w:type="dxa"/>
              <w:left w:w="57" w:type="dxa"/>
              <w:bottom w:w="57" w:type="dxa"/>
              <w:right w:w="57" w:type="dxa"/>
            </w:tcMar>
            <w:vAlign w:val="center"/>
          </w:tcPr>
          <w:p w14:paraId="5B48226D" w14:textId="77777777" w:rsidR="00DC7C04" w:rsidRPr="007445CA" w:rsidRDefault="00DC7C04" w:rsidP="00586626">
            <w:pPr>
              <w:snapToGrid w:val="0"/>
              <w:spacing w:after="0" w:line="480" w:lineRule="auto"/>
              <w:ind w:firstLine="197"/>
              <w:rPr>
                <w:rFonts w:ascii="Arial" w:eastAsiaTheme="minorHAnsi" w:hAnsi="Arial" w:cs="Arial"/>
                <w:b/>
                <w:bCs/>
                <w:sz w:val="20"/>
                <w:szCs w:val="20"/>
                <w:lang w:val="en-US" w:eastAsia="en-US"/>
              </w:rPr>
            </w:pPr>
            <w:r w:rsidRPr="007445CA">
              <w:rPr>
                <w:rFonts w:ascii="Arial" w:eastAsiaTheme="minorHAnsi" w:hAnsi="Arial" w:cs="Arial"/>
                <w:b/>
                <w:bCs/>
                <w:sz w:val="20"/>
                <w:szCs w:val="20"/>
                <w:lang w:val="en-US" w:eastAsia="en-US"/>
              </w:rPr>
              <w:t>Black or African American</w:t>
            </w:r>
          </w:p>
        </w:tc>
        <w:tc>
          <w:tcPr>
            <w:tcW w:w="1985" w:type="dxa"/>
            <w:shd w:val="clear" w:color="auto" w:fill="auto"/>
            <w:tcMar>
              <w:top w:w="57" w:type="dxa"/>
              <w:left w:w="57" w:type="dxa"/>
              <w:bottom w:w="57" w:type="dxa"/>
              <w:right w:w="57" w:type="dxa"/>
            </w:tcMar>
            <w:vAlign w:val="center"/>
          </w:tcPr>
          <w:p w14:paraId="795D8AC8" w14:textId="77777777" w:rsidR="00DC7C04" w:rsidRPr="007445CA" w:rsidRDefault="00DC7C04" w:rsidP="00586626">
            <w:pPr>
              <w:snapToGrid w:val="0"/>
              <w:spacing w:after="0" w:line="480" w:lineRule="auto"/>
              <w:jc w:val="center"/>
              <w:rPr>
                <w:rFonts w:ascii="Arial" w:eastAsiaTheme="minorHAnsi" w:hAnsi="Arial" w:cs="Arial"/>
                <w:bCs/>
                <w:sz w:val="20"/>
                <w:szCs w:val="20"/>
                <w:lang w:val="en-US" w:eastAsia="en-US"/>
              </w:rPr>
            </w:pPr>
            <w:r w:rsidRPr="007445CA">
              <w:rPr>
                <w:rFonts w:ascii="Arial" w:eastAsiaTheme="minorHAnsi" w:hAnsi="Arial" w:cs="Arial"/>
                <w:bCs/>
                <w:sz w:val="20"/>
                <w:szCs w:val="20"/>
                <w:lang w:val="en-US" w:eastAsia="en-US"/>
              </w:rPr>
              <w:t>74 (18.6)</w:t>
            </w:r>
          </w:p>
        </w:tc>
      </w:tr>
      <w:tr w:rsidR="00DC7C04" w:rsidRPr="007445CA" w14:paraId="354CB7C7" w14:textId="77777777" w:rsidTr="00586626">
        <w:trPr>
          <w:trHeight w:val="57"/>
        </w:trPr>
        <w:tc>
          <w:tcPr>
            <w:tcW w:w="3539" w:type="dxa"/>
            <w:shd w:val="clear" w:color="auto" w:fill="auto"/>
            <w:tcMar>
              <w:top w:w="57" w:type="dxa"/>
              <w:left w:w="57" w:type="dxa"/>
              <w:bottom w:w="57" w:type="dxa"/>
              <w:right w:w="57" w:type="dxa"/>
            </w:tcMar>
            <w:vAlign w:val="center"/>
          </w:tcPr>
          <w:p w14:paraId="2A4097D8" w14:textId="77777777" w:rsidR="00DC7C04" w:rsidRPr="007445CA" w:rsidRDefault="00DC7C04" w:rsidP="00586626">
            <w:pPr>
              <w:snapToGrid w:val="0"/>
              <w:spacing w:after="0" w:line="480" w:lineRule="auto"/>
              <w:rPr>
                <w:rFonts w:ascii="Arial" w:eastAsiaTheme="minorHAnsi" w:hAnsi="Arial" w:cs="Arial"/>
                <w:b/>
                <w:bCs/>
                <w:sz w:val="20"/>
                <w:szCs w:val="20"/>
                <w:lang w:val="en-US" w:eastAsia="en-US"/>
              </w:rPr>
            </w:pPr>
            <w:r w:rsidRPr="007445CA">
              <w:rPr>
                <w:rFonts w:ascii="Arial" w:eastAsiaTheme="minorHAnsi" w:hAnsi="Arial" w:cs="Arial"/>
                <w:b/>
                <w:bCs/>
                <w:sz w:val="20"/>
                <w:szCs w:val="20"/>
                <w:lang w:val="en-US" w:eastAsia="en-US"/>
              </w:rPr>
              <w:t>Mean number of exacerbations in the previous 12 months (SD)</w:t>
            </w:r>
          </w:p>
        </w:tc>
        <w:tc>
          <w:tcPr>
            <w:tcW w:w="1985" w:type="dxa"/>
            <w:shd w:val="clear" w:color="auto" w:fill="auto"/>
            <w:tcMar>
              <w:top w:w="57" w:type="dxa"/>
              <w:left w:w="57" w:type="dxa"/>
              <w:bottom w:w="57" w:type="dxa"/>
              <w:right w:w="57" w:type="dxa"/>
            </w:tcMar>
            <w:vAlign w:val="center"/>
          </w:tcPr>
          <w:p w14:paraId="0B0E0E71" w14:textId="77777777" w:rsidR="00DC7C04" w:rsidRPr="007445CA" w:rsidRDefault="00DC7C04" w:rsidP="00586626">
            <w:pPr>
              <w:snapToGrid w:val="0"/>
              <w:spacing w:after="0" w:line="480" w:lineRule="auto"/>
              <w:jc w:val="center"/>
              <w:rPr>
                <w:rFonts w:ascii="Arial" w:eastAsiaTheme="minorHAnsi" w:hAnsi="Arial" w:cs="Arial"/>
                <w:bCs/>
                <w:sz w:val="20"/>
                <w:szCs w:val="20"/>
                <w:lang w:val="en-US" w:eastAsia="en-US"/>
              </w:rPr>
            </w:pPr>
            <w:r w:rsidRPr="007445CA">
              <w:rPr>
                <w:rFonts w:ascii="Arial" w:eastAsiaTheme="minorHAnsi" w:hAnsi="Arial" w:cs="Arial"/>
                <w:bCs/>
                <w:sz w:val="20"/>
                <w:szCs w:val="20"/>
                <w:lang w:val="en-US" w:eastAsia="en-US"/>
              </w:rPr>
              <w:t>1.5 (1.3)</w:t>
            </w:r>
          </w:p>
        </w:tc>
      </w:tr>
      <w:tr w:rsidR="00DC7C04" w:rsidRPr="007445CA" w14:paraId="1B202C36" w14:textId="77777777" w:rsidTr="00586626">
        <w:trPr>
          <w:trHeight w:val="57"/>
        </w:trPr>
        <w:tc>
          <w:tcPr>
            <w:tcW w:w="3539" w:type="dxa"/>
            <w:shd w:val="clear" w:color="auto" w:fill="auto"/>
            <w:tcMar>
              <w:top w:w="57" w:type="dxa"/>
              <w:left w:w="57" w:type="dxa"/>
              <w:bottom w:w="57" w:type="dxa"/>
              <w:right w:w="57" w:type="dxa"/>
            </w:tcMar>
            <w:vAlign w:val="center"/>
          </w:tcPr>
          <w:p w14:paraId="5B332602" w14:textId="77777777" w:rsidR="00DC7C04" w:rsidRPr="007445CA" w:rsidRDefault="00DC7C04" w:rsidP="00586626">
            <w:pPr>
              <w:snapToGrid w:val="0"/>
              <w:spacing w:after="0" w:line="480" w:lineRule="auto"/>
              <w:rPr>
                <w:rFonts w:ascii="Arial" w:eastAsiaTheme="minorHAnsi" w:hAnsi="Arial" w:cs="Arial"/>
                <w:b/>
                <w:bCs/>
                <w:sz w:val="20"/>
                <w:szCs w:val="20"/>
                <w:lang w:val="en-US" w:eastAsia="en-US"/>
              </w:rPr>
            </w:pPr>
            <w:r w:rsidRPr="007445CA">
              <w:rPr>
                <w:rFonts w:ascii="Arial" w:eastAsiaTheme="minorHAnsi" w:hAnsi="Arial" w:cs="Arial"/>
                <w:b/>
                <w:bCs/>
                <w:sz w:val="20"/>
                <w:szCs w:val="20"/>
                <w:lang w:val="en-US" w:eastAsia="en-US"/>
              </w:rPr>
              <w:t>Maintenance medication, n (%)</w:t>
            </w:r>
          </w:p>
        </w:tc>
        <w:tc>
          <w:tcPr>
            <w:tcW w:w="1985" w:type="dxa"/>
            <w:shd w:val="clear" w:color="auto" w:fill="auto"/>
            <w:tcMar>
              <w:top w:w="57" w:type="dxa"/>
              <w:left w:w="57" w:type="dxa"/>
              <w:bottom w:w="57" w:type="dxa"/>
              <w:right w:w="57" w:type="dxa"/>
            </w:tcMar>
            <w:vAlign w:val="center"/>
          </w:tcPr>
          <w:p w14:paraId="5445F6F6" w14:textId="77777777" w:rsidR="00DC7C04" w:rsidRPr="007445CA" w:rsidRDefault="00DC7C04" w:rsidP="00586626">
            <w:pPr>
              <w:snapToGrid w:val="0"/>
              <w:spacing w:after="0" w:line="480" w:lineRule="auto"/>
              <w:jc w:val="center"/>
              <w:rPr>
                <w:rFonts w:ascii="Arial" w:eastAsiaTheme="minorHAnsi" w:hAnsi="Arial" w:cs="Arial"/>
                <w:bCs/>
                <w:sz w:val="20"/>
                <w:szCs w:val="20"/>
                <w:lang w:val="en-US" w:eastAsia="en-US"/>
              </w:rPr>
            </w:pPr>
          </w:p>
        </w:tc>
      </w:tr>
      <w:tr w:rsidR="00DC7C04" w:rsidRPr="007445CA" w14:paraId="59923BE2" w14:textId="77777777" w:rsidTr="00586626">
        <w:trPr>
          <w:trHeight w:val="57"/>
        </w:trPr>
        <w:tc>
          <w:tcPr>
            <w:tcW w:w="3539" w:type="dxa"/>
            <w:shd w:val="clear" w:color="auto" w:fill="auto"/>
            <w:tcMar>
              <w:top w:w="57" w:type="dxa"/>
              <w:left w:w="57" w:type="dxa"/>
              <w:bottom w:w="57" w:type="dxa"/>
              <w:right w:w="57" w:type="dxa"/>
            </w:tcMar>
            <w:vAlign w:val="center"/>
          </w:tcPr>
          <w:p w14:paraId="3C4CDC39" w14:textId="77777777" w:rsidR="00DC7C04" w:rsidRPr="007445CA" w:rsidRDefault="00DC7C04" w:rsidP="00586626">
            <w:pPr>
              <w:snapToGrid w:val="0"/>
              <w:spacing w:after="0" w:line="480" w:lineRule="auto"/>
              <w:ind w:firstLine="197"/>
              <w:rPr>
                <w:rFonts w:ascii="Arial" w:eastAsiaTheme="minorHAnsi" w:hAnsi="Arial" w:cs="Arial"/>
                <w:b/>
                <w:bCs/>
                <w:sz w:val="20"/>
                <w:szCs w:val="20"/>
                <w:lang w:val="en-US" w:eastAsia="en-US"/>
              </w:rPr>
            </w:pPr>
            <w:r w:rsidRPr="007445CA">
              <w:rPr>
                <w:rFonts w:ascii="Arial" w:eastAsiaTheme="minorHAnsi" w:hAnsi="Arial" w:cs="Arial"/>
                <w:b/>
                <w:bCs/>
                <w:sz w:val="20"/>
                <w:szCs w:val="20"/>
                <w:lang w:val="en-US" w:eastAsia="en-US"/>
              </w:rPr>
              <w:t>ICS</w:t>
            </w:r>
          </w:p>
        </w:tc>
        <w:tc>
          <w:tcPr>
            <w:tcW w:w="1985" w:type="dxa"/>
            <w:shd w:val="clear" w:color="auto" w:fill="auto"/>
            <w:tcMar>
              <w:top w:w="57" w:type="dxa"/>
              <w:left w:w="57" w:type="dxa"/>
              <w:bottom w:w="57" w:type="dxa"/>
              <w:right w:w="57" w:type="dxa"/>
            </w:tcMar>
            <w:vAlign w:val="center"/>
          </w:tcPr>
          <w:p w14:paraId="6BA950EB" w14:textId="77777777" w:rsidR="00DC7C04" w:rsidRPr="007445CA" w:rsidRDefault="00DC7C04" w:rsidP="00586626">
            <w:pPr>
              <w:snapToGrid w:val="0"/>
              <w:spacing w:after="0" w:line="480" w:lineRule="auto"/>
              <w:jc w:val="center"/>
              <w:rPr>
                <w:rFonts w:ascii="Arial" w:eastAsiaTheme="minorHAnsi" w:hAnsi="Arial" w:cs="Arial"/>
                <w:bCs/>
                <w:sz w:val="20"/>
                <w:szCs w:val="20"/>
                <w:lang w:val="en-US" w:eastAsia="en-US"/>
              </w:rPr>
            </w:pPr>
            <w:r w:rsidRPr="007445CA">
              <w:rPr>
                <w:rFonts w:ascii="Arial" w:eastAsiaTheme="minorHAnsi" w:hAnsi="Arial" w:cs="Arial"/>
                <w:bCs/>
                <w:sz w:val="20"/>
                <w:szCs w:val="20"/>
                <w:lang w:val="en-US" w:eastAsia="en-US"/>
              </w:rPr>
              <w:t>18 (4.5)</w:t>
            </w:r>
          </w:p>
        </w:tc>
      </w:tr>
      <w:tr w:rsidR="00DC7C04" w:rsidRPr="007445CA" w14:paraId="2BE203BB" w14:textId="77777777" w:rsidTr="00586626">
        <w:trPr>
          <w:trHeight w:val="57"/>
        </w:trPr>
        <w:tc>
          <w:tcPr>
            <w:tcW w:w="3539" w:type="dxa"/>
            <w:shd w:val="clear" w:color="auto" w:fill="auto"/>
            <w:tcMar>
              <w:top w:w="57" w:type="dxa"/>
              <w:left w:w="57" w:type="dxa"/>
              <w:bottom w:w="57" w:type="dxa"/>
              <w:right w:w="57" w:type="dxa"/>
            </w:tcMar>
            <w:vAlign w:val="center"/>
          </w:tcPr>
          <w:p w14:paraId="5A103853" w14:textId="77777777" w:rsidR="00DC7C04" w:rsidRPr="007445CA" w:rsidRDefault="00DC7C04" w:rsidP="00586626">
            <w:pPr>
              <w:snapToGrid w:val="0"/>
              <w:spacing w:after="0" w:line="480" w:lineRule="auto"/>
              <w:ind w:firstLine="197"/>
              <w:rPr>
                <w:rFonts w:ascii="Arial" w:eastAsiaTheme="minorHAnsi" w:hAnsi="Arial" w:cs="Arial"/>
                <w:b/>
                <w:bCs/>
                <w:sz w:val="20"/>
                <w:szCs w:val="20"/>
                <w:lang w:val="en-US" w:eastAsia="en-US"/>
              </w:rPr>
            </w:pPr>
            <w:r w:rsidRPr="007445CA">
              <w:rPr>
                <w:rFonts w:ascii="Arial" w:eastAsiaTheme="minorHAnsi" w:hAnsi="Arial" w:cs="Arial"/>
                <w:b/>
                <w:bCs/>
                <w:sz w:val="20"/>
                <w:szCs w:val="20"/>
                <w:lang w:val="en-US" w:eastAsia="en-US"/>
              </w:rPr>
              <w:t>ICS/LABA</w:t>
            </w:r>
          </w:p>
        </w:tc>
        <w:tc>
          <w:tcPr>
            <w:tcW w:w="1985" w:type="dxa"/>
            <w:shd w:val="clear" w:color="auto" w:fill="auto"/>
            <w:tcMar>
              <w:top w:w="57" w:type="dxa"/>
              <w:left w:w="57" w:type="dxa"/>
              <w:bottom w:w="57" w:type="dxa"/>
              <w:right w:w="57" w:type="dxa"/>
            </w:tcMar>
            <w:vAlign w:val="center"/>
          </w:tcPr>
          <w:p w14:paraId="3B4D9F38" w14:textId="77777777" w:rsidR="00DC7C04" w:rsidRPr="007445CA" w:rsidRDefault="00DC7C04" w:rsidP="00586626">
            <w:pPr>
              <w:snapToGrid w:val="0"/>
              <w:spacing w:after="0" w:line="480" w:lineRule="auto"/>
              <w:jc w:val="center"/>
              <w:rPr>
                <w:rFonts w:ascii="Arial" w:eastAsiaTheme="minorHAnsi" w:hAnsi="Arial" w:cs="Arial"/>
                <w:bCs/>
                <w:sz w:val="20"/>
                <w:szCs w:val="20"/>
                <w:lang w:val="en-US" w:eastAsia="en-US"/>
              </w:rPr>
            </w:pPr>
            <w:r w:rsidRPr="007445CA">
              <w:rPr>
                <w:rFonts w:ascii="Arial" w:eastAsiaTheme="minorHAnsi" w:hAnsi="Arial" w:cs="Arial"/>
                <w:bCs/>
                <w:sz w:val="20"/>
                <w:szCs w:val="20"/>
                <w:lang w:val="en-US" w:eastAsia="en-US"/>
              </w:rPr>
              <w:t>343 (86.4)</w:t>
            </w:r>
          </w:p>
        </w:tc>
      </w:tr>
      <w:tr w:rsidR="00DC7C04" w:rsidRPr="007445CA" w14:paraId="6063A069" w14:textId="77777777" w:rsidTr="00586626">
        <w:trPr>
          <w:trHeight w:val="57"/>
        </w:trPr>
        <w:tc>
          <w:tcPr>
            <w:tcW w:w="3539" w:type="dxa"/>
            <w:shd w:val="clear" w:color="auto" w:fill="auto"/>
            <w:tcMar>
              <w:top w:w="57" w:type="dxa"/>
              <w:left w:w="57" w:type="dxa"/>
              <w:bottom w:w="57" w:type="dxa"/>
              <w:right w:w="57" w:type="dxa"/>
            </w:tcMar>
            <w:vAlign w:val="center"/>
          </w:tcPr>
          <w:p w14:paraId="18B5F55A" w14:textId="77777777" w:rsidR="00DC7C04" w:rsidRPr="007445CA" w:rsidRDefault="00DC7C04" w:rsidP="00586626">
            <w:pPr>
              <w:snapToGrid w:val="0"/>
              <w:spacing w:after="0" w:line="480" w:lineRule="auto"/>
              <w:ind w:firstLine="197"/>
              <w:rPr>
                <w:rFonts w:ascii="Arial" w:eastAsiaTheme="minorHAnsi" w:hAnsi="Arial" w:cs="Arial"/>
                <w:b/>
                <w:bCs/>
                <w:sz w:val="20"/>
                <w:szCs w:val="20"/>
                <w:lang w:val="en-US" w:eastAsia="en-US"/>
              </w:rPr>
            </w:pPr>
            <w:r w:rsidRPr="007445CA">
              <w:rPr>
                <w:rFonts w:ascii="Arial" w:eastAsiaTheme="minorHAnsi" w:hAnsi="Arial" w:cs="Arial"/>
                <w:b/>
                <w:bCs/>
                <w:sz w:val="20"/>
                <w:szCs w:val="20"/>
                <w:lang w:val="en-US" w:eastAsia="en-US"/>
              </w:rPr>
              <w:t>ICS/LAMA</w:t>
            </w:r>
          </w:p>
        </w:tc>
        <w:tc>
          <w:tcPr>
            <w:tcW w:w="1985" w:type="dxa"/>
            <w:shd w:val="clear" w:color="auto" w:fill="auto"/>
            <w:tcMar>
              <w:top w:w="57" w:type="dxa"/>
              <w:left w:w="57" w:type="dxa"/>
              <w:bottom w:w="57" w:type="dxa"/>
              <w:right w:w="57" w:type="dxa"/>
            </w:tcMar>
            <w:vAlign w:val="center"/>
          </w:tcPr>
          <w:p w14:paraId="17923E10" w14:textId="77777777" w:rsidR="00DC7C04" w:rsidRPr="007445CA" w:rsidRDefault="00DC7C04" w:rsidP="00586626">
            <w:pPr>
              <w:snapToGrid w:val="0"/>
              <w:spacing w:after="0" w:line="480" w:lineRule="auto"/>
              <w:jc w:val="center"/>
              <w:rPr>
                <w:rFonts w:ascii="Arial" w:eastAsiaTheme="minorHAnsi" w:hAnsi="Arial" w:cs="Arial"/>
                <w:bCs/>
                <w:sz w:val="20"/>
                <w:szCs w:val="20"/>
                <w:lang w:val="en-US" w:eastAsia="en-US"/>
              </w:rPr>
            </w:pPr>
            <w:r w:rsidRPr="007445CA">
              <w:rPr>
                <w:rFonts w:ascii="Arial" w:eastAsiaTheme="minorHAnsi" w:hAnsi="Arial" w:cs="Arial"/>
                <w:bCs/>
                <w:sz w:val="20"/>
                <w:szCs w:val="20"/>
                <w:lang w:val="en-US" w:eastAsia="en-US"/>
              </w:rPr>
              <w:t>3 (0.8)</w:t>
            </w:r>
          </w:p>
        </w:tc>
      </w:tr>
      <w:tr w:rsidR="00DC7C04" w:rsidRPr="007445CA" w14:paraId="0007DB17" w14:textId="77777777" w:rsidTr="00586626">
        <w:trPr>
          <w:trHeight w:val="57"/>
        </w:trPr>
        <w:tc>
          <w:tcPr>
            <w:tcW w:w="3539" w:type="dxa"/>
            <w:shd w:val="clear" w:color="auto" w:fill="auto"/>
            <w:tcMar>
              <w:top w:w="57" w:type="dxa"/>
              <w:left w:w="57" w:type="dxa"/>
              <w:bottom w:w="57" w:type="dxa"/>
              <w:right w:w="57" w:type="dxa"/>
            </w:tcMar>
            <w:vAlign w:val="center"/>
          </w:tcPr>
          <w:p w14:paraId="690DC99D" w14:textId="77777777" w:rsidR="00DC7C04" w:rsidRPr="007445CA" w:rsidRDefault="00DC7C04" w:rsidP="00586626">
            <w:pPr>
              <w:snapToGrid w:val="0"/>
              <w:spacing w:after="0" w:line="480" w:lineRule="auto"/>
              <w:ind w:firstLine="197"/>
              <w:rPr>
                <w:rFonts w:ascii="Arial" w:eastAsiaTheme="minorHAnsi" w:hAnsi="Arial" w:cs="Arial"/>
                <w:b/>
                <w:bCs/>
                <w:sz w:val="20"/>
                <w:szCs w:val="20"/>
                <w:lang w:val="en-US" w:eastAsia="en-US"/>
              </w:rPr>
            </w:pPr>
            <w:r w:rsidRPr="007445CA">
              <w:rPr>
                <w:rFonts w:ascii="Arial" w:eastAsiaTheme="minorHAnsi" w:hAnsi="Arial" w:cs="Arial"/>
                <w:b/>
                <w:bCs/>
                <w:sz w:val="20"/>
                <w:szCs w:val="20"/>
                <w:lang w:val="en-US" w:eastAsia="en-US"/>
              </w:rPr>
              <w:t>ICS/LABA/LAMA</w:t>
            </w:r>
          </w:p>
        </w:tc>
        <w:tc>
          <w:tcPr>
            <w:tcW w:w="1985" w:type="dxa"/>
            <w:shd w:val="clear" w:color="auto" w:fill="auto"/>
            <w:tcMar>
              <w:top w:w="57" w:type="dxa"/>
              <w:left w:w="57" w:type="dxa"/>
              <w:bottom w:w="57" w:type="dxa"/>
              <w:right w:w="57" w:type="dxa"/>
            </w:tcMar>
            <w:vAlign w:val="center"/>
          </w:tcPr>
          <w:p w14:paraId="50FC7456" w14:textId="77777777" w:rsidR="00DC7C04" w:rsidRPr="007445CA" w:rsidRDefault="00DC7C04" w:rsidP="00586626">
            <w:pPr>
              <w:snapToGrid w:val="0"/>
              <w:spacing w:after="0" w:line="480" w:lineRule="auto"/>
              <w:jc w:val="center"/>
              <w:rPr>
                <w:rFonts w:ascii="Arial" w:eastAsiaTheme="minorHAnsi" w:hAnsi="Arial" w:cs="Arial"/>
                <w:bCs/>
                <w:sz w:val="20"/>
                <w:szCs w:val="20"/>
                <w:lang w:val="en-US" w:eastAsia="en-US"/>
              </w:rPr>
            </w:pPr>
            <w:r w:rsidRPr="007445CA">
              <w:rPr>
                <w:rFonts w:ascii="Arial" w:eastAsiaTheme="minorHAnsi" w:hAnsi="Arial" w:cs="Arial"/>
                <w:bCs/>
                <w:sz w:val="20"/>
                <w:szCs w:val="20"/>
                <w:lang w:val="en-US" w:eastAsia="en-US"/>
              </w:rPr>
              <w:t>31 (7.8)</w:t>
            </w:r>
          </w:p>
        </w:tc>
      </w:tr>
      <w:tr w:rsidR="00DC7C04" w:rsidRPr="007445CA" w14:paraId="76A3066C" w14:textId="77777777" w:rsidTr="00586626">
        <w:trPr>
          <w:trHeight w:val="57"/>
        </w:trPr>
        <w:tc>
          <w:tcPr>
            <w:tcW w:w="3539" w:type="dxa"/>
            <w:shd w:val="clear" w:color="auto" w:fill="auto"/>
            <w:tcMar>
              <w:top w:w="57" w:type="dxa"/>
              <w:left w:w="57" w:type="dxa"/>
              <w:bottom w:w="57" w:type="dxa"/>
              <w:right w:w="57" w:type="dxa"/>
            </w:tcMar>
            <w:vAlign w:val="center"/>
          </w:tcPr>
          <w:p w14:paraId="486CBEA6" w14:textId="77777777" w:rsidR="00DC7C04" w:rsidRPr="007445CA" w:rsidRDefault="00DC7C04" w:rsidP="00586626">
            <w:pPr>
              <w:snapToGrid w:val="0"/>
              <w:spacing w:after="0" w:line="480" w:lineRule="auto"/>
              <w:ind w:firstLine="197"/>
              <w:rPr>
                <w:rFonts w:ascii="Arial" w:eastAsiaTheme="minorHAnsi" w:hAnsi="Arial" w:cs="Arial"/>
                <w:b/>
                <w:bCs/>
                <w:sz w:val="20"/>
                <w:szCs w:val="20"/>
                <w:lang w:val="en-US" w:eastAsia="en-US"/>
              </w:rPr>
            </w:pPr>
            <w:r w:rsidRPr="007445CA">
              <w:rPr>
                <w:rFonts w:ascii="Arial" w:eastAsiaTheme="minorHAnsi" w:hAnsi="Arial" w:cs="Arial"/>
                <w:b/>
                <w:bCs/>
                <w:sz w:val="20"/>
                <w:szCs w:val="20"/>
                <w:lang w:val="en-US" w:eastAsia="en-US"/>
              </w:rPr>
              <w:t xml:space="preserve">Not available </w:t>
            </w:r>
          </w:p>
        </w:tc>
        <w:tc>
          <w:tcPr>
            <w:tcW w:w="1985" w:type="dxa"/>
            <w:shd w:val="clear" w:color="auto" w:fill="auto"/>
            <w:tcMar>
              <w:top w:w="57" w:type="dxa"/>
              <w:left w:w="57" w:type="dxa"/>
              <w:bottom w:w="57" w:type="dxa"/>
              <w:right w:w="57" w:type="dxa"/>
            </w:tcMar>
            <w:vAlign w:val="center"/>
          </w:tcPr>
          <w:p w14:paraId="0EDAB01D" w14:textId="77777777" w:rsidR="00DC7C04" w:rsidRPr="007445CA" w:rsidRDefault="00DC7C04" w:rsidP="00586626">
            <w:pPr>
              <w:snapToGrid w:val="0"/>
              <w:spacing w:after="0" w:line="480" w:lineRule="auto"/>
              <w:jc w:val="center"/>
              <w:rPr>
                <w:rFonts w:ascii="Arial" w:eastAsiaTheme="minorHAnsi" w:hAnsi="Arial" w:cs="Arial"/>
                <w:bCs/>
                <w:sz w:val="20"/>
                <w:szCs w:val="20"/>
                <w:lang w:val="en-US" w:eastAsia="en-US"/>
              </w:rPr>
            </w:pPr>
            <w:r w:rsidRPr="007445CA">
              <w:rPr>
                <w:rFonts w:ascii="Arial" w:eastAsiaTheme="minorHAnsi" w:hAnsi="Arial" w:cs="Arial"/>
                <w:bCs/>
                <w:sz w:val="20"/>
                <w:szCs w:val="20"/>
                <w:lang w:val="en-US" w:eastAsia="en-US"/>
              </w:rPr>
              <w:t>2 (0.5)</w:t>
            </w:r>
          </w:p>
        </w:tc>
      </w:tr>
    </w:tbl>
    <w:p w14:paraId="21BAC929" w14:textId="1276E4D9" w:rsidR="00DC7C04" w:rsidRPr="00DC7C04" w:rsidRDefault="00DC7C04" w:rsidP="00DC7C04">
      <w:pPr>
        <w:spacing w:before="120" w:after="120" w:line="480" w:lineRule="auto"/>
        <w:rPr>
          <w:rFonts w:ascii="Arial" w:eastAsiaTheme="minorHAnsi" w:hAnsi="Arial" w:cs="Arial"/>
          <w:b/>
          <w:bCs/>
          <w:sz w:val="20"/>
          <w:szCs w:val="20"/>
          <w:lang w:val="en-US" w:eastAsia="en-US"/>
        </w:rPr>
      </w:pPr>
      <w:r w:rsidRPr="007445CA">
        <w:rPr>
          <w:rFonts w:ascii="Arial" w:eastAsiaTheme="minorHAnsi" w:hAnsi="Arial" w:cs="Arial"/>
          <w:b/>
          <w:bCs/>
          <w:color w:val="000000" w:themeColor="text1"/>
          <w:sz w:val="20"/>
          <w:szCs w:val="20"/>
          <w:lang w:val="en-US" w:eastAsia="en-US"/>
        </w:rPr>
        <w:t>Abbreviations:</w:t>
      </w:r>
      <w:r w:rsidRPr="007445CA">
        <w:rPr>
          <w:rFonts w:ascii="Arial" w:eastAsiaTheme="minorHAnsi" w:hAnsi="Arial" w:cs="Arial"/>
          <w:color w:val="000000" w:themeColor="text1"/>
          <w:sz w:val="20"/>
          <w:szCs w:val="20"/>
          <w:lang w:val="en-US" w:eastAsia="en-US"/>
        </w:rPr>
        <w:t xml:space="preserve"> ICS, inhaled corticosteroids; ITT, intent</w:t>
      </w:r>
      <w:r>
        <w:rPr>
          <w:rFonts w:ascii="Arial" w:eastAsiaTheme="minorHAnsi" w:hAnsi="Arial" w:cs="Arial"/>
          <w:color w:val="000000" w:themeColor="text1"/>
          <w:sz w:val="20"/>
          <w:szCs w:val="20"/>
          <w:lang w:val="en-US" w:eastAsia="en-US"/>
        </w:rPr>
        <w:t>ion</w:t>
      </w:r>
      <w:r w:rsidRPr="007445CA">
        <w:rPr>
          <w:rFonts w:ascii="Arial" w:eastAsiaTheme="minorHAnsi" w:hAnsi="Arial" w:cs="Arial"/>
          <w:color w:val="000000" w:themeColor="text1"/>
          <w:sz w:val="20"/>
          <w:szCs w:val="20"/>
          <w:lang w:val="en-US" w:eastAsia="en-US"/>
        </w:rPr>
        <w:t>-to-treat; LABA, long-acting beta</w:t>
      </w:r>
      <w:r w:rsidRPr="007445CA">
        <w:rPr>
          <w:rFonts w:ascii="Arial" w:eastAsiaTheme="minorHAnsi" w:hAnsi="Arial" w:cs="Arial"/>
          <w:color w:val="000000" w:themeColor="text1"/>
          <w:sz w:val="20"/>
          <w:szCs w:val="20"/>
          <w:vertAlign w:val="subscript"/>
          <w:lang w:val="en-US" w:eastAsia="en-US"/>
        </w:rPr>
        <w:t>2</w:t>
      </w:r>
      <w:r w:rsidRPr="007445CA">
        <w:rPr>
          <w:rFonts w:ascii="Arial" w:eastAsiaTheme="minorHAnsi" w:hAnsi="Arial" w:cs="Arial"/>
          <w:color w:val="000000" w:themeColor="text1"/>
          <w:sz w:val="20"/>
          <w:szCs w:val="20"/>
          <w:lang w:val="en-US" w:eastAsia="en-US"/>
        </w:rPr>
        <w:t>-agonist; LAMA, long-acting muscarinic agent; SD, standard deviation.</w:t>
      </w:r>
    </w:p>
    <w:p w14:paraId="058FE50D" w14:textId="0BAA5CE7" w:rsidR="007445CA" w:rsidRPr="007445CA" w:rsidRDefault="007445CA" w:rsidP="007445CA">
      <w:pPr>
        <w:spacing w:after="0" w:line="480" w:lineRule="auto"/>
        <w:rPr>
          <w:rFonts w:ascii="Arial" w:eastAsia="Times New Roman" w:hAnsi="Arial" w:cs="Arial"/>
          <w:color w:val="FF0000"/>
          <w:sz w:val="20"/>
          <w:szCs w:val="24"/>
          <w:lang w:val="en-US" w:eastAsia="en-US"/>
        </w:rPr>
      </w:pPr>
      <w:r w:rsidRPr="005108C3">
        <w:rPr>
          <w:rFonts w:ascii="Arial" w:eastAsia="Times New Roman" w:hAnsi="Arial" w:cs="Arial"/>
          <w:sz w:val="20"/>
          <w:szCs w:val="24"/>
          <w:lang w:val="en-US" w:eastAsia="en-US"/>
        </w:rPr>
        <w:lastRenderedPageBreak/>
        <w:t xml:space="preserve">SUPPLEMENTARY </w:t>
      </w:r>
      <w:r w:rsidR="008D0238">
        <w:rPr>
          <w:rFonts w:ascii="Arial" w:eastAsia="Times New Roman" w:hAnsi="Arial" w:cs="Arial"/>
          <w:sz w:val="20"/>
          <w:szCs w:val="24"/>
          <w:lang w:val="en-US" w:eastAsia="en-US"/>
        </w:rPr>
        <w:t>METHODS</w:t>
      </w:r>
    </w:p>
    <w:p w14:paraId="7C52E68E" w14:textId="77777777" w:rsidR="007445CA" w:rsidRPr="007445CA" w:rsidRDefault="007445CA" w:rsidP="007445CA">
      <w:pPr>
        <w:spacing w:after="0" w:line="480" w:lineRule="auto"/>
        <w:rPr>
          <w:rFonts w:ascii="Arial" w:eastAsia="Times New Roman" w:hAnsi="Arial" w:cs="Arial"/>
          <w:sz w:val="20"/>
          <w:szCs w:val="24"/>
          <w:lang w:val="en-US" w:eastAsia="en-US"/>
        </w:rPr>
      </w:pPr>
      <w:r w:rsidRPr="007445CA">
        <w:rPr>
          <w:rFonts w:ascii="Arial" w:eastAsia="Times New Roman" w:hAnsi="Arial" w:cs="Arial"/>
          <w:sz w:val="20"/>
          <w:szCs w:val="24"/>
          <w:lang w:val="en-US" w:eastAsia="en-US"/>
        </w:rPr>
        <w:t>Lugogo et al</w:t>
      </w:r>
    </w:p>
    <w:p w14:paraId="76A65EDA" w14:textId="620A2FD7" w:rsidR="007445CA" w:rsidRPr="008D0238" w:rsidRDefault="007445CA" w:rsidP="007445CA">
      <w:pPr>
        <w:keepNext/>
        <w:spacing w:before="240" w:after="60" w:line="480" w:lineRule="auto"/>
        <w:outlineLvl w:val="1"/>
        <w:rPr>
          <w:rFonts w:ascii="Arial" w:eastAsia="Times New Roman" w:hAnsi="Arial" w:cs="Arial"/>
          <w:b/>
          <w:bCs/>
          <w:sz w:val="28"/>
          <w:szCs w:val="28"/>
          <w:lang w:val="en-US" w:eastAsia="en-US"/>
        </w:rPr>
      </w:pPr>
      <w:r w:rsidRPr="008D0238">
        <w:rPr>
          <w:rFonts w:ascii="Arial" w:eastAsia="Times New Roman" w:hAnsi="Arial" w:cs="Arial"/>
          <w:b/>
          <w:bCs/>
          <w:sz w:val="28"/>
          <w:szCs w:val="28"/>
          <w:lang w:val="en-US" w:eastAsia="en-US"/>
        </w:rPr>
        <w:t>Sample size selection</w:t>
      </w:r>
    </w:p>
    <w:p w14:paraId="6791CEA0" w14:textId="77777777" w:rsidR="007445CA" w:rsidRPr="007445CA" w:rsidRDefault="007445CA" w:rsidP="007445CA">
      <w:pPr>
        <w:spacing w:after="120" w:line="480" w:lineRule="auto"/>
        <w:rPr>
          <w:rFonts w:ascii="Arial" w:eastAsiaTheme="minorHAnsi" w:hAnsi="Arial" w:cs="Arial"/>
          <w:sz w:val="20"/>
          <w:szCs w:val="20"/>
          <w:lang w:val="en-US" w:eastAsia="en-US"/>
        </w:rPr>
      </w:pPr>
      <w:r w:rsidRPr="007445CA">
        <w:rPr>
          <w:rFonts w:ascii="Arial" w:eastAsiaTheme="minorHAnsi" w:hAnsi="Arial" w:cs="Arial"/>
          <w:sz w:val="20"/>
          <w:szCs w:val="20"/>
          <w:lang w:val="en-US" w:eastAsia="en-US"/>
        </w:rPr>
        <w:t>Based on previous studies involving patients with poorly controlled asthma (Asthma Control Questionnaire 5 [ACQ-5] ≥1.5),</w:t>
      </w:r>
      <w:r w:rsidRPr="007445CA">
        <w:rPr>
          <w:rFonts w:ascii="Arial" w:eastAsiaTheme="minorHAnsi" w:hAnsi="Arial" w:cs="Arial"/>
          <w:sz w:val="20"/>
          <w:szCs w:val="20"/>
          <w:vertAlign w:val="superscript"/>
          <w:lang w:val="en-US" w:eastAsia="en-US"/>
        </w:rPr>
        <w:t>1–3</w:t>
      </w:r>
      <w:r w:rsidRPr="007445CA">
        <w:rPr>
          <w:rFonts w:ascii="Arial" w:eastAsiaTheme="minorHAnsi" w:hAnsi="Arial" w:cs="Arial"/>
          <w:sz w:val="20"/>
          <w:szCs w:val="20"/>
          <w:lang w:val="en-US" w:eastAsia="en-US"/>
        </w:rPr>
        <w:t xml:space="preserve"> a dropout rate of 10% was expected and it was expected that 20 to 25% of patients would experience an exacerbation. We anticipated enrolling 400 patients would give approximately 360 evaluable patients and 72–90 exacerbation events. As an exploratory aspect of the study, sample size was not considered for the predictive model and decisions on population were based on available data. Previous risk models examining the relationship between disease and possible risk factors</w:t>
      </w:r>
      <w:r w:rsidRPr="007445CA">
        <w:rPr>
          <w:rFonts w:ascii="Arial" w:eastAsiaTheme="minorHAnsi" w:hAnsi="Arial" w:cs="Arial"/>
          <w:sz w:val="20"/>
          <w:szCs w:val="20"/>
          <w:vertAlign w:val="superscript"/>
          <w:lang w:val="en-US" w:eastAsia="en-US"/>
        </w:rPr>
        <w:t>1,3,4</w:t>
      </w:r>
      <w:r w:rsidRPr="007445CA">
        <w:rPr>
          <w:rFonts w:ascii="Arial" w:eastAsiaTheme="minorHAnsi" w:hAnsi="Arial" w:cs="Arial"/>
          <w:sz w:val="20"/>
          <w:szCs w:val="20"/>
          <w:lang w:val="en-US" w:eastAsia="en-US"/>
        </w:rPr>
        <w:t xml:space="preserve"> have included 4–6 risk factors in the model. To avoid overfitting the data to the model, we used one predictor variable for every 10 events.</w:t>
      </w:r>
      <w:r w:rsidRPr="007445CA">
        <w:rPr>
          <w:rFonts w:ascii="Arial" w:eastAsiaTheme="minorHAnsi" w:hAnsi="Arial" w:cs="Arial"/>
          <w:sz w:val="20"/>
          <w:szCs w:val="20"/>
          <w:vertAlign w:val="superscript"/>
          <w:lang w:val="en-US" w:eastAsia="en-US"/>
        </w:rPr>
        <w:t>5</w:t>
      </w:r>
      <w:r w:rsidRPr="007445CA">
        <w:rPr>
          <w:rFonts w:ascii="Arial" w:eastAsiaTheme="minorHAnsi" w:hAnsi="Arial" w:cs="Arial"/>
          <w:sz w:val="20"/>
          <w:szCs w:val="20"/>
          <w:lang w:val="en-US" w:eastAsia="en-US"/>
        </w:rPr>
        <w:t xml:space="preserve"> Therefore, 360 evaluable patients would be adequate for predicting exacerbations using short-acting beta</w:t>
      </w:r>
      <w:r w:rsidRPr="007445CA">
        <w:rPr>
          <w:rFonts w:ascii="Arial" w:eastAsiaTheme="minorHAnsi" w:hAnsi="Arial" w:cs="Arial"/>
          <w:sz w:val="20"/>
          <w:szCs w:val="20"/>
          <w:vertAlign w:val="subscript"/>
          <w:lang w:val="en-US" w:eastAsia="en-US"/>
        </w:rPr>
        <w:t>2</w:t>
      </w:r>
      <w:r w:rsidRPr="007445CA">
        <w:rPr>
          <w:rFonts w:ascii="Arial" w:eastAsiaTheme="minorHAnsi" w:hAnsi="Arial" w:cs="Arial"/>
          <w:sz w:val="20"/>
          <w:szCs w:val="20"/>
          <w:lang w:val="en-US" w:eastAsia="en-US"/>
        </w:rPr>
        <w:noBreakHyphen/>
        <w:t>agonist use and inhalation parameters as covariates.</w:t>
      </w:r>
    </w:p>
    <w:p w14:paraId="5FB0ACA9" w14:textId="18881F6D" w:rsidR="007445CA" w:rsidRDefault="007445CA" w:rsidP="007445CA">
      <w:pPr>
        <w:spacing w:after="120" w:line="480" w:lineRule="auto"/>
        <w:rPr>
          <w:rFonts w:ascii="Arial" w:eastAsiaTheme="minorHAnsi" w:hAnsi="Arial" w:cs="Arial"/>
          <w:sz w:val="20"/>
          <w:szCs w:val="20"/>
          <w:lang w:val="en-US" w:eastAsia="en-US"/>
        </w:rPr>
      </w:pPr>
    </w:p>
    <w:p w14:paraId="392A46D4" w14:textId="1A708923" w:rsidR="008D0238" w:rsidRPr="008D0238" w:rsidRDefault="008D0238" w:rsidP="007445CA">
      <w:pPr>
        <w:spacing w:after="120" w:line="480" w:lineRule="auto"/>
        <w:rPr>
          <w:rFonts w:ascii="Arial" w:eastAsiaTheme="minorHAnsi" w:hAnsi="Arial" w:cs="Arial"/>
          <w:b/>
          <w:bCs/>
          <w:sz w:val="20"/>
          <w:szCs w:val="20"/>
          <w:lang w:val="en-US" w:eastAsia="en-US"/>
        </w:rPr>
      </w:pPr>
      <w:r w:rsidRPr="008D0238">
        <w:rPr>
          <w:rFonts w:ascii="Arial" w:eastAsiaTheme="minorHAnsi" w:hAnsi="Arial" w:cs="Arial"/>
          <w:b/>
          <w:bCs/>
          <w:sz w:val="20"/>
          <w:szCs w:val="20"/>
          <w:lang w:val="en-US" w:eastAsia="en-US"/>
        </w:rPr>
        <w:t>REFERENCES</w:t>
      </w:r>
    </w:p>
    <w:p w14:paraId="779DC020" w14:textId="77777777" w:rsidR="007445CA" w:rsidRPr="007445CA" w:rsidRDefault="007445CA" w:rsidP="007445CA">
      <w:pPr>
        <w:numPr>
          <w:ilvl w:val="0"/>
          <w:numId w:val="1"/>
        </w:numPr>
        <w:spacing w:after="120" w:line="480" w:lineRule="auto"/>
        <w:ind w:left="364"/>
        <w:rPr>
          <w:rFonts w:ascii="Arial" w:eastAsiaTheme="minorHAnsi" w:hAnsi="Arial" w:cs="Arial"/>
          <w:color w:val="000000" w:themeColor="text1"/>
          <w:sz w:val="20"/>
          <w:szCs w:val="20"/>
          <w:lang w:eastAsia="en-US"/>
        </w:rPr>
      </w:pPr>
      <w:r w:rsidRPr="007445CA">
        <w:rPr>
          <w:rFonts w:ascii="Arial" w:eastAsiaTheme="minorHAnsi" w:hAnsi="Arial" w:cs="Arial"/>
          <w:color w:val="000000" w:themeColor="text1"/>
          <w:sz w:val="20"/>
          <w:szCs w:val="20"/>
          <w:lang w:eastAsia="en-US"/>
        </w:rPr>
        <w:t xml:space="preserve">Bateman ED, Buhl R, O'Byrne PM, et al. Development and validation of a novel risk score for asthma exacerbations: the risk score for exacerbations. </w:t>
      </w:r>
      <w:r w:rsidRPr="007445CA">
        <w:rPr>
          <w:rFonts w:ascii="Arial" w:eastAsiaTheme="minorHAnsi" w:hAnsi="Arial" w:cs="Arial"/>
          <w:i/>
          <w:iCs/>
          <w:color w:val="000000" w:themeColor="text1"/>
          <w:sz w:val="20"/>
          <w:szCs w:val="20"/>
          <w:lang w:eastAsia="en-US"/>
        </w:rPr>
        <w:t>J Allergy Clin Immunol.</w:t>
      </w:r>
      <w:r w:rsidRPr="007445CA">
        <w:rPr>
          <w:rFonts w:ascii="Arial" w:eastAsiaTheme="minorHAnsi" w:hAnsi="Arial" w:cs="Arial"/>
          <w:color w:val="000000" w:themeColor="text1"/>
          <w:sz w:val="20"/>
          <w:szCs w:val="20"/>
          <w:lang w:eastAsia="en-US"/>
        </w:rPr>
        <w:t xml:space="preserve"> 2015;135:1457-1464.e4.</w:t>
      </w:r>
    </w:p>
    <w:p w14:paraId="79E08EAC" w14:textId="77777777" w:rsidR="007445CA" w:rsidRPr="007445CA" w:rsidRDefault="007445CA" w:rsidP="007445CA">
      <w:pPr>
        <w:numPr>
          <w:ilvl w:val="0"/>
          <w:numId w:val="1"/>
        </w:numPr>
        <w:spacing w:after="120" w:line="480" w:lineRule="auto"/>
        <w:ind w:left="364"/>
        <w:rPr>
          <w:rFonts w:ascii="Arial" w:eastAsiaTheme="minorHAnsi" w:hAnsi="Arial" w:cs="Arial"/>
          <w:color w:val="000000" w:themeColor="text1"/>
          <w:sz w:val="20"/>
          <w:szCs w:val="20"/>
          <w:lang w:eastAsia="en-US"/>
        </w:rPr>
      </w:pPr>
      <w:r w:rsidRPr="007445CA">
        <w:rPr>
          <w:rFonts w:ascii="Arial" w:eastAsiaTheme="minorHAnsi" w:hAnsi="Arial" w:cs="Arial"/>
          <w:color w:val="000000" w:themeColor="text1"/>
          <w:sz w:val="20"/>
          <w:szCs w:val="20"/>
          <w:lang w:eastAsia="en-US"/>
        </w:rPr>
        <w:t xml:space="preserve">Ko FW, Hui DS, Leung TF, et al. Evaluation of the asthma control test: a reliable determinant of disease stability and a predictor of future exacerbations. </w:t>
      </w:r>
      <w:r w:rsidRPr="007445CA">
        <w:rPr>
          <w:rFonts w:ascii="Arial" w:eastAsiaTheme="minorHAnsi" w:hAnsi="Arial" w:cs="Arial"/>
          <w:i/>
          <w:iCs/>
          <w:color w:val="000000" w:themeColor="text1"/>
          <w:sz w:val="20"/>
          <w:szCs w:val="20"/>
          <w:lang w:eastAsia="en-US"/>
        </w:rPr>
        <w:t>Respirology.</w:t>
      </w:r>
      <w:r w:rsidRPr="007445CA">
        <w:rPr>
          <w:rFonts w:ascii="Arial" w:eastAsiaTheme="minorHAnsi" w:hAnsi="Arial" w:cs="Arial"/>
          <w:color w:val="000000" w:themeColor="text1"/>
          <w:sz w:val="20"/>
          <w:szCs w:val="20"/>
          <w:lang w:eastAsia="en-US"/>
        </w:rPr>
        <w:t xml:space="preserve"> 2012;17:370-378.</w:t>
      </w:r>
    </w:p>
    <w:p w14:paraId="36CE50D9" w14:textId="77777777" w:rsidR="007445CA" w:rsidRPr="007445CA" w:rsidRDefault="007445CA" w:rsidP="007445CA">
      <w:pPr>
        <w:numPr>
          <w:ilvl w:val="0"/>
          <w:numId w:val="1"/>
        </w:numPr>
        <w:spacing w:after="120" w:line="480" w:lineRule="auto"/>
        <w:ind w:left="364"/>
        <w:rPr>
          <w:rFonts w:ascii="Arial" w:eastAsiaTheme="minorHAnsi" w:hAnsi="Arial" w:cs="Arial"/>
          <w:color w:val="000000" w:themeColor="text1"/>
          <w:sz w:val="20"/>
          <w:szCs w:val="20"/>
          <w:lang w:eastAsia="en-US"/>
        </w:rPr>
      </w:pPr>
      <w:r w:rsidRPr="007445CA">
        <w:rPr>
          <w:rFonts w:ascii="Arial" w:eastAsiaTheme="minorHAnsi" w:hAnsi="Arial" w:cs="Arial"/>
          <w:color w:val="000000" w:themeColor="text1"/>
          <w:sz w:val="20"/>
          <w:szCs w:val="20"/>
          <w:lang w:eastAsia="en-US"/>
        </w:rPr>
        <w:t xml:space="preserve">Quezada W, Kwak ES, Reibman J, et al. Predictors of asthma exacerbation among patients with poorly controlled asthma despite inhaled corticosteroid treatment. </w:t>
      </w:r>
      <w:r w:rsidRPr="007445CA">
        <w:rPr>
          <w:rFonts w:ascii="Arial" w:eastAsiaTheme="minorHAnsi" w:hAnsi="Arial" w:cs="Arial"/>
          <w:i/>
          <w:iCs/>
          <w:color w:val="000000" w:themeColor="text1"/>
          <w:sz w:val="20"/>
          <w:szCs w:val="20"/>
          <w:lang w:eastAsia="en-US"/>
        </w:rPr>
        <w:t>Ann Allergy Asthma Immunol</w:t>
      </w:r>
      <w:r w:rsidRPr="007445CA">
        <w:rPr>
          <w:rFonts w:ascii="Arial" w:eastAsiaTheme="minorHAnsi" w:hAnsi="Arial" w:cs="Arial"/>
          <w:color w:val="000000" w:themeColor="text1"/>
          <w:sz w:val="20"/>
          <w:szCs w:val="20"/>
          <w:lang w:eastAsia="en-US"/>
        </w:rPr>
        <w:t>. 2016;116:112-117.</w:t>
      </w:r>
    </w:p>
    <w:p w14:paraId="2400721F" w14:textId="77777777" w:rsidR="007445CA" w:rsidRPr="007445CA" w:rsidRDefault="007445CA" w:rsidP="007445CA">
      <w:pPr>
        <w:numPr>
          <w:ilvl w:val="0"/>
          <w:numId w:val="1"/>
        </w:numPr>
        <w:spacing w:after="120" w:line="480" w:lineRule="auto"/>
        <w:ind w:left="364"/>
        <w:rPr>
          <w:rFonts w:ascii="Arial" w:eastAsiaTheme="minorHAnsi" w:hAnsi="Arial" w:cs="Arial"/>
          <w:color w:val="000000" w:themeColor="text1"/>
          <w:sz w:val="20"/>
          <w:szCs w:val="20"/>
          <w:lang w:eastAsia="en-US"/>
        </w:rPr>
      </w:pPr>
      <w:r w:rsidRPr="007445CA">
        <w:rPr>
          <w:rFonts w:ascii="Arial" w:eastAsiaTheme="minorHAnsi" w:hAnsi="Arial" w:cs="Arial"/>
          <w:color w:val="000000" w:themeColor="text1"/>
          <w:sz w:val="20"/>
          <w:szCs w:val="20"/>
          <w:lang w:eastAsia="en-US"/>
        </w:rPr>
        <w:t xml:space="preserve">Greenberg S, Liu N, Kaur A, et al. The asthma disease activity score: a discriminating, responsive measure predicts future asthma attacks. </w:t>
      </w:r>
      <w:r w:rsidRPr="007445CA">
        <w:rPr>
          <w:rFonts w:ascii="Arial" w:eastAsiaTheme="minorHAnsi" w:hAnsi="Arial" w:cs="Arial"/>
          <w:i/>
          <w:iCs/>
          <w:color w:val="000000" w:themeColor="text1"/>
          <w:sz w:val="20"/>
          <w:szCs w:val="20"/>
          <w:lang w:eastAsia="en-US"/>
        </w:rPr>
        <w:t>J Allergy Clin Immunol</w:t>
      </w:r>
      <w:r w:rsidRPr="007445CA">
        <w:rPr>
          <w:rFonts w:ascii="Arial" w:eastAsiaTheme="minorHAnsi" w:hAnsi="Arial" w:cs="Arial"/>
          <w:color w:val="000000" w:themeColor="text1"/>
          <w:sz w:val="20"/>
          <w:szCs w:val="20"/>
          <w:lang w:eastAsia="en-US"/>
        </w:rPr>
        <w:t>. 2012;130(5):1071-1077.e10.</w:t>
      </w:r>
    </w:p>
    <w:p w14:paraId="7AB03ACB" w14:textId="18693444" w:rsidR="00B025A4" w:rsidRPr="005108C3" w:rsidRDefault="007445CA" w:rsidP="007445CA">
      <w:pPr>
        <w:numPr>
          <w:ilvl w:val="0"/>
          <w:numId w:val="1"/>
        </w:numPr>
        <w:spacing w:after="120" w:line="480" w:lineRule="auto"/>
        <w:ind w:left="364"/>
        <w:rPr>
          <w:rFonts w:ascii="Arial" w:eastAsiaTheme="minorHAnsi" w:hAnsi="Arial" w:cs="Arial"/>
          <w:sz w:val="20"/>
          <w:szCs w:val="20"/>
          <w:lang w:eastAsia="en-US"/>
        </w:rPr>
      </w:pPr>
      <w:r w:rsidRPr="007445CA">
        <w:rPr>
          <w:rFonts w:ascii="Arial" w:eastAsiaTheme="minorHAnsi" w:hAnsi="Arial" w:cs="Arial"/>
          <w:color w:val="000000" w:themeColor="text1"/>
          <w:sz w:val="20"/>
          <w:szCs w:val="20"/>
          <w:lang w:eastAsia="en-US"/>
        </w:rPr>
        <w:t xml:space="preserve">Peduzzi P, Concato J, Kemper E, Holford TR, Feinstein AR. A simulation study of the number of events per variable in logistic regression analysis. </w:t>
      </w:r>
      <w:r w:rsidRPr="007445CA">
        <w:rPr>
          <w:rFonts w:ascii="Arial" w:eastAsiaTheme="minorHAnsi" w:hAnsi="Arial" w:cs="Arial"/>
          <w:i/>
          <w:iCs/>
          <w:color w:val="000000" w:themeColor="text1"/>
          <w:sz w:val="20"/>
          <w:szCs w:val="20"/>
          <w:lang w:eastAsia="en-US"/>
        </w:rPr>
        <w:t>J Clin Epidemiol</w:t>
      </w:r>
      <w:r w:rsidRPr="007445CA">
        <w:rPr>
          <w:rFonts w:ascii="Arial" w:eastAsiaTheme="minorHAnsi" w:hAnsi="Arial" w:cs="Arial"/>
          <w:color w:val="000000" w:themeColor="text1"/>
          <w:sz w:val="20"/>
          <w:szCs w:val="20"/>
          <w:lang w:eastAsia="en-US"/>
        </w:rPr>
        <w:t>. 1996;49:1373-1379.</w:t>
      </w:r>
    </w:p>
    <w:sectPr w:rsidR="00B025A4" w:rsidRPr="005108C3" w:rsidSect="00314281">
      <w:footerReference w:type="default" r:id="rId7"/>
      <w:pgSz w:w="11906" w:h="16838" w:code="9"/>
      <w:pgMar w:top="1440" w:right="1440" w:bottom="1440" w:left="1440" w:header="680" w:footer="680"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5E9D9" w14:textId="77777777" w:rsidR="00C9253F" w:rsidRDefault="00C9253F" w:rsidP="00380A81">
      <w:pPr>
        <w:spacing w:after="0" w:line="240" w:lineRule="auto"/>
      </w:pPr>
      <w:r>
        <w:separator/>
      </w:r>
    </w:p>
  </w:endnote>
  <w:endnote w:type="continuationSeparator" w:id="0">
    <w:p w14:paraId="50E62640" w14:textId="77777777" w:rsidR="00C9253F" w:rsidRDefault="00C9253F" w:rsidP="00380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Rockwell">
    <w:altName w:val="Rockwell"/>
    <w:panose1 w:val="02060603020205020403"/>
    <w:charset w:val="00"/>
    <w:family w:val="roman"/>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94851" w14:textId="0C77F4F1" w:rsidR="00DC7C04" w:rsidRDefault="00DC7C04">
    <w:pPr>
      <w:pStyle w:val="Footer"/>
    </w:pPr>
    <w:r>
      <w:rPr>
        <w:noProof/>
      </w:rPr>
      <mc:AlternateContent>
        <mc:Choice Requires="wps">
          <w:drawing>
            <wp:anchor distT="0" distB="0" distL="114300" distR="114300" simplePos="0" relativeHeight="251659264" behindDoc="0" locked="0" layoutInCell="0" allowOverlap="1" wp14:anchorId="70FC8A3B" wp14:editId="2F81688B">
              <wp:simplePos x="0" y="0"/>
              <wp:positionH relativeFrom="page">
                <wp:posOffset>0</wp:posOffset>
              </wp:positionH>
              <wp:positionV relativeFrom="page">
                <wp:posOffset>10237470</wp:posOffset>
              </wp:positionV>
              <wp:extent cx="7560310" cy="263525"/>
              <wp:effectExtent l="0" t="0" r="0" b="3175"/>
              <wp:wrapNone/>
              <wp:docPr id="1" name="MSIPCMad724ae5a54bbddae2ba66e0" descr="{&quot;HashCode&quot;:-1348403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FA29BA" w14:textId="4FD1C8DA" w:rsidR="00DC7C04" w:rsidRPr="00DC7C04" w:rsidRDefault="00DC7C04" w:rsidP="00DC7C04">
                          <w:pPr>
                            <w:spacing w:after="0"/>
                            <w:rPr>
                              <w:rFonts w:ascii="Rockwell" w:hAnsi="Rockwell"/>
                              <w:color w:val="0078D7"/>
                              <w:sz w:val="18"/>
                            </w:rPr>
                          </w:pPr>
                          <w:r w:rsidRPr="00DC7C04">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0FC8A3B" id="_x0000_t202" coordsize="21600,21600" o:spt="202" path="m,l,21600r21600,l21600,xe">
              <v:stroke joinstyle="miter"/>
              <v:path gradientshapeok="t" o:connecttype="rect"/>
            </v:shapetype>
            <v:shape id="MSIPCMad724ae5a54bbddae2ba66e0" o:spid="_x0000_s1026" type="#_x0000_t202" alt="{&quot;HashCode&quot;:-1348403003,&quot;Height&quot;:841.0,&quot;Width&quot;:595.0,&quot;Placement&quot;:&quot;Footer&quot;,&quot;Index&quot;:&quot;Primary&quot;,&quot;Section&quot;:1,&quot;Top&quot;:0.0,&quot;Left&quot;:0.0}" style="position:absolute;margin-left:0;margin-top:806.1pt;width:595.3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" o:allowincell="f" filled="f" stroked="f" strokeweight=".5pt">
              <v:textbox inset="20pt,0,,0">
                <w:txbxContent>
                  <w:p w14:paraId="7FFA29BA" w14:textId="4FD1C8DA" w:rsidR="00DC7C04" w:rsidRPr="00DC7C04" w:rsidRDefault="00DC7C04" w:rsidP="00DC7C04">
                    <w:pPr>
                      <w:spacing w:after="0"/>
                      <w:rPr>
                        <w:rFonts w:ascii="Rockwell" w:hAnsi="Rockwell"/>
                        <w:color w:val="0078D7"/>
                        <w:sz w:val="18"/>
                      </w:rPr>
                    </w:pPr>
                    <w:r w:rsidRPr="00DC7C04">
                      <w:rPr>
                        <w:rFonts w:ascii="Rockwell" w:hAnsi="Rockwell"/>
                        <w:color w:val="0078D7"/>
                        <w:sz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D26E6" w14:textId="77777777" w:rsidR="00C9253F" w:rsidRDefault="00C9253F" w:rsidP="00380A81">
      <w:pPr>
        <w:spacing w:after="0" w:line="240" w:lineRule="auto"/>
      </w:pPr>
      <w:r>
        <w:separator/>
      </w:r>
    </w:p>
  </w:footnote>
  <w:footnote w:type="continuationSeparator" w:id="0">
    <w:p w14:paraId="14FE3011" w14:textId="77777777" w:rsidR="00C9253F" w:rsidRDefault="00C9253F" w:rsidP="00380A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A63622"/>
    <w:multiLevelType w:val="hybridMultilevel"/>
    <w:tmpl w:val="C506168C"/>
    <w:lvl w:ilvl="0" w:tplc="5F52267E">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5CA"/>
    <w:rsid w:val="001264DE"/>
    <w:rsid w:val="00380A81"/>
    <w:rsid w:val="0042127E"/>
    <w:rsid w:val="005108C3"/>
    <w:rsid w:val="007445CA"/>
    <w:rsid w:val="008D0238"/>
    <w:rsid w:val="00B025A4"/>
    <w:rsid w:val="00C9253F"/>
    <w:rsid w:val="00D213B9"/>
    <w:rsid w:val="00DC7C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5AA33"/>
  <w15:chartTrackingRefBased/>
  <w15:docId w15:val="{439E8D04-848F-4BF5-8F2B-678C823D4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7445CA"/>
    <w:pPr>
      <w:spacing w:line="240" w:lineRule="auto"/>
    </w:pPr>
    <w:rPr>
      <w:sz w:val="20"/>
      <w:szCs w:val="20"/>
    </w:rPr>
  </w:style>
  <w:style w:type="character" w:customStyle="1" w:styleId="CommentTextChar">
    <w:name w:val="Comment Text Char"/>
    <w:basedOn w:val="DefaultParagraphFont"/>
    <w:link w:val="CommentText"/>
    <w:uiPriority w:val="99"/>
    <w:semiHidden/>
    <w:rsid w:val="007445CA"/>
    <w:rPr>
      <w:sz w:val="20"/>
      <w:szCs w:val="20"/>
    </w:rPr>
  </w:style>
  <w:style w:type="character" w:styleId="CommentReference">
    <w:name w:val="annotation reference"/>
    <w:semiHidden/>
    <w:rsid w:val="007445CA"/>
    <w:rPr>
      <w:sz w:val="16"/>
      <w:szCs w:val="16"/>
    </w:rPr>
  </w:style>
  <w:style w:type="character" w:styleId="LineNumber">
    <w:name w:val="line number"/>
    <w:basedOn w:val="DefaultParagraphFont"/>
    <w:uiPriority w:val="99"/>
    <w:semiHidden/>
    <w:unhideWhenUsed/>
    <w:rsid w:val="007445CA"/>
  </w:style>
  <w:style w:type="paragraph" w:styleId="Header">
    <w:name w:val="header"/>
    <w:basedOn w:val="Normal"/>
    <w:link w:val="HeaderChar"/>
    <w:uiPriority w:val="99"/>
    <w:unhideWhenUsed/>
    <w:rsid w:val="00DC7C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7C04"/>
  </w:style>
  <w:style w:type="paragraph" w:styleId="Footer">
    <w:name w:val="footer"/>
    <w:basedOn w:val="Normal"/>
    <w:link w:val="FooterChar"/>
    <w:uiPriority w:val="99"/>
    <w:unhideWhenUsed/>
    <w:rsid w:val="00DC7C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7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412</Words>
  <Characters>2354</Characters>
  <Application>Microsoft Office Word</Application>
  <DocSecurity>0</DocSecurity>
  <Lines>19</Lines>
  <Paragraphs>5</Paragraphs>
  <ScaleCrop>false</ScaleCrop>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Malgorzata Urbacz</dc:creator>
  <cp:keywords/>
  <dc:description/>
  <cp:lastModifiedBy>Olliver, Tania</cp:lastModifiedBy>
  <cp:revision>2</cp:revision>
  <dcterms:created xsi:type="dcterms:W3CDTF">2022-11-02T22:53:00Z</dcterms:created>
  <dcterms:modified xsi:type="dcterms:W3CDTF">2022-11-02T22:53:00Z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2022-11-02T22:52:57Z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8cddc4ee-b675-4625-8abb-efc4f9215593</vt:lpwstr>
  </property>
  <property fmtid="{D5CDD505-2E9C-101B-9397-08002B2CF9AE}" pid="8" name="MSIP_Label_2bbab825-a111-45e4-86a1-18cee0005896_ContentBits">
    <vt:lpwstr>2</vt:lpwstr>
  </property>
</Properties>
</file>